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MANUAL DE PROTOCOLO DIGITAL, FLUXO DE ENVIO E CHECKLIST DE TRIAGEM (SEINUC/PA)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Documento Oficial de Instrução Operacional do Sistema Estadual de Informações sobre Unidades de Conservação do Estado do Pará (SEINUC/PA)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Base Legal:</w:t>
      </w:r>
      <w:r>
        <w:rPr>
          <w:rFonts w:ascii="Times New Roman" w:hAnsi="Times New Roman"/>
          <w:b w:val="0"/>
          <w:i/>
          <w:sz w:val="20"/>
        </w:rPr>
        <w:t xml:space="preserve"> Arts. 5º, 6º, 7º, 8º e 9º do Decreto Regulamentador do SEINUC/PA | Portaria Conjunta SEMAS/IDEFLOR-Bio nº ____/202X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1. Apresentação e Objetivos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Este manual estabelece os procedimentos operacionais para a transmissão digital de arquivos, a infraestrutura de recepção, a emissão do recibo de protocolo com autenticação de integridade e o </w:t>
      </w:r>
      <w:r>
        <w:rPr>
          <w:rFonts w:ascii="Times New Roman" w:hAnsi="Times New Roman"/>
          <w:b/>
          <w:i w:val="0"/>
          <w:sz w:val="24"/>
        </w:rPr>
        <w:t>Checklist de Triagem (Admissibilidade Formal)</w:t>
      </w:r>
      <w:r>
        <w:rPr>
          <w:rFonts w:ascii="Times New Roman" w:hAnsi="Times New Roman"/>
          <w:b w:val="0"/>
          <w:i w:val="0"/>
          <w:sz w:val="24"/>
        </w:rPr>
        <w:t xml:space="preserve"> aplicado pela Comissão Técnica de Avaliação do SEINUC (CT-SEINUC).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2. Estrutura de Diretórios do Pacote de Envio Digital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gestores deverão organizar o pacote digital de transmissão obedecendo à seguinte estrutura padronizada de diretórios:</w:t>
      </w:r>
    </w:p>
    <w:p>
      <w:pPr>
        <w:spacing w:before="240" w:after="80"/>
        <w:ind w:firstLine="0"/>
        <w:jc w:val="center"/>
      </w:pPr>
      <w:r>
        <w:rPr>
          <w:rFonts w:ascii="Times New Roman" w:hAnsi="Times New Roman"/>
          <w:b/>
          <w:sz w:val="20"/>
        </w:rPr>
        <w:t>Figura 1: Estrutura de Diretórios do Pacote Digital de Envio no SEINUC/PA</w:t>
      </w:r>
    </w:p>
    <w:p>
      <w:pPr>
        <w:spacing w:before="4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41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strutura_paco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/>
          <w:i/>
          <w:color w:val="646464"/>
          <w:sz w:val="19"/>
        </w:rPr>
        <w:t>Fonte: Elaboração própria / SEINUC/PA (2026).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3. Canais de Transmissão e Recibo com Hash SHA-256 e Selo de Tempo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3.1. Canais de Transmissão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Portal Web do SEINUC/PA:</w:t>
      </w:r>
      <w:r>
        <w:rPr>
          <w:rFonts w:ascii="Times New Roman" w:hAnsi="Times New Roman"/>
          <w:b w:val="0"/>
          <w:i w:val="0"/>
          <w:sz w:val="24"/>
        </w:rPr>
        <w:t xml:space="preserve"> Envio direto via formulário eletrônico autenticado para pacotes de até 200 MB por Unidade de Conservação.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Servidor SFTP Institucional:</w:t>
      </w:r>
      <w:r>
        <w:rPr>
          <w:rFonts w:ascii="Times New Roman" w:hAnsi="Times New Roman"/>
          <w:b w:val="0"/>
          <w:i w:val="0"/>
          <w:sz w:val="24"/>
        </w:rPr>
        <w:t xml:space="preserve"> Servidor seguro para recepção de acervos pesados e arquivos vetoriais.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3.2. Recibo Eletrônico de Protocolo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Ao finalizar a transmissão, o sistema emitirá automaticamente o </w:t>
      </w:r>
      <w:r>
        <w:rPr>
          <w:rFonts w:ascii="Times New Roman" w:hAnsi="Times New Roman"/>
          <w:b/>
          <w:i w:val="0"/>
          <w:sz w:val="24"/>
        </w:rPr>
        <w:t>Comprovante de Protocolo Digital</w:t>
      </w:r>
      <w:r>
        <w:rPr>
          <w:rFonts w:ascii="Times New Roman" w:hAnsi="Times New Roman"/>
          <w:b w:val="0"/>
          <w:i w:val="0"/>
          <w:sz w:val="24"/>
        </w:rPr>
        <w:t>, contendo: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Número do Protocolo Único de Entrada (</w:t>
      </w:r>
      <w:r>
        <w:rPr>
          <w:rFonts w:ascii="Consolas" w:hAnsi="Consolas"/>
          <w:color w:val="003366"/>
          <w:sz w:val="20"/>
        </w:rPr>
        <w:t>ANO-MUNICIPIO-SEINUC-Nº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Data e Hora exatas do servidor oficial (Horário de Brasília) com carimbo de tempo.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Relação nominal de arquivos transmitidos.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Código Hash SHA-256 e Selo de Tempo ICP-Brasil</w:t>
      </w:r>
      <w:r>
        <w:rPr>
          <w:rFonts w:ascii="Times New Roman" w:hAnsi="Times New Roman"/>
          <w:b w:val="0"/>
          <w:i w:val="0"/>
          <w:sz w:val="24"/>
        </w:rPr>
        <w:t>, garantindo a integridade e a rastreabilidade do pacote transmitido.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4. Checklist de Triagem e Admissibilidade Formal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Antes da análise de mérito da documentação pela equipe técnica, o processo será submetido à </w:t>
      </w:r>
      <w:r>
        <w:rPr>
          <w:rFonts w:ascii="Times New Roman" w:hAnsi="Times New Roman"/>
          <w:b/>
          <w:i w:val="0"/>
          <w:sz w:val="24"/>
        </w:rPr>
        <w:t>Triagem de Admissibilidade Formal</w:t>
      </w:r>
      <w:r>
        <w:rPr>
          <w:rFonts w:ascii="Times New Roman" w:hAnsi="Times New Roman"/>
          <w:b w:val="0"/>
          <w:i w:val="0"/>
          <w:sz w:val="24"/>
        </w:rPr>
        <w:t>. O descumprimento de qualquer item eliminatório sem a devida justificativa formal enseja a rejeição sumária do protocolo.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Tabela de Verificação (Checklist de Triagem)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Item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Critério de Admissibilidade Formal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Caráter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Condição de Aceite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Ação em Caso de Descumprimento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01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Prazo Regulamentar: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Transmissão realizada até 31/Jan do Ano de Exercício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Eliminatório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&lt;= 31/Jan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Rejeição Sumária por Intempestividade (salvo prorrogação automática ou justificativa de força maior apresentada em até 2 dias úteis).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02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Ofício de Encaminhamento: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Anexado e assinado por autoridade competente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Eliminatório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Presente e Assinado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Rejeição Sumária do Protocolo.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03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Declaração de Veracidade: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Modelo Anexo I assinado digitalmente (Gov.br/ICP)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Eliminatório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Presente e Válida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Rejeição Sumária do Protocolo.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04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Padrão PDF/OCR e Nomenclatura: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Arquivos textuais pesquisáveis e nomeação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Sanável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OCR e Sintaxe Válidos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Notificação para Diligência em 5 (cinco) dias úteis.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05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Padrão Vetorial (Datum e Topologia):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Geometrias em SIRGAS 2000 (EPSG:4674)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Eliminatório (Datum) / Sanável (Topologia)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Datum SIRGAS 2000 e fecho topológico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Rejeição Sumária por Datum incompatível. Notificação para Diligência em 5 (cinco) dias úteis se houver apenas inconformidades topológicas sanáveis.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06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Nomenclatura Oficial: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Arquivos nomeados segundo o padrão oficial da Portaria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Sanável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Sintaxe Correta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Notificação para Diligência em 5 (cinco) dias úteis.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07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Averbação de RPPN: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Certidão de RGI anexada (quando aplicável)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Eliminatório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Matrícula Válida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Glosa da Pontuação de RPPN.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5. Ficha Eletrônica de Aceite Preliminar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parecerista técnico registrará no SEINUC/PA a deliberação da triagem: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Consolas" w:hAnsi="Consolas"/>
          <w:color w:val="003366"/>
          <w:sz w:val="20"/>
        </w:rPr>
        <w:t>HABILITADO PARA ANÁLISE DE MÉRITO</w:t>
      </w:r>
      <w:r>
        <w:rPr>
          <w:rFonts w:ascii="Times New Roman" w:hAnsi="Times New Roman"/>
          <w:b w:val="0"/>
          <w:i w:val="0"/>
          <w:sz w:val="24"/>
        </w:rPr>
        <w:t xml:space="preserve"> — Todos os itens 01 a 07 em conformidade.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Consolas" w:hAnsi="Consolas"/>
          <w:color w:val="003366"/>
          <w:sz w:val="20"/>
        </w:rPr>
        <w:t>NOTIFICADO PARA DILIGÊNCIA (5 DIAS ÚTEIS)</w:t>
      </w:r>
      <w:r>
        <w:rPr>
          <w:rFonts w:ascii="Times New Roman" w:hAnsi="Times New Roman"/>
          <w:b w:val="0"/>
          <w:i w:val="0"/>
          <w:sz w:val="24"/>
        </w:rPr>
        <w:t xml:space="preserve"> — Vícios formais sanáveis (ex: erro de OCR, nomenclatura de arquivos ou documentos complementares secundários), nos termos do Art. 8º, I do Decreto Regulamentador.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Consolas" w:hAnsi="Consolas"/>
          <w:color w:val="003366"/>
          <w:sz w:val="20"/>
        </w:rPr>
        <w:t>INDEFERIDO SUMARIAMENTE</w:t>
      </w:r>
      <w:r>
        <w:rPr>
          <w:rFonts w:ascii="Times New Roman" w:hAnsi="Times New Roman"/>
          <w:b w:val="0"/>
          <w:i w:val="0"/>
          <w:sz w:val="24"/>
        </w:rPr>
        <w:t xml:space="preserve"> — Intempestividade não justificada ou ausência de Ofício ou Declaração de Veracidade.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6. Fluxo Operacional Anual de Envio, Avaliação e Homologação</w:t>
      </w:r>
    </w:p>
    <w:p>
      <w:pPr>
        <w:spacing w:before="240" w:after="80"/>
        <w:ind w:firstLine="0"/>
        <w:jc w:val="center"/>
      </w:pPr>
      <w:r>
        <w:rPr>
          <w:rFonts w:ascii="Times New Roman" w:hAnsi="Times New Roman"/>
          <w:b/>
          <w:sz w:val="20"/>
        </w:rPr>
        <w:t>Figura 2: Fluxo Operacional do Ciclo Anual de Envio, Avaliação e Homologação do ICMS Ecológico</w:t>
      </w:r>
    </w:p>
    <w:p>
      <w:pPr>
        <w:spacing w:before="4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12472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fluxo_operacio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47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/>
          <w:i/>
          <w:color w:val="646464"/>
          <w:sz w:val="19"/>
        </w:rPr>
        <w:t>Fonte: Elaboração própria / SEINUC/PA (2026).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787878"/>
        <w:sz w:val="17"/>
      </w:rPr>
      <w:t>Documento Oficial de Regulamentação e Especificação Técnica • Manual Fluxo Envio E Triagem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87878"/>
        <w:sz w:val="17"/>
      </w:rPr>
      <w:t>SEINUC/PA — GOVERNO DO ESTADO DO PARÁ / IDEFLOR-Bio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