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ESPECIFICAÇÃO DO PORTAL DE TRANSPARÊNCIA E SERVIÇOS DE MAPAS OGC (SEINUC/PA)</w:t>
      </w:r>
    </w:p>
    <w:p>
      <w:pPr>
        <w:spacing w:line="240" w:lineRule="auto" w:before="120" w:after="120"/>
        <w:ind w:left="4252" w:firstLine="0"/>
        <w:jc w:val="both"/>
      </w:pPr>
      <w:r>
        <w:rPr>
          <w:rFonts w:ascii="Times New Roman" w:hAnsi="Times New Roman"/>
          <w:b/>
          <w:i/>
          <w:sz w:val="20"/>
        </w:rPr>
        <w:t>Documento Oficial de Especificação Técnica e Regulamentação da Transparência Ativa e Geoserviços</w:t>
      </w:r>
    </w:p>
    <w:p>
      <w:pPr>
        <w:spacing w:line="240" w:lineRule="auto" w:before="120" w:after="120"/>
        <w:ind w:left="4252" w:firstLine="0"/>
        <w:jc w:val="both"/>
      </w:pPr>
      <w:r>
        <w:rPr>
          <w:rFonts w:ascii="Times New Roman" w:hAnsi="Times New Roman"/>
          <w:b/>
          <w:i/>
          <w:sz w:val="20"/>
        </w:rPr>
        <w:t>Base Legal:</w:t>
      </w:r>
      <w:r>
        <w:rPr>
          <w:rFonts w:ascii="Times New Roman" w:hAnsi="Times New Roman"/>
          <w:b w:val="0"/>
          <w:i/>
          <w:sz w:val="20"/>
        </w:rPr>
        <w:t xml:space="preserve"> Art. 67, § 6º e Art. 111 da Lei Estadual nº 10.306/2023 | Arts. 13 e 14 do Decreto Regulamentador do SEINUC/PA | Lei Federal nº 12.527/2011 (LAI) | Padrões OGC (Open Geospatial Consortium)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1. Apresentação e Objetivos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Este documento especifica os requisitos funcionais, a arquitetura de transparência ativa, as diretrizes de dados abertos e a infraestrutura de geoserviços nos padrões da </w:t>
      </w:r>
      <w:r>
        <w:rPr>
          <w:rFonts w:ascii="Times New Roman" w:hAnsi="Times New Roman"/>
          <w:b w:val="0"/>
          <w:i/>
          <w:sz w:val="24"/>
        </w:rPr>
        <w:t>Open Geospatial Consortium (OGC)</w:t>
      </w:r>
      <w:r>
        <w:rPr>
          <w:rFonts w:ascii="Times New Roman" w:hAnsi="Times New Roman"/>
          <w:b w:val="0"/>
          <w:i w:val="0"/>
          <w:sz w:val="24"/>
        </w:rPr>
        <w:t xml:space="preserve"> do </w:t>
      </w:r>
      <w:r>
        <w:rPr>
          <w:rFonts w:ascii="Times New Roman" w:hAnsi="Times New Roman"/>
          <w:b/>
          <w:i w:val="0"/>
          <w:sz w:val="24"/>
        </w:rPr>
        <w:t>Sistema Estadual de Informações sobre Unidades de Conservação do Estado do Pará (SEINUC/PA)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O objetivo precípuo consiste em garantir o controle social, a publicidade irrestrita das ações de conservação do patrimônio natural paraense e a obrigatoriedade de alimentação da </w:t>
      </w:r>
      <w:r>
        <w:rPr>
          <w:rFonts w:ascii="Times New Roman" w:hAnsi="Times New Roman"/>
          <w:b/>
          <w:i w:val="0"/>
          <w:sz w:val="24"/>
        </w:rPr>
        <w:t>Cartografia Oficial do Estado do Pará</w:t>
      </w:r>
      <w:r>
        <w:rPr>
          <w:rFonts w:ascii="Times New Roman" w:hAnsi="Times New Roman"/>
          <w:b w:val="0"/>
          <w:i w:val="0"/>
          <w:sz w:val="24"/>
        </w:rPr>
        <w:t xml:space="preserve"> (Art. 111 da Lei nº 10.306/2023).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2. Arquitetura do Portal Público de Transparência Ativa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Portal Público do SEINUC/PA será estruturado em três módulos integrados de livre acesso ao cidadão, pesquisadores e órgãos de controle, isentos de necessidade de cadastro prévio: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single" w:sz="12" w:space="0" w:color="003366"/>
          <w:right w:val="single" w:sz="4" w:space="0" w:color="CCCCCC"/>
          <w:insideH w:val="none"/>
          <w:insideV w:val="none"/>
        </w:tblBorders>
      </w:tblPr>
      <w:tblGrid>
        <w:gridCol w:w="9405"/>
      </w:tblGrid>
      <w:tr>
        <w:tc>
          <w:tcPr>
            <w:tcW w:type="dxa" w:w="9405"/>
            <w:shd w:fill="F4F6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line="240" w:lineRule="auto" w:before="80" w:after="80"/>
              <w:ind w:firstLine="0"/>
            </w:pPr>
            <w:r>
              <w:rPr>
                <w:rFonts w:ascii="Consolas" w:hAnsi="Consolas"/>
                <w:color w:val="1E1E1E"/>
                <w:sz w:val="19"/>
              </w:rPr>
              <w:t>PORTAL PÚBLICO SEINUC/PA (TRANSPARÊNCIA ATIVA)</w:t>
              <w:br/>
              <w:t>├── MÓDULO A: Visualizador WebGIS Interativo de UCs e Zoneamento</w:t>
              <w:br/>
              <w:t>├── MÓDULO B: Repositório e Consulta Documental de Unidades de Conservação</w:t>
              <w:br/>
              <w:t>└── MÓDULO C: Painel Transparente do ICMS Ecológico por Município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i/>
          <w:sz w:val="24"/>
        </w:rPr>
        <w:t>2.1. Módulo A - Visualizador WebGIS Interativo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• </w:t>
      </w:r>
      <w:r>
        <w:rPr>
          <w:rFonts w:ascii="Times New Roman" w:hAnsi="Times New Roman"/>
          <w:b/>
          <w:i w:val="0"/>
          <w:sz w:val="24"/>
        </w:rPr>
        <w:t>Funcionalidade:</w:t>
      </w:r>
      <w:r>
        <w:rPr>
          <w:rFonts w:ascii="Times New Roman" w:hAnsi="Times New Roman"/>
          <w:b w:val="0"/>
          <w:i w:val="0"/>
          <w:sz w:val="24"/>
        </w:rPr>
        <w:t xml:space="preserve"> Interface cartográfica de alto desempenho para navegação espacial sobre as Unidades de Conservação estaduais, municipais e RPPNs.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• </w:t>
      </w:r>
      <w:r>
        <w:rPr>
          <w:rFonts w:ascii="Times New Roman" w:hAnsi="Times New Roman"/>
          <w:b/>
          <w:i w:val="0"/>
          <w:sz w:val="24"/>
        </w:rPr>
        <w:t>Camadas de Informação Disponíveis: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• Polígonos de Perímetros Oficiais de UCs (Proteção Integral e Uso Sustentável).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• Zoneamento Ambiental Interno e Zonas de Amortecimento.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• Mosaicos de Áreas Protegidas e terras comunitárias limítrofes.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• Camada de Hidrografia e Bacias Hidrográficas.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• </w:t>
      </w:r>
      <w:r>
        <w:rPr>
          <w:rFonts w:ascii="Times New Roman" w:hAnsi="Times New Roman"/>
          <w:b/>
          <w:i w:val="0"/>
          <w:sz w:val="24"/>
        </w:rPr>
        <w:t>Ferramentas do Usuário:</w:t>
      </w:r>
      <w:r>
        <w:rPr>
          <w:rFonts w:ascii="Times New Roman" w:hAnsi="Times New Roman"/>
          <w:b w:val="0"/>
          <w:i w:val="0"/>
          <w:sz w:val="24"/>
        </w:rPr>
        <w:t xml:space="preserve"> Consulta por atributos, medição de áreas/distâncias, alternância de mapas de fundo (satélite/topográfico) e exportação de mapas em PDF.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i/>
          <w:sz w:val="24"/>
        </w:rPr>
        <w:t>2.2. Módulo B - Repositório e Consulta Documental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• </w:t>
      </w:r>
      <w:r>
        <w:rPr>
          <w:rFonts w:ascii="Times New Roman" w:hAnsi="Times New Roman"/>
          <w:b/>
          <w:i w:val="0"/>
          <w:sz w:val="24"/>
        </w:rPr>
        <w:t>Funcionalidade:</w:t>
      </w:r>
      <w:r>
        <w:rPr>
          <w:rFonts w:ascii="Times New Roman" w:hAnsi="Times New Roman"/>
          <w:b w:val="0"/>
          <w:i w:val="0"/>
          <w:sz w:val="24"/>
        </w:rPr>
        <w:t xml:space="preserve"> Mecanismo de busca textual e download público de documentos oficiais vinculados às UCs.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• </w:t>
      </w:r>
      <w:r>
        <w:rPr>
          <w:rFonts w:ascii="Times New Roman" w:hAnsi="Times New Roman"/>
          <w:b/>
          <w:i w:val="0"/>
          <w:sz w:val="24"/>
        </w:rPr>
        <w:t>Acervo Disponível: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• Atos Legais de Criação (Leis e Decretos).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• Planos de Gestão (equivalentes ao plano de manejo federal — art. 2º, XXII, da Lei nº 10.306/2023) em formato PDF pesquisável.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• Portarias de instituição e Atas de Reuniões dos Conselhos Gestores.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• Fichas de Caracterização Ambiental e Resumos Executivos.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i/>
          <w:sz w:val="24"/>
        </w:rPr>
        <w:t>2.3. Módulo C - Painel Transparente do ICMS Ecológico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• </w:t>
      </w:r>
      <w:r>
        <w:rPr>
          <w:rFonts w:ascii="Times New Roman" w:hAnsi="Times New Roman"/>
          <w:b/>
          <w:i w:val="0"/>
          <w:sz w:val="24"/>
        </w:rPr>
        <w:t>Funcionalidade:</w:t>
      </w:r>
      <w:r>
        <w:rPr>
          <w:rFonts w:ascii="Times New Roman" w:hAnsi="Times New Roman"/>
          <w:b w:val="0"/>
          <w:i w:val="0"/>
          <w:sz w:val="24"/>
        </w:rPr>
        <w:t xml:space="preserve"> Painel de prestação de contas dos repasses ambientais aos municípios paraense.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• </w:t>
      </w:r>
      <w:r>
        <w:rPr>
          <w:rFonts w:ascii="Times New Roman" w:hAnsi="Times New Roman"/>
          <w:b/>
          <w:i w:val="0"/>
          <w:sz w:val="24"/>
        </w:rPr>
        <w:t>Dados Publicizados: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• Relação de municípios habilitados e indeferidos por exercício.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• Extratos de Pontuação Provisória e Definitiva.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• Fichas de Avaliação Técnica emitidas pela Comissão Técnica (CT-SEINUC).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• Relatórios de Julgamento de Recursos Administrativos.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• Rastreamento da destinação de ao menos 20% das verbas a UCs municipais (Art. 117 da Lei nº 10.306/2023).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3. Geoserviços OGC e Integração com a Cartografia Oficial do Estado (Art. 111 da Lei 10.306/23 e Art. 13 do Decreto)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Em estrito cumprimento ao </w:t>
      </w:r>
      <w:r>
        <w:rPr>
          <w:rFonts w:ascii="Times New Roman" w:hAnsi="Times New Roman"/>
          <w:b/>
          <w:i w:val="0"/>
          <w:sz w:val="24"/>
        </w:rPr>
        <w:t>Art. 111 da Lei Estadual nº 10.306/2023</w:t>
      </w:r>
      <w:r>
        <w:rPr>
          <w:rFonts w:ascii="Times New Roman" w:hAnsi="Times New Roman"/>
          <w:b w:val="0"/>
          <w:i w:val="0"/>
          <w:sz w:val="24"/>
        </w:rPr>
        <w:t xml:space="preserve"> e ao </w:t>
      </w:r>
      <w:r>
        <w:rPr>
          <w:rFonts w:ascii="Times New Roman" w:hAnsi="Times New Roman"/>
          <w:b/>
          <w:i w:val="0"/>
          <w:sz w:val="24"/>
        </w:rPr>
        <w:t>Art. 13 do Decreto Regulamentador</w:t>
      </w:r>
      <w:r>
        <w:rPr>
          <w:rFonts w:ascii="Times New Roman" w:hAnsi="Times New Roman"/>
          <w:b w:val="0"/>
          <w:i w:val="0"/>
          <w:sz w:val="24"/>
        </w:rPr>
        <w:t xml:space="preserve">, as bases de dados geográficos do SEINUC/PA serão disponibilizadas por ciclo anual (com atualização contínua intra-ciclo) via geoserviços padronizados pela </w:t>
      </w:r>
      <w:r>
        <w:rPr>
          <w:rFonts w:ascii="Times New Roman" w:hAnsi="Times New Roman"/>
          <w:b w:val="0"/>
          <w:i/>
          <w:sz w:val="24"/>
        </w:rPr>
        <w:t>Open Geospatial Consortium (OGC)</w:t>
      </w:r>
      <w:r>
        <w:rPr>
          <w:rFonts w:ascii="Times New Roman" w:hAnsi="Times New Roman"/>
          <w:b w:val="0"/>
          <w:i w:val="0"/>
          <w:sz w:val="24"/>
        </w:rPr>
        <w:t xml:space="preserve"> para consumo obrigatório pelos geoportais oficiais do Estado do Pará (SIEPA, ITERPA, SEMAS e SEFA).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i/>
          <w:sz w:val="24"/>
        </w:rPr>
        <w:t>3.1. Especificação dos Geoserviços OGC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4" w:space="0" w:color="E0E0E0"/>
          <w:left w:val="none"/>
          <w:right w:val="none"/>
          <w:insideV w:val="none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Serviço OGC</w:t>
            </w:r>
          </w:p>
        </w:tc>
        <w:tc>
          <w:tcPr>
            <w:tcW w:type="dxa" w:w="235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Versão Padrão</w:t>
            </w:r>
          </w:p>
        </w:tc>
        <w:tc>
          <w:tcPr>
            <w:tcW w:type="dxa" w:w="235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Endpoint de Acesso</w:t>
            </w:r>
          </w:p>
        </w:tc>
        <w:tc>
          <w:tcPr>
            <w:tcW w:type="dxa" w:w="235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Finalidade e Aplicação na Cartografia Oficial</w:t>
            </w:r>
          </w:p>
        </w:tc>
      </w:tr>
      <w:tr>
        <w:tc>
          <w:tcPr>
            <w:tcW w:type="dxa" w:w="235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WMS (Web Map Service)</w:t>
            </w:r>
          </w:p>
        </w:tc>
        <w:tc>
          <w:tcPr>
            <w:tcW w:type="dxa" w:w="235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1.3.0</w:t>
            </w:r>
          </w:p>
        </w:tc>
        <w:tc>
          <w:tcPr>
            <w:tcW w:type="dxa" w:w="235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https://seinuc.ideflor.pa.gov.br/geoserver/wms</w:t>
            </w:r>
          </w:p>
        </w:tc>
        <w:tc>
          <w:tcPr>
            <w:tcW w:type="dxa" w:w="235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Renderização de mapas dinâmicos e camadas visuais das UCs na confecção das cartas e mapas oficiais do Governo do Estado do Pará.</w:t>
            </w:r>
          </w:p>
        </w:tc>
      </w:tr>
      <w:tr>
        <w:tc>
          <w:tcPr>
            <w:tcW w:type="dxa" w:w="235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WFS (Web Feature Service)</w:t>
            </w:r>
          </w:p>
        </w:tc>
        <w:tc>
          <w:tcPr>
            <w:tcW w:type="dxa" w:w="235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2.0.0</w:t>
            </w:r>
          </w:p>
        </w:tc>
        <w:tc>
          <w:tcPr>
            <w:tcW w:type="dxa" w:w="235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https://seinuc.ideflor.pa.gov.br/geoserver/wfs</w:t>
            </w:r>
          </w:p>
        </w:tc>
        <w:tc>
          <w:tcPr>
            <w:tcW w:type="dxa" w:w="235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Download e consumo de vetores brutos em formatos abertos (</w:t>
            </w:r>
            <w:r>
              <w:rPr>
                <w:rFonts w:ascii="Consolas" w:hAnsi="Consolas"/>
                <w:color w:val="003366"/>
                <w:sz w:val="20"/>
              </w:rPr>
              <w:t>GeoJSON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Shapefile zip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KML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>) por órgãos ambientais, pesquisadores e sistemas parceiros.</w:t>
            </w:r>
          </w:p>
        </w:tc>
      </w:tr>
      <w:tr>
        <w:tc>
          <w:tcPr>
            <w:tcW w:type="dxa" w:w="235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WCS (Web Coverage Service)</w:t>
            </w:r>
          </w:p>
        </w:tc>
        <w:tc>
          <w:tcPr>
            <w:tcW w:type="dxa" w:w="235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2.0.1</w:t>
            </w:r>
          </w:p>
        </w:tc>
        <w:tc>
          <w:tcPr>
            <w:tcW w:type="dxa" w:w="235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https://seinuc.ideflor.pa.gov.br/geoserver/wcs</w:t>
            </w:r>
          </w:p>
        </w:tc>
        <w:tc>
          <w:tcPr>
            <w:tcW w:type="dxa" w:w="235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Transmissão de dados raster e modelos digitais de elevação de UCs quando aplicável.</w:t>
            </w:r>
          </w:p>
        </w:tc>
      </w:tr>
      <w:tr>
        <w:tc>
          <w:tcPr>
            <w:tcW w:type="dxa" w:w="235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CSW (Catalog Service for the Web)</w:t>
            </w:r>
          </w:p>
        </w:tc>
        <w:tc>
          <w:tcPr>
            <w:tcW w:type="dxa" w:w="235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2.0.2</w:t>
            </w:r>
          </w:p>
        </w:tc>
        <w:tc>
          <w:tcPr>
            <w:tcW w:type="dxa" w:w="235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https://seinuc.ideflor.pa.gov.br/geoserver/csw</w:t>
            </w:r>
          </w:p>
        </w:tc>
        <w:tc>
          <w:tcPr>
            <w:tcW w:type="dxa" w:w="235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Descoberta e catálogo estandardizado de metadados geográficos junto à INDE.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i/>
          <w:sz w:val="24"/>
        </w:rPr>
        <w:t>3.2. Padrão de Metadados Geográficos (Perfil MGB / INDE)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Todos os conjuntos de dados geográficos do SEINUC/PA serão catalogados segundo o </w:t>
      </w:r>
      <w:r>
        <w:rPr>
          <w:rFonts w:ascii="Times New Roman" w:hAnsi="Times New Roman"/>
          <w:b/>
          <w:i w:val="0"/>
          <w:sz w:val="24"/>
        </w:rPr>
        <w:t>Perfil de Metadados Geográficos do Brasil (MGB)</w:t>
      </w:r>
      <w:r>
        <w:rPr>
          <w:rFonts w:ascii="Times New Roman" w:hAnsi="Times New Roman"/>
          <w:b w:val="0"/>
          <w:i w:val="0"/>
          <w:sz w:val="24"/>
        </w:rPr>
        <w:t xml:space="preserve"> da Infraestrutura Nacional de Dados Espaciais (INDE), contendo: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• Linhagem e histórico do dado vetorial e UUID do conjunto de dados.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• Sistema de Referência: SIRGAS 2000 (EPSG:4674).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• Responsável técnico pelo mapeamento e periodicidade de atualização.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4. Diretrizes de Sigilo, Proteção da Biodiversidade, LGPD e SisGen (Art. 14 do Decreto)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transparência pública no SEINUC/PA observará as ressalvas legais de proteção ao patrimônio biológico, à privacidade e ao patrimônio genético, nos termos do Art. 14 do Decreto Regulamentador, da Lei Geral de Proteção de Dados (Lei Federal nº 13.709/2018) e da Lei da Biodiversidade (Lei Federal nº 13.123/2015):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i/>
          <w:sz w:val="24"/>
        </w:rPr>
        <w:t>4.1. Resguardo da Biodiversidade (Proteção contra Biopirataria)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• </w:t>
      </w:r>
      <w:r>
        <w:rPr>
          <w:rFonts w:ascii="Times New Roman" w:hAnsi="Times New Roman"/>
          <w:b/>
          <w:i w:val="0"/>
          <w:sz w:val="24"/>
        </w:rPr>
        <w:t>Regra de Mascaramento Espacial:</w:t>
      </w:r>
      <w:r>
        <w:rPr>
          <w:rFonts w:ascii="Times New Roman" w:hAnsi="Times New Roman"/>
          <w:b w:val="0"/>
          <w:i w:val="0"/>
          <w:sz w:val="24"/>
        </w:rPr>
        <w:t xml:space="preserve"> As coordenadas geográficas exatas de pontos de nidificação, avistamento ou ocorrência de espécies da fauna e flora criticamente ameaçadas de extinção (CR) suscetíveis à caça, ilícito ou biopirataria serão mascaradas no visualizador público e nos endpoints OGC.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• </w:t>
      </w:r>
      <w:r>
        <w:rPr>
          <w:rFonts w:ascii="Times New Roman" w:hAnsi="Times New Roman"/>
          <w:b/>
          <w:i w:val="0"/>
          <w:sz w:val="24"/>
        </w:rPr>
        <w:t>Visualização Generalizada em Todos os Geoserviços:</w:t>
      </w:r>
      <w:r>
        <w:rPr>
          <w:rFonts w:ascii="Times New Roman" w:hAnsi="Times New Roman"/>
          <w:b w:val="0"/>
          <w:i w:val="0"/>
          <w:sz w:val="24"/>
        </w:rPr>
        <w:t xml:space="preserve"> Para o público geral, o dado de ocorrência sensível será exibido nos geoserviços públicos (WebGIS, WMS, WFS e WCS) por polígono de quadrícula regional generalizada (10 x 10 km), aplicando-se o mesmo filtro de generalização às requisições de consulta puntiforme (</w:t>
      </w:r>
      <w:r>
        <w:rPr>
          <w:rFonts w:ascii="Times New Roman" w:hAnsi="Times New Roman"/>
          <w:b w:val="0"/>
          <w:i/>
          <w:sz w:val="24"/>
        </w:rPr>
        <w:t>GetFeatureInfo</w:t>
      </w:r>
      <w:r>
        <w:rPr>
          <w:rFonts w:ascii="Times New Roman" w:hAnsi="Times New Roman"/>
          <w:b w:val="0"/>
          <w:i w:val="0"/>
          <w:sz w:val="24"/>
        </w:rPr>
        <w:t xml:space="preserve"> e </w:t>
      </w:r>
      <w:r>
        <w:rPr>
          <w:rFonts w:ascii="Times New Roman" w:hAnsi="Times New Roman"/>
          <w:b w:val="0"/>
          <w:i/>
          <w:sz w:val="24"/>
        </w:rPr>
        <w:t>GetFeature</w:t>
      </w:r>
      <w:r>
        <w:rPr>
          <w:rFonts w:ascii="Times New Roman" w:hAnsi="Times New Roman"/>
          <w:b w:val="0"/>
          <w:i w:val="0"/>
          <w:sz w:val="24"/>
        </w:rPr>
        <w:t>), mantendo a precisão exata restrita ao corpo técnico autorizado da SEMAS e IDEFLOR-Bio.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i/>
          <w:sz w:val="24"/>
        </w:rPr>
        <w:t>4.2. Conformidade com a LGPD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• A Secretaria de Estado de Meio Ambiente e Sustentabilidade (SEMAS) atua na condição de </w:t>
      </w:r>
      <w:r>
        <w:rPr>
          <w:rFonts w:ascii="Times New Roman" w:hAnsi="Times New Roman"/>
          <w:b/>
          <w:i w:val="0"/>
          <w:sz w:val="24"/>
        </w:rPr>
        <w:t>Controladora</w:t>
      </w:r>
      <w:r>
        <w:rPr>
          <w:rFonts w:ascii="Times New Roman" w:hAnsi="Times New Roman"/>
          <w:b w:val="0"/>
          <w:i w:val="0"/>
          <w:sz w:val="24"/>
        </w:rPr>
        <w:t xml:space="preserve"> dos dados e o IDEFLOR-Bio como </w:t>
      </w:r>
      <w:r>
        <w:rPr>
          <w:rFonts w:ascii="Times New Roman" w:hAnsi="Times New Roman"/>
          <w:b/>
          <w:i w:val="0"/>
          <w:sz w:val="24"/>
        </w:rPr>
        <w:t>Operador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• Os dados pessoais de conselheiros civis ou gestores (CPF, telefone pessoal, endereço residencial) serão tarjados e anonimizados nos documentos públicos colocados para download, preservando-se a identificação institucional e o nome completo.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i/>
          <w:sz w:val="24"/>
        </w:rPr>
        <w:t>4.3. Conformidade com a Lei do Patrimônio Genético (SisGen)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• As informações relativas a acessos ao patrimônio genético e conhecimento tradicional associado em Unidades de Conservação observarão as salvaguardas da Lei Federal nº 13.123/2015 e os registros oficiais do Sistema Nacional de Gestão do Patrimônio Genético e do Conhecimento Tradicional Associado (SisGen).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134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i/>
        <w:color w:val="787878"/>
        <w:sz w:val="17"/>
      </w:rPr>
      <w:t>Documento Oficial de Regulamentação e Especificação Técnica • Especificacao Portal Transparencia Ogc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i/>
        <w:color w:val="787878"/>
        <w:sz w:val="17"/>
      </w:rPr>
      <w:t>SEINUC/PA — GOVERNO DO ESTADO DO PARÁ / IDEFLOR-Bio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