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MANUAL DE PROTOCOLO DIGITAL, FLUXO DE ENVIO E CHECKLIST DE TRIAGEM (SEINUC/PA)</w:t>
      </w:r>
    </w:p>
    <w:p>
      <w:pPr>
        <w:spacing w:line="240" w:lineRule="auto" w:before="120" w:after="120"/>
        <w:ind w:left="4252" w:firstLine="0"/>
        <w:jc w:val="both"/>
      </w:pPr>
      <w:r>
        <w:rPr>
          <w:rFonts w:ascii="Times New Roman" w:hAnsi="Times New Roman"/>
          <w:b/>
          <w:i/>
          <w:sz w:val="20"/>
        </w:rPr>
        <w:t>Documento Oficial de Instrução Operacional do Sistema Estadual de Informações sobre Unidades de Conservação do Estado do Pará (SEINUC/PA)</w:t>
      </w:r>
    </w:p>
    <w:p>
      <w:pPr>
        <w:spacing w:line="240" w:lineRule="auto" w:before="120" w:after="120"/>
        <w:ind w:left="4252" w:firstLine="0"/>
        <w:jc w:val="both"/>
      </w:pPr>
      <w:r>
        <w:rPr>
          <w:rFonts w:ascii="Times New Roman" w:hAnsi="Times New Roman"/>
          <w:b/>
          <w:i/>
          <w:sz w:val="20"/>
        </w:rPr>
        <w:t>Base Legal:</w:t>
      </w:r>
      <w:r>
        <w:rPr>
          <w:rFonts w:ascii="Times New Roman" w:hAnsi="Times New Roman"/>
          <w:b w:val="0"/>
          <w:i/>
          <w:sz w:val="20"/>
        </w:rPr>
        <w:t xml:space="preserve"> Arts. 5º, 6º, 7º, 8º e 9º do Decreto Regulamentador do SEINUC/PA | Portaria Conjunta SEMAS/IDEFLOR-Bio nº ____/202X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1. Apresentação e Objetivos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Este manual estabelece os procedimentos operacionais para a transmissão digital de arquivos, a infraestrutura de recepção, a emissão do recibo de protocolo com autenticação de integridade e o </w:t>
      </w:r>
      <w:r>
        <w:rPr>
          <w:rFonts w:ascii="Times New Roman" w:hAnsi="Times New Roman"/>
          <w:b/>
          <w:i w:val="0"/>
          <w:sz w:val="24"/>
        </w:rPr>
        <w:t>Checklist de Triagem (Admissibilidade Formal)</w:t>
      </w:r>
      <w:r>
        <w:rPr>
          <w:rFonts w:ascii="Times New Roman" w:hAnsi="Times New Roman"/>
          <w:b w:val="0"/>
          <w:i w:val="0"/>
          <w:sz w:val="24"/>
        </w:rPr>
        <w:t xml:space="preserve"> aplicado pela Comissão Técnica de Avaliação do SEINUC (CT-SEINUC).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2. Estrutura de Diretórios do Pacote de Envio Digital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 gestores deverão organizar o pacote digital de transmissão obedecendo à seguinte estrutura padronizada de diretórios: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12" w:space="0" w:color="003366"/>
          <w:right w:val="single" w:sz="4" w:space="0" w:color="CCCCCC"/>
          <w:insideH w:val="none"/>
          <w:insideV w:val="none"/>
        </w:tblBorders>
      </w:tblPr>
      <w:tblGrid>
        <w:gridCol w:w="9405"/>
      </w:tblGrid>
      <w:tr>
        <w:tc>
          <w:tcPr>
            <w:tcW w:type="dxa" w:w="9405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240" w:lineRule="auto" w:before="80" w:after="80"/>
              <w:ind w:firstLine="0"/>
            </w:pPr>
            <w:r>
              <w:rPr>
                <w:rFonts w:ascii="Consolas" w:hAnsi="Consolas"/>
                <w:color w:val="1E1E1E"/>
                <w:sz w:val="19"/>
              </w:rPr>
              <w:t>[PACOTE_ENVIO_ANO_BASE]/</w:t>
              <w:br/>
              <w:t>├── 01_DOCUMENTOS_OBRIGATORIOS/</w:t>
              <w:br/>
              <w:t>│   ├── [COD_IBGE]_[SIGLA_UC]_OFICIO_2025.pdf</w:t>
              <w:br/>
              <w:t>│   └── [COD_IBGE]_[SIGLA_UC]_DECLARACAO_2025.pdf</w:t>
              <w:br/>
              <w:t>├── 02_MODULO_I_AMBIENTAL/</w:t>
              <w:br/>
              <w:t>│   └── [COD_IBGE]_[SIGLA_UC]_Q1_2025.pdf</w:t>
              <w:br/>
              <w:t>├── 03_MODULO_II_GEOTECNOLOGIAS/</w:t>
              <w:br/>
              <w:t>│   └── [COD_IBGE]_[SIGLA_UC]_VETOR_2025.zip</w:t>
              <w:br/>
              <w:t>├── 04_MODULO_III_GESTAO/</w:t>
              <w:br/>
              <w:t>│   ├── [COD_IBGE]_[SIGLA_UC]_Q3_2025.pdf</w:t>
              <w:br/>
              <w:t>│   ├── [COD_IBGE]_[SIGLA_UC]_ATAS_CONSELHO_2025.pdf</w:t>
              <w:br/>
              <w:t>│   └── [COD_IBGE]_[SIGLA_UC]_PLANO_GESTAO.pdf</w:t>
              <w:br/>
              <w:t>└── 05_MODULO_IV_FUNDIARIO_RPPN/</w:t>
              <w:br/>
              <w:t xml:space="preserve">    └── [COD_IBGE]_[SIGLA_UC]_MATRICULA_RGI.pdf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3. Canais de Transmissão e Recibo com Hash SHA-256 e Selo de Tempo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/>
          <w:b/>
          <w:i/>
          <w:sz w:val="24"/>
        </w:rPr>
        <w:t>3.1. Canais de Transmissão</w:t>
      </w:r>
    </w:p>
    <w:p>
      <w:pPr>
        <w:spacing w:line="360" w:lineRule="auto" w:before="0"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ascii="Times New Roman" w:hAnsi="Times New Roman"/>
          <w:b/>
          <w:i w:val="0"/>
          <w:sz w:val="24"/>
        </w:rPr>
        <w:t>Portal Web do SEINUC/PA:</w:t>
      </w:r>
      <w:r>
        <w:rPr>
          <w:rFonts w:ascii="Times New Roman" w:hAnsi="Times New Roman"/>
          <w:b w:val="0"/>
          <w:i w:val="0"/>
          <w:sz w:val="24"/>
        </w:rPr>
        <w:t xml:space="preserve"> Envio direto via formulário eletrônico autenticado para pacotes de até 200 MB por Unidade de Conservação.</w:t>
      </w:r>
    </w:p>
    <w:p>
      <w:pPr>
        <w:spacing w:line="360" w:lineRule="auto" w:before="0"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ascii="Times New Roman" w:hAnsi="Times New Roman"/>
          <w:b/>
          <w:i w:val="0"/>
          <w:sz w:val="24"/>
        </w:rPr>
        <w:t>Servidor SFTP Institucional:</w:t>
      </w:r>
      <w:r>
        <w:rPr>
          <w:rFonts w:ascii="Times New Roman" w:hAnsi="Times New Roman"/>
          <w:b w:val="0"/>
          <w:i w:val="0"/>
          <w:sz w:val="24"/>
        </w:rPr>
        <w:t xml:space="preserve"> Servidor seguro para recepção de acervos pesados e arquivos vetoriais.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/>
          <w:b/>
          <w:i/>
          <w:sz w:val="24"/>
        </w:rPr>
        <w:t>3.2. Recibo Eletrônico de Protocolo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Ao finalizar a transmissão, o sistema emitirá automaticamente o </w:t>
      </w:r>
      <w:r>
        <w:rPr>
          <w:rFonts w:ascii="Times New Roman" w:hAnsi="Times New Roman"/>
          <w:b/>
          <w:i w:val="0"/>
          <w:sz w:val="24"/>
        </w:rPr>
        <w:t>Comprovante de Protocolo Digital</w:t>
      </w:r>
      <w:r>
        <w:rPr>
          <w:rFonts w:ascii="Times New Roman" w:hAnsi="Times New Roman"/>
          <w:b w:val="0"/>
          <w:i w:val="0"/>
          <w:sz w:val="24"/>
        </w:rPr>
        <w:t>, contendo:</w:t>
      </w:r>
    </w:p>
    <w:p>
      <w:pPr>
        <w:spacing w:line="360" w:lineRule="auto" w:before="0"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• Número do Protocolo Único de Entrada (</w:t>
      </w:r>
      <w:r>
        <w:rPr>
          <w:rFonts w:ascii="Consolas" w:hAnsi="Consolas"/>
          <w:color w:val="003366"/>
          <w:sz w:val="20"/>
        </w:rPr>
        <w:t>ANO-MUNICIPIO-SEINUC-Nº</w:t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pPr>
        <w:spacing w:line="360" w:lineRule="auto" w:before="0"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• Data e Hora exatas do servidor oficial (Horário de Brasília) com carimbo de tempo.</w:t>
      </w:r>
    </w:p>
    <w:p>
      <w:pPr>
        <w:spacing w:line="360" w:lineRule="auto" w:before="0"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• Relação nominal de arquivos transmitidos.</w:t>
      </w:r>
    </w:p>
    <w:p>
      <w:pPr>
        <w:spacing w:line="360" w:lineRule="auto" w:before="0"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ascii="Times New Roman" w:hAnsi="Times New Roman"/>
          <w:b/>
          <w:i w:val="0"/>
          <w:sz w:val="24"/>
        </w:rPr>
        <w:t>Código Hash SHA-256 e Selo de Tempo ICP-Brasil</w:t>
      </w:r>
      <w:r>
        <w:rPr>
          <w:rFonts w:ascii="Times New Roman" w:hAnsi="Times New Roman"/>
          <w:b w:val="0"/>
          <w:i w:val="0"/>
          <w:sz w:val="24"/>
        </w:rPr>
        <w:t>, garantindo a integridade e a rastreabilidade do pacote transmitido.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4. Checklist de Triagem e Admissibilidade Formal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Antes da análise de mérito da documentação pela equipe técnica, o processo será submetido à </w:t>
      </w:r>
      <w:r>
        <w:rPr>
          <w:rFonts w:ascii="Times New Roman" w:hAnsi="Times New Roman"/>
          <w:b/>
          <w:i w:val="0"/>
          <w:sz w:val="24"/>
        </w:rPr>
        <w:t>Triagem de Admissibilidade Formal</w:t>
      </w:r>
      <w:r>
        <w:rPr>
          <w:rFonts w:ascii="Times New Roman" w:hAnsi="Times New Roman"/>
          <w:b w:val="0"/>
          <w:i w:val="0"/>
          <w:sz w:val="24"/>
        </w:rPr>
        <w:t>. O descumprimento de qualquer item eliminatório sem a devida justificativa formal enseja a rejeição sumária do protocolo.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/>
          <w:b/>
          <w:i/>
          <w:sz w:val="24"/>
        </w:rPr>
        <w:t>Tabela de Verificação (Checklist de Triagem)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E0E0E0"/>
          <w:left w:val="none"/>
          <w:right w:val="none"/>
          <w:insideV w:val="none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Item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Critério de Admissibilidade Formal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Caráter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Condição de Aceite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Ação em Caso de Descumprimento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01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Prazo Regulamentar: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Transmissão realizada até 31/Jan do Ano de Exercício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Eliminatório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Data &lt;= 31/Jan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Rejeição Sumária por Intempestividade (salvo prorrogação automática ou justificativa de força maior apresentada em até 2 dias úteis).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02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Ofício de Encaminhamento: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Anexado e assinado por autoridade competente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Eliminatório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Presente e Assinado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Rejeição Sumária do Protocolo.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03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Declaração de Veracidade: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Modelo Anexo I assinado digitalmente (Gov.br/ICP)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Eliminatório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Presente e Válida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Rejeição Sumária do Protocolo.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04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Padrão PDF/OCR e Nomenclatura: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Arquivos textuais pesquisáveis e nomeação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Sanável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OCR e Sintaxe Válidos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Notificação para Diligência em 5 (cinco) dias úteis.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05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Padrão Vetorial (Datum e Topologia):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Geometrias em SIRGAS 2000 (EPSG:4674)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Eliminatório (Datum) / Sanável (Topologia)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Datum SIRGAS 2000 e fecho topológico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Rejeição Sumária por Datum incompatível. Notificação para Diligência em 5 (cinco) dias úteis se houver apenas inconformidades topológicas sanáveis.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06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Nomenclatura Oficial: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Arquivos nomeados segundo o padrão oficial da Portaria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Sanável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Sintaxe Correta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Notificação para Diligência em 5 (cinco) dias úteis.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07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Averbação de RPPN: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Certidão de RGI anexada (quando aplicável)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Eliminatório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Matrícula Válida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Glosa da Pontuação de RPPN.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5. Ficha Eletrônica de Aceite Preliminar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parecerista técnico registrará no SEINUC/PA a deliberação da triagem:</w:t>
      </w:r>
    </w:p>
    <w:p>
      <w:pPr>
        <w:spacing w:line="360" w:lineRule="auto" w:before="0"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ascii="Consolas" w:hAnsi="Consolas"/>
          <w:color w:val="003366"/>
          <w:sz w:val="20"/>
        </w:rPr>
        <w:t>HABILITADO PARA ANÁLISE DE MÉRITO</w:t>
      </w:r>
      <w:r>
        <w:rPr>
          <w:rFonts w:ascii="Times New Roman" w:hAnsi="Times New Roman"/>
          <w:b w:val="0"/>
          <w:i w:val="0"/>
          <w:sz w:val="24"/>
        </w:rPr>
        <w:t xml:space="preserve"> — Todos os itens 01 a 07 em conformidade.</w:t>
      </w:r>
    </w:p>
    <w:p>
      <w:pPr>
        <w:spacing w:line="360" w:lineRule="auto" w:before="0"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ascii="Consolas" w:hAnsi="Consolas"/>
          <w:color w:val="003366"/>
          <w:sz w:val="20"/>
        </w:rPr>
        <w:t>NOTIFICADO PARA DILIGÊNCIA (5 DIAS ÚTEIS)</w:t>
      </w:r>
      <w:r>
        <w:rPr>
          <w:rFonts w:ascii="Times New Roman" w:hAnsi="Times New Roman"/>
          <w:b w:val="0"/>
          <w:i w:val="0"/>
          <w:sz w:val="24"/>
        </w:rPr>
        <w:t xml:space="preserve"> — Vícios formais sanáveis (ex: erro de OCR, nomenclatura de arquivos ou documentos complementares secundários), nos termos do Art. 8º, I do Decreto Regulamentador.</w:t>
      </w:r>
    </w:p>
    <w:p>
      <w:pPr>
        <w:spacing w:line="360" w:lineRule="auto" w:before="0"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ascii="Consolas" w:hAnsi="Consolas"/>
          <w:color w:val="003366"/>
          <w:sz w:val="20"/>
        </w:rPr>
        <w:t>INDEFERIDO SUMARIAMENTE</w:t>
      </w:r>
      <w:r>
        <w:rPr>
          <w:rFonts w:ascii="Times New Roman" w:hAnsi="Times New Roman"/>
          <w:b w:val="0"/>
          <w:i w:val="0"/>
          <w:sz w:val="24"/>
        </w:rPr>
        <w:t xml:space="preserve"> — Intempestividade não justificada ou ausência de Ofício ou Declaração de Veracidade.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color w:val="787878"/>
        <w:sz w:val="17"/>
      </w:rPr>
      <w:t>Documento Oficial de Regulamentação e Especificação Técnica • Manual Fluxo Envio E Triagem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7"/>
      </w:rPr>
      <w:t>SEINUC/PA — GOVERNO DO ESTADO DO PARÁ / IDEFLOR-Bio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