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6049" w14:textId="1E102541" w:rsidR="00A379DC" w:rsidRDefault="00E90117" w:rsidP="005E1E36">
      <w:r>
        <w:t xml:space="preserve"> </w:t>
      </w:r>
      <w:r w:rsidR="002414CC" w:rsidRPr="00313F96">
        <w:rPr>
          <w:noProof/>
          <w:lang w:val="en-IN" w:eastAsia="en-IN"/>
        </w:rPr>
        <mc:AlternateContent>
          <mc:Choice Requires="wps">
            <w:drawing>
              <wp:anchor distT="0" distB="0" distL="114300" distR="114300" simplePos="0" relativeHeight="251658242" behindDoc="0" locked="1" layoutInCell="1" allowOverlap="1" wp14:anchorId="08421562" wp14:editId="56A8F5FE">
                <wp:simplePos x="0" y="0"/>
                <wp:positionH relativeFrom="column">
                  <wp:posOffset>-444500</wp:posOffset>
                </wp:positionH>
                <wp:positionV relativeFrom="page">
                  <wp:posOffset>660400</wp:posOffset>
                </wp:positionV>
                <wp:extent cx="5194300" cy="2557145"/>
                <wp:effectExtent l="0" t="0" r="0" b="0"/>
                <wp:wrapNone/>
                <wp:docPr id="1818614176" name="Text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5194300" cy="2557145"/>
                        </a:xfrm>
                        <a:prstGeom prst="rect">
                          <a:avLst/>
                        </a:prstGeom>
                        <a:noFill/>
                      </wps:spPr>
                      <wps:txbx>
                        <w:txbxContent>
                          <w:p w14:paraId="202ACC69" w14:textId="578457B3" w:rsidR="002414CC" w:rsidRPr="002414CC" w:rsidRDefault="00A17CBF" w:rsidP="002414CC">
                            <w:pPr>
                              <w:pStyle w:val="NormalWeb"/>
                              <w:spacing w:beforeAutospacing="0" w:after="0" w:afterAutospacing="0"/>
                              <w:rPr>
                                <w:color w:val="027F02"/>
                                <w:sz w:val="64"/>
                                <w:szCs w:val="64"/>
                              </w:rPr>
                            </w:pPr>
                            <w:r>
                              <w:rPr>
                                <w:rFonts w:ascii="Trebuchet MS" w:eastAsia="Trebuchet MS" w:hAnsi="Trebuchet MS" w:cs="Trebuchet MS"/>
                                <w:b/>
                                <w:bCs/>
                                <w:color w:val="027F02"/>
                                <w:kern w:val="24"/>
                                <w:sz w:val="64"/>
                                <w:szCs w:val="64"/>
                              </w:rPr>
                              <w:t>The Iran War</w:t>
                            </w:r>
                            <w:r w:rsidR="00B32C86" w:rsidRPr="00B32C86">
                              <w:rPr>
                                <w:rFonts w:ascii="Trebuchet MS" w:eastAsia="Trebuchet MS" w:hAnsi="Trebuchet MS" w:cs="Trebuchet MS"/>
                                <w:b/>
                                <w:bCs/>
                                <w:color w:val="027F02"/>
                                <w:kern w:val="24"/>
                                <w:sz w:val="64"/>
                                <w:szCs w:val="64"/>
                              </w:rPr>
                              <w:t xml:space="preserve">: </w:t>
                            </w:r>
                            <w:r w:rsidRPr="00A17CBF">
                              <w:rPr>
                                <w:rFonts w:ascii="Trebuchet MS" w:eastAsia="Trebuchet MS" w:hAnsi="Trebuchet MS" w:cs="Trebuchet MS"/>
                                <w:b/>
                                <w:bCs/>
                                <w:color w:val="027F02"/>
                                <w:kern w:val="24"/>
                                <w:sz w:val="64"/>
                                <w:szCs w:val="64"/>
                              </w:rPr>
                              <w:t>Impact of Rising Crude Oil Prices on Nigeria’s Mineral Revenue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8421562" id="_x0000_t202" coordsize="21600,21600" o:spt="202" path="m,l,21600r21600,l21600,xe">
                <v:stroke joinstyle="miter"/>
                <v:path gradientshapeok="t" o:connecttype="rect"/>
              </v:shapetype>
              <v:shape id="TextBox 1" o:spid="_x0000_s1026" type="#_x0000_t202" style="position:absolute;margin-left:-35pt;margin-top:52pt;width:409pt;height:20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" filled="f" stroked="f">
                <o:lock v:ext="edit" aspectratio="t"/>
                <v:textbox>
                  <w:txbxContent>
                    <w:p w14:paraId="202ACC69" w14:textId="578457B3" w:rsidR="002414CC" w:rsidRPr="002414CC" w:rsidRDefault="00A17CBF" w:rsidP="002414CC">
                      <w:pPr>
                        <w:pStyle w:val="NormalWeb"/>
                        <w:spacing w:beforeAutospacing="0" w:after="0" w:afterAutospacing="0"/>
                        <w:rPr>
                          <w:color w:val="027F02"/>
                          <w:sz w:val="64"/>
                          <w:szCs w:val="64"/>
                        </w:rPr>
                      </w:pPr>
                      <w:r>
                        <w:rPr>
                          <w:rFonts w:ascii="Trebuchet MS" w:eastAsia="Trebuchet MS" w:hAnsi="Trebuchet MS" w:cs="Trebuchet MS"/>
                          <w:b/>
                          <w:bCs/>
                          <w:color w:val="027F02"/>
                          <w:kern w:val="24"/>
                          <w:sz w:val="64"/>
                          <w:szCs w:val="64"/>
                        </w:rPr>
                        <w:t>The Iran War</w:t>
                      </w:r>
                      <w:r w:rsidR="00B32C86" w:rsidRPr="00B32C86">
                        <w:rPr>
                          <w:rFonts w:ascii="Trebuchet MS" w:eastAsia="Trebuchet MS" w:hAnsi="Trebuchet MS" w:cs="Trebuchet MS"/>
                          <w:b/>
                          <w:bCs/>
                          <w:color w:val="027F02"/>
                          <w:kern w:val="24"/>
                          <w:sz w:val="64"/>
                          <w:szCs w:val="64"/>
                        </w:rPr>
                        <w:t xml:space="preserve">: </w:t>
                      </w:r>
                      <w:r w:rsidRPr="00A17CBF">
                        <w:rPr>
                          <w:rFonts w:ascii="Trebuchet MS" w:eastAsia="Trebuchet MS" w:hAnsi="Trebuchet MS" w:cs="Trebuchet MS"/>
                          <w:b/>
                          <w:bCs/>
                          <w:color w:val="027F02"/>
                          <w:kern w:val="24"/>
                          <w:sz w:val="64"/>
                          <w:szCs w:val="64"/>
                        </w:rPr>
                        <w:t>Impact of Rising Crude Oil Prices on Nigeria’s Mineral Revenue</w:t>
                      </w:r>
                    </w:p>
                  </w:txbxContent>
                </v:textbox>
                <w10:wrap anchory="page"/>
                <w10:anchorlock/>
              </v:shape>
            </w:pict>
          </mc:Fallback>
        </mc:AlternateContent>
      </w:r>
      <w:r w:rsidR="002414CC" w:rsidRPr="00313F96">
        <w:rPr>
          <w:noProof/>
          <w:lang w:val="en-IN" w:eastAsia="en-IN"/>
        </w:rPr>
        <mc:AlternateContent>
          <mc:Choice Requires="wps">
            <w:drawing>
              <wp:anchor distT="0" distB="0" distL="114300" distR="114300" simplePos="0" relativeHeight="251658243" behindDoc="0" locked="1" layoutInCell="1" allowOverlap="1" wp14:anchorId="7329DB2E" wp14:editId="40FF90F0">
                <wp:simplePos x="0" y="0"/>
                <wp:positionH relativeFrom="column">
                  <wp:posOffset>-416560</wp:posOffset>
                </wp:positionH>
                <wp:positionV relativeFrom="page">
                  <wp:posOffset>2731770</wp:posOffset>
                </wp:positionV>
                <wp:extent cx="4499610" cy="1289050"/>
                <wp:effectExtent l="0" t="0" r="0" b="0"/>
                <wp:wrapNone/>
                <wp:docPr id="8573260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9610" cy="1289050"/>
                        </a:xfrm>
                        <a:prstGeom prst="rect">
                          <a:avLst/>
                        </a:prstGeom>
                        <a:noFill/>
                      </wps:spPr>
                      <wps:txbx>
                        <w:txbxContent>
                          <w:p w14:paraId="3FD7CE81" w14:textId="1D9EE6EB" w:rsidR="002414CC" w:rsidRPr="007D0BDD" w:rsidRDefault="00B32C86" w:rsidP="002414CC">
                            <w:pPr>
                              <w:pStyle w:val="NormalWeb"/>
                              <w:spacing w:beforeAutospacing="0" w:after="0" w:afterAutospacing="0"/>
                              <w:rPr>
                                <w:b/>
                                <w:bCs/>
                                <w:color w:val="4A4A4A"/>
                              </w:rPr>
                            </w:pPr>
                            <w:r>
                              <w:rPr>
                                <w:rFonts w:ascii="Trebuchet MS" w:eastAsia="Trebuchet MS" w:hAnsi="Trebuchet MS" w:cs="Trebuchet MS"/>
                                <w:b/>
                                <w:bCs/>
                                <w:color w:val="4A4A4A"/>
                                <w:kern w:val="24"/>
                                <w:sz w:val="28"/>
                                <w:szCs w:val="28"/>
                                <w:lang w:val="en-IN"/>
                              </w:rPr>
                              <w:t>March</w:t>
                            </w:r>
                            <w:r w:rsidR="002414CC" w:rsidRPr="007D0BDD">
                              <w:rPr>
                                <w:rFonts w:ascii="Trebuchet MS" w:eastAsia="Trebuchet MS" w:hAnsi="Trebuchet MS" w:cs="Trebuchet MS"/>
                                <w:b/>
                                <w:bCs/>
                                <w:color w:val="4A4A4A"/>
                                <w:kern w:val="24"/>
                                <w:sz w:val="28"/>
                                <w:szCs w:val="28"/>
                                <w:lang w:val="en-IN"/>
                              </w:rPr>
                              <w:t xml:space="preserve"> 202</w:t>
                            </w:r>
                            <w:r w:rsidR="0020178A">
                              <w:rPr>
                                <w:rFonts w:ascii="Trebuchet MS" w:eastAsia="Trebuchet MS" w:hAnsi="Trebuchet MS" w:cs="Trebuchet MS"/>
                                <w:b/>
                                <w:bCs/>
                                <w:color w:val="4A4A4A"/>
                                <w:kern w:val="24"/>
                                <w:sz w:val="28"/>
                                <w:szCs w:val="28"/>
                                <w:lang w:val="en-IN"/>
                              </w:rPr>
                              <w:t>6</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29DB2E" id="TextBox 3" o:spid="_x0000_s1027" type="#_x0000_t202" style="position:absolute;margin-left:-32.8pt;margin-top:215.1pt;width:354.3pt;height:10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" filled="f" stroked="f">
                <v:textbox>
                  <w:txbxContent>
                    <w:p w14:paraId="3FD7CE81" w14:textId="1D9EE6EB" w:rsidR="002414CC" w:rsidRPr="007D0BDD" w:rsidRDefault="00B32C86" w:rsidP="002414CC">
                      <w:pPr>
                        <w:pStyle w:val="NormalWeb"/>
                        <w:spacing w:beforeAutospacing="0" w:after="0" w:afterAutospacing="0"/>
                        <w:rPr>
                          <w:b/>
                          <w:bCs/>
                          <w:color w:val="4A4A4A"/>
                        </w:rPr>
                      </w:pPr>
                      <w:r>
                        <w:rPr>
                          <w:rFonts w:ascii="Trebuchet MS" w:eastAsia="Trebuchet MS" w:hAnsi="Trebuchet MS" w:cs="Trebuchet MS"/>
                          <w:b/>
                          <w:bCs/>
                          <w:color w:val="4A4A4A"/>
                          <w:kern w:val="24"/>
                          <w:sz w:val="28"/>
                          <w:szCs w:val="28"/>
                          <w:lang w:val="en-IN"/>
                        </w:rPr>
                        <w:t>March</w:t>
                      </w:r>
                      <w:r w:rsidR="002414CC" w:rsidRPr="007D0BDD">
                        <w:rPr>
                          <w:rFonts w:ascii="Trebuchet MS" w:eastAsia="Trebuchet MS" w:hAnsi="Trebuchet MS" w:cs="Trebuchet MS"/>
                          <w:b/>
                          <w:bCs/>
                          <w:color w:val="4A4A4A"/>
                          <w:kern w:val="24"/>
                          <w:sz w:val="28"/>
                          <w:szCs w:val="28"/>
                          <w:lang w:val="en-IN"/>
                        </w:rPr>
                        <w:t xml:space="preserve"> 202</w:t>
                      </w:r>
                      <w:r w:rsidR="0020178A">
                        <w:rPr>
                          <w:rFonts w:ascii="Trebuchet MS" w:eastAsia="Trebuchet MS" w:hAnsi="Trebuchet MS" w:cs="Trebuchet MS"/>
                          <w:b/>
                          <w:bCs/>
                          <w:color w:val="4A4A4A"/>
                          <w:kern w:val="24"/>
                          <w:sz w:val="28"/>
                          <w:szCs w:val="28"/>
                          <w:lang w:val="en-IN"/>
                        </w:rPr>
                        <w:t>6</w:t>
                      </w:r>
                    </w:p>
                  </w:txbxContent>
                </v:textbox>
                <w10:wrap anchory="page"/>
                <w10:anchorlock/>
              </v:shape>
            </w:pict>
          </mc:Fallback>
        </mc:AlternateContent>
      </w:r>
      <w:r w:rsidR="001B125C">
        <w:t xml:space="preserve">                                                   </w:t>
      </w:r>
    </w:p>
    <w:p w14:paraId="5125468B" w14:textId="6A01876B" w:rsidR="008E389C" w:rsidRPr="00A8467E" w:rsidRDefault="00A379DC" w:rsidP="001F24C7">
      <w:pPr>
        <w:spacing w:after="160" w:line="259" w:lineRule="auto"/>
      </w:pPr>
      <w:r>
        <w:br w:type="page"/>
      </w:r>
    </w:p>
    <w:p w14:paraId="49C41B2F" w14:textId="35C22DCF" w:rsidR="00A17CBF" w:rsidRPr="00FD5AD5" w:rsidRDefault="00A17CBF" w:rsidP="000222D4">
      <w:pPr>
        <w:pStyle w:val="Para"/>
        <w:rPr>
          <w:rFonts w:eastAsiaTheme="minorHAnsi" w:cstheme="minorBidi"/>
          <w:b/>
          <w:bCs/>
          <w:color w:val="027F02"/>
          <w:sz w:val="40"/>
          <w:szCs w:val="40"/>
          <w:lang w:val="en-GB" w:eastAsia="en-US"/>
        </w:rPr>
      </w:pPr>
      <w:r>
        <w:rPr>
          <w:rFonts w:eastAsiaTheme="minorHAnsi" w:cstheme="minorBidi"/>
          <w:b/>
          <w:bCs/>
          <w:color w:val="027F02"/>
          <w:sz w:val="40"/>
          <w:szCs w:val="40"/>
          <w:lang w:eastAsia="en-US"/>
        </w:rPr>
        <w:lastRenderedPageBreak/>
        <w:t xml:space="preserve">The Iran War: </w:t>
      </w:r>
      <w:r w:rsidRPr="00A17CBF">
        <w:rPr>
          <w:rFonts w:eastAsiaTheme="minorHAnsi" w:cstheme="minorBidi"/>
          <w:b/>
          <w:bCs/>
          <w:color w:val="027F02"/>
          <w:sz w:val="40"/>
          <w:szCs w:val="40"/>
          <w:lang w:eastAsia="en-US"/>
        </w:rPr>
        <w:t>Impact of Rising Crude Oil Prices on Nigeria’s Mineral Revenue</w:t>
      </w:r>
    </w:p>
    <w:p w14:paraId="65AA23A5" w14:textId="11F7DB42" w:rsidR="00A17CBF" w:rsidRPr="00A17CBF" w:rsidRDefault="00A17CBF" w:rsidP="000222D4">
      <w:pPr>
        <w:pStyle w:val="Para"/>
        <w:rPr>
          <w:rStyle w:val="Strong"/>
          <w:rFonts w:eastAsiaTheme="minorHAnsi" w:cstheme="minorBidi"/>
          <w:b w:val="0"/>
          <w:bCs w:val="0"/>
          <w:color w:val="595959" w:themeColor="text1"/>
          <w:sz w:val="24"/>
          <w:szCs w:val="24"/>
          <w:lang w:val="en-GB" w:eastAsia="en-US"/>
        </w:rPr>
      </w:pPr>
      <w:r w:rsidRPr="00A17CBF">
        <w:rPr>
          <w:rStyle w:val="Strong"/>
          <w:rFonts w:eastAsiaTheme="minorHAnsi" w:cstheme="minorBidi"/>
          <w:b w:val="0"/>
          <w:bCs w:val="0"/>
          <w:color w:val="595959" w:themeColor="text1"/>
          <w:sz w:val="24"/>
          <w:szCs w:val="24"/>
          <w:lang w:val="en-GB" w:eastAsia="en-US"/>
        </w:rPr>
        <w:t xml:space="preserve">Since the outbreak of the third Gulf War in Iran on 28 February, the price of Brent has risen from $72.87 to over $100, reaching $107.39 on 18 March – a 47% increase. An estimated 25% of the world’s seaborne oil trade has been disrupted by this war due to attacks on the Strait of Hormuz, through which </w:t>
      </w:r>
      <w:r w:rsidR="006B3D2B">
        <w:rPr>
          <w:rStyle w:val="Strong"/>
          <w:rFonts w:eastAsiaTheme="minorHAnsi" w:cstheme="minorBidi"/>
          <w:b w:val="0"/>
          <w:bCs w:val="0"/>
          <w:color w:val="595959" w:themeColor="text1"/>
          <w:sz w:val="24"/>
          <w:szCs w:val="24"/>
          <w:lang w:val="en-GB" w:eastAsia="en-US"/>
        </w:rPr>
        <w:t>Gulf countries</w:t>
      </w:r>
      <w:r w:rsidR="00B221BC">
        <w:rPr>
          <w:rStyle w:val="Strong"/>
          <w:rFonts w:eastAsiaTheme="minorHAnsi" w:cstheme="minorBidi"/>
          <w:b w:val="0"/>
          <w:bCs w:val="0"/>
          <w:color w:val="595959" w:themeColor="text1"/>
          <w:sz w:val="24"/>
          <w:szCs w:val="24"/>
          <w:lang w:val="en-GB" w:eastAsia="en-US"/>
        </w:rPr>
        <w:t>, including Bahrain, Qatar, Iran, Iraq, Kuwait, Saudi Arabia and the United Arab Emirates</w:t>
      </w:r>
      <w:r w:rsidRPr="00A17CBF">
        <w:rPr>
          <w:rStyle w:val="Strong"/>
          <w:rFonts w:eastAsiaTheme="minorHAnsi" w:cstheme="minorBidi"/>
          <w:b w:val="0"/>
          <w:bCs w:val="0"/>
          <w:color w:val="595959" w:themeColor="text1"/>
          <w:sz w:val="24"/>
          <w:szCs w:val="24"/>
          <w:lang w:val="en-GB" w:eastAsia="en-US"/>
        </w:rPr>
        <w:t xml:space="preserve"> export an average of 20 million barrels per day (mb/d)</w:t>
      </w:r>
      <w:r w:rsidR="00B221BC">
        <w:rPr>
          <w:rStyle w:val="Strong"/>
          <w:rFonts w:eastAsiaTheme="minorHAnsi" w:cstheme="minorBidi"/>
          <w:b w:val="0"/>
          <w:bCs w:val="0"/>
          <w:color w:val="595959" w:themeColor="text1"/>
          <w:sz w:val="24"/>
          <w:szCs w:val="24"/>
          <w:lang w:val="en-GB" w:eastAsia="en-US"/>
        </w:rPr>
        <w:t xml:space="preserve"> to the global oil market</w:t>
      </w:r>
      <w:r w:rsidRPr="00A17CBF">
        <w:rPr>
          <w:rStyle w:val="Strong"/>
          <w:rFonts w:eastAsiaTheme="minorHAnsi" w:cstheme="minorBidi"/>
          <w:b w:val="0"/>
          <w:bCs w:val="0"/>
          <w:color w:val="595959" w:themeColor="text1"/>
          <w:sz w:val="24"/>
          <w:szCs w:val="24"/>
          <w:lang w:val="en-GB" w:eastAsia="en-US"/>
        </w:rPr>
        <w:t>.</w:t>
      </w:r>
    </w:p>
    <w:p w14:paraId="4B265FC3" w14:textId="6445179B" w:rsidR="00A17CBF" w:rsidRPr="00A17CBF" w:rsidRDefault="00B221BC" w:rsidP="000222D4">
      <w:pPr>
        <w:pStyle w:val="Para"/>
        <w:rPr>
          <w:rStyle w:val="Strong"/>
          <w:rFonts w:eastAsiaTheme="minorHAnsi" w:cstheme="minorBidi"/>
          <w:b w:val="0"/>
          <w:bCs w:val="0"/>
          <w:color w:val="595959" w:themeColor="text1"/>
          <w:sz w:val="24"/>
          <w:szCs w:val="24"/>
          <w:lang w:val="en-GB" w:eastAsia="en-US"/>
        </w:rPr>
      </w:pPr>
      <w:r>
        <w:rPr>
          <w:rStyle w:val="Strong"/>
          <w:rFonts w:eastAsiaTheme="minorHAnsi" w:cstheme="minorBidi"/>
          <w:b w:val="0"/>
          <w:bCs w:val="0"/>
          <w:color w:val="595959" w:themeColor="text1"/>
          <w:sz w:val="24"/>
          <w:szCs w:val="24"/>
          <w:lang w:val="en-GB" w:eastAsia="en-US"/>
        </w:rPr>
        <w:t>Besides attacks along the shipping route, there have been assaults on energy infrastructure, including the Ras Tanura and SAMREF refineries in Saudi Arabia, storage facilities in the Shah gas field in the United Arab Emirates, the Ras Laffan LNG complex in Qatar, and the Mina al-Ahmadi refinery in Kuwait.</w:t>
      </w:r>
      <w:r w:rsidR="00A17CBF" w:rsidRPr="00A17CBF">
        <w:rPr>
          <w:rStyle w:val="Strong"/>
          <w:rFonts w:eastAsiaTheme="minorHAnsi" w:cstheme="minorBidi"/>
          <w:b w:val="0"/>
          <w:bCs w:val="0"/>
          <w:color w:val="595959" w:themeColor="text1"/>
          <w:sz w:val="24"/>
          <w:szCs w:val="24"/>
          <w:lang w:val="en-GB" w:eastAsia="en-US"/>
        </w:rPr>
        <w:t xml:space="preserve"> Even if the war ends and the Strait of Hormuz “reopens”, a recovery will require restoring oil output to pre-war levels. This will depend on the extent of damage to these oil facilities.</w:t>
      </w:r>
    </w:p>
    <w:p w14:paraId="1A34881F" w14:textId="43EF4B60" w:rsidR="00A17CBF" w:rsidRPr="00A17CBF" w:rsidRDefault="00A17CBF" w:rsidP="000222D4">
      <w:pPr>
        <w:pStyle w:val="Para"/>
        <w:rPr>
          <w:rStyle w:val="Strong"/>
          <w:rFonts w:eastAsiaTheme="minorHAnsi" w:cstheme="minorBidi"/>
          <w:b w:val="0"/>
          <w:bCs w:val="0"/>
          <w:color w:val="595959" w:themeColor="text1"/>
          <w:sz w:val="24"/>
          <w:szCs w:val="24"/>
          <w:lang w:val="en-GB" w:eastAsia="en-US"/>
        </w:rPr>
      </w:pPr>
      <w:r w:rsidRPr="00A17CBF">
        <w:rPr>
          <w:rStyle w:val="Strong"/>
          <w:rFonts w:eastAsiaTheme="minorHAnsi" w:cstheme="minorBidi"/>
          <w:b w:val="0"/>
          <w:bCs w:val="0"/>
          <w:color w:val="595959" w:themeColor="text1"/>
          <w:sz w:val="24"/>
          <w:szCs w:val="24"/>
          <w:lang w:val="en-GB" w:eastAsia="en-US"/>
        </w:rPr>
        <w:t>For oil-exporting countries like Nigeria, rising oil prices can result in higher net oil export earnings, increased foreign reserves, accretion to the government’s federation account, and excess crude savings if the government chooses to save for rainy days. Multiple knock-on economic and fiscal implications are also expected, including a sharp rise in premium motor spirit (PMS)</w:t>
      </w:r>
      <w:r w:rsidR="00EE5E74">
        <w:rPr>
          <w:rStyle w:val="Strong"/>
          <w:rFonts w:eastAsiaTheme="minorHAnsi" w:cstheme="minorBidi"/>
          <w:b w:val="0"/>
          <w:bCs w:val="0"/>
          <w:color w:val="595959" w:themeColor="text1"/>
          <w:sz w:val="24"/>
          <w:szCs w:val="24"/>
          <w:lang w:val="en-GB" w:eastAsia="en-US"/>
        </w:rPr>
        <w:t xml:space="preserve"> in</w:t>
      </w:r>
      <w:r w:rsidRPr="00A17CBF">
        <w:rPr>
          <w:rStyle w:val="Strong"/>
          <w:rFonts w:eastAsiaTheme="minorHAnsi" w:cstheme="minorBidi"/>
          <w:b w:val="0"/>
          <w:bCs w:val="0"/>
          <w:color w:val="595959" w:themeColor="text1"/>
          <w:sz w:val="24"/>
          <w:szCs w:val="24"/>
          <w:lang w:val="en-GB" w:eastAsia="en-US"/>
        </w:rPr>
        <w:t xml:space="preserve"> an industry now deregulated, as well as higher energy and transport costs, with multiplier effects on living and production costs for households and businesses, respectively. </w:t>
      </w:r>
    </w:p>
    <w:p w14:paraId="259E1801" w14:textId="77777777" w:rsidR="00A17CBF" w:rsidRDefault="00A17CBF" w:rsidP="000222D4">
      <w:pPr>
        <w:pStyle w:val="Para"/>
        <w:rPr>
          <w:rStyle w:val="Strong"/>
          <w:rFonts w:eastAsiaTheme="minorHAnsi" w:cstheme="minorBidi"/>
          <w:b w:val="0"/>
          <w:bCs w:val="0"/>
          <w:color w:val="595959" w:themeColor="text1"/>
          <w:sz w:val="24"/>
          <w:szCs w:val="24"/>
          <w:lang w:val="en-GB" w:eastAsia="en-US"/>
        </w:rPr>
      </w:pPr>
      <w:r w:rsidRPr="00A17CBF">
        <w:rPr>
          <w:rStyle w:val="Strong"/>
          <w:rFonts w:eastAsiaTheme="minorHAnsi" w:cstheme="minorBidi"/>
          <w:b w:val="0"/>
          <w:bCs w:val="0"/>
          <w:color w:val="595959" w:themeColor="text1"/>
          <w:sz w:val="24"/>
          <w:szCs w:val="24"/>
          <w:lang w:val="en-GB" w:eastAsia="en-US"/>
        </w:rPr>
        <w:t>This note does not discuss these multiplier effects but focuses on the impact on government revenue, i.e. mineral (oil) revenues remitted to the federation account and shared monthly to the three tiers of government</w:t>
      </w:r>
    </w:p>
    <w:p w14:paraId="75765040" w14:textId="71CDC1C0" w:rsidR="00A17CBF" w:rsidRPr="00A17CBF" w:rsidRDefault="00A17CBF" w:rsidP="000222D4">
      <w:pPr>
        <w:pStyle w:val="Para"/>
        <w:rPr>
          <w:rFonts w:eastAsiaTheme="minorHAnsi" w:cstheme="minorBidi"/>
          <w:color w:val="595959" w:themeColor="text1"/>
          <w:sz w:val="24"/>
          <w:szCs w:val="24"/>
          <w:lang w:val="en-GB" w:eastAsia="en-US"/>
        </w:rPr>
      </w:pPr>
      <w:r w:rsidRPr="007235EA">
        <w:rPr>
          <w:b/>
          <w:bCs/>
          <w:color w:val="3B3838" w:themeColor="background2" w:themeShade="40"/>
        </w:rPr>
        <w:t>What does th</w:t>
      </w:r>
      <w:r w:rsidR="00B221BC">
        <w:rPr>
          <w:b/>
          <w:bCs/>
          <w:color w:val="3B3838" w:themeColor="background2" w:themeShade="40"/>
        </w:rPr>
        <w:t xml:space="preserve">e increase in oil </w:t>
      </w:r>
      <w:r w:rsidR="005334FB">
        <w:rPr>
          <w:b/>
          <w:bCs/>
          <w:color w:val="3B3838" w:themeColor="background2" w:themeShade="40"/>
        </w:rPr>
        <w:t>prices</w:t>
      </w:r>
      <w:r w:rsidRPr="007235EA">
        <w:rPr>
          <w:b/>
          <w:bCs/>
          <w:color w:val="3B3838" w:themeColor="background2" w:themeShade="40"/>
        </w:rPr>
        <w:t xml:space="preserve"> mean for Nigeria’s mineral revenues?</w:t>
      </w:r>
    </w:p>
    <w:p w14:paraId="69FE4C01" w14:textId="666D4F35" w:rsidR="00A17CBF" w:rsidRPr="00A17CBF" w:rsidRDefault="00A17CBF" w:rsidP="000222D4">
      <w:pPr>
        <w:pStyle w:val="Para"/>
        <w:rPr>
          <w:rStyle w:val="Strong"/>
          <w:rFonts w:eastAsiaTheme="minorHAnsi" w:cstheme="minorBidi"/>
          <w:b w:val="0"/>
          <w:bCs w:val="0"/>
          <w:color w:val="595959" w:themeColor="text1"/>
          <w:sz w:val="24"/>
          <w:szCs w:val="24"/>
          <w:lang w:eastAsia="en-US"/>
        </w:rPr>
      </w:pPr>
      <w:r w:rsidRPr="00A17CBF">
        <w:rPr>
          <w:rStyle w:val="Strong"/>
          <w:rFonts w:eastAsiaTheme="minorHAnsi" w:cstheme="minorBidi"/>
          <w:b w:val="0"/>
          <w:bCs w:val="0"/>
          <w:color w:val="595959" w:themeColor="text1"/>
          <w:sz w:val="24"/>
          <w:szCs w:val="24"/>
          <w:lang w:eastAsia="en-US"/>
        </w:rPr>
        <w:t xml:space="preserve">This analysis is based on the federal government’s 2026 budget benchmark price of $65 per barrel and an exchange rate of </w:t>
      </w:r>
      <w:r w:rsidR="0078710D" w:rsidRPr="00A17CBF">
        <w:rPr>
          <w:rStyle w:val="Strong"/>
          <w:rFonts w:ascii="Arial" w:hAnsi="Arial" w:cs="Arial"/>
          <w:b w:val="0"/>
          <w:bCs w:val="0"/>
          <w:color w:val="595959" w:themeColor="text1"/>
          <w:sz w:val="24"/>
          <w:szCs w:val="24"/>
        </w:rPr>
        <w:t>₦</w:t>
      </w:r>
      <w:r w:rsidRPr="00A17CBF">
        <w:rPr>
          <w:rStyle w:val="Strong"/>
          <w:rFonts w:eastAsiaTheme="minorHAnsi" w:cstheme="minorBidi"/>
          <w:b w:val="0"/>
          <w:bCs w:val="0"/>
          <w:color w:val="595959" w:themeColor="text1"/>
          <w:sz w:val="24"/>
          <w:szCs w:val="24"/>
          <w:lang w:eastAsia="en-US"/>
        </w:rPr>
        <w:t xml:space="preserve">1400 per US dollar. The budget assumes an optimistic production target of 1.84 million barrels, but this analysis is </w:t>
      </w:r>
      <w:r w:rsidR="0081003F">
        <w:rPr>
          <w:rStyle w:val="Strong"/>
          <w:rFonts w:eastAsiaTheme="minorHAnsi" w:cstheme="minorBidi"/>
          <w:b w:val="0"/>
          <w:bCs w:val="0"/>
          <w:color w:val="595959" w:themeColor="text1"/>
          <w:sz w:val="24"/>
          <w:szCs w:val="24"/>
          <w:lang w:eastAsia="en-US"/>
        </w:rPr>
        <w:t>based on a conservative production capacity of 1.7 million barrels per day in 2026, averaging</w:t>
      </w:r>
      <w:r w:rsidRPr="00A17CBF">
        <w:rPr>
          <w:rStyle w:val="Strong"/>
          <w:rFonts w:eastAsiaTheme="minorHAnsi" w:cstheme="minorBidi"/>
          <w:b w:val="0"/>
          <w:bCs w:val="0"/>
          <w:color w:val="595959" w:themeColor="text1"/>
          <w:sz w:val="24"/>
          <w:szCs w:val="24"/>
          <w:lang w:eastAsia="en-US"/>
        </w:rPr>
        <w:t xml:space="preserve"> 1.65 MBPD in 2025, including unblended condensate.</w:t>
      </w:r>
    </w:p>
    <w:p w14:paraId="5BB6BD18" w14:textId="19E2F981" w:rsidR="00A17CBF" w:rsidRPr="00A17CBF" w:rsidRDefault="00A17CBF" w:rsidP="000222D4">
      <w:pPr>
        <w:pStyle w:val="Caption"/>
        <w:keepNext/>
        <w:spacing w:line="276" w:lineRule="auto"/>
        <w:rPr>
          <w:rStyle w:val="Strong"/>
          <w:b w:val="0"/>
          <w:bCs w:val="0"/>
          <w:color w:val="595959" w:themeColor="text1"/>
          <w:sz w:val="24"/>
          <w:szCs w:val="24"/>
        </w:rPr>
      </w:pPr>
      <w:r w:rsidRPr="00A17CBF">
        <w:rPr>
          <w:rStyle w:val="Strong"/>
          <w:b w:val="0"/>
          <w:bCs w:val="0"/>
          <w:color w:val="595959" w:themeColor="text1"/>
          <w:sz w:val="24"/>
          <w:szCs w:val="24"/>
        </w:rPr>
        <w:t xml:space="preserve">At a crude oil production level of 1.7 million barrels per day and an exchange rate of </w:t>
      </w:r>
      <w:r w:rsidRPr="00A17CBF">
        <w:rPr>
          <w:rStyle w:val="Strong"/>
          <w:rFonts w:ascii="Arial" w:hAnsi="Arial" w:cs="Arial"/>
          <w:b w:val="0"/>
          <w:bCs w:val="0"/>
          <w:color w:val="595959" w:themeColor="text1"/>
          <w:sz w:val="24"/>
          <w:szCs w:val="24"/>
        </w:rPr>
        <w:t>₦</w:t>
      </w:r>
      <w:r w:rsidRPr="00A17CBF">
        <w:rPr>
          <w:rStyle w:val="Strong"/>
          <w:b w:val="0"/>
          <w:bCs w:val="0"/>
          <w:color w:val="595959" w:themeColor="text1"/>
          <w:sz w:val="24"/>
          <w:szCs w:val="24"/>
        </w:rPr>
        <w:t>1,400 per USD, Nigeria</w:t>
      </w:r>
      <w:r w:rsidRPr="00A17CBF">
        <w:rPr>
          <w:rStyle w:val="Strong"/>
          <w:rFonts w:cs="Trebuchet MS"/>
          <w:b w:val="0"/>
          <w:bCs w:val="0"/>
          <w:color w:val="595959" w:themeColor="text1"/>
          <w:sz w:val="24"/>
          <w:szCs w:val="24"/>
        </w:rPr>
        <w:t>’</w:t>
      </w:r>
      <w:r w:rsidRPr="00A17CBF">
        <w:rPr>
          <w:rStyle w:val="Strong"/>
          <w:b w:val="0"/>
          <w:bCs w:val="0"/>
          <w:color w:val="595959" w:themeColor="text1"/>
          <w:sz w:val="24"/>
          <w:szCs w:val="24"/>
        </w:rPr>
        <w:t xml:space="preserve">s mineral revenue </w:t>
      </w:r>
      <w:r w:rsidR="005334FB">
        <w:rPr>
          <w:rStyle w:val="Strong"/>
          <w:b w:val="0"/>
          <w:bCs w:val="0"/>
          <w:color w:val="595959" w:themeColor="text1"/>
          <w:sz w:val="24"/>
          <w:szCs w:val="24"/>
        </w:rPr>
        <w:t>is expected to</w:t>
      </w:r>
      <w:r w:rsidRPr="00A17CBF">
        <w:rPr>
          <w:rStyle w:val="Strong"/>
          <w:b w:val="0"/>
          <w:bCs w:val="0"/>
          <w:color w:val="595959" w:themeColor="text1"/>
          <w:sz w:val="24"/>
          <w:szCs w:val="24"/>
        </w:rPr>
        <w:t xml:space="preserve"> rise by </w:t>
      </w:r>
      <w:r w:rsidRPr="00A17CBF">
        <w:rPr>
          <w:rStyle w:val="Strong"/>
          <w:rFonts w:ascii="Arial" w:hAnsi="Arial" w:cs="Arial"/>
          <w:b w:val="0"/>
          <w:bCs w:val="0"/>
          <w:color w:val="595959" w:themeColor="text1"/>
          <w:sz w:val="24"/>
          <w:szCs w:val="24"/>
        </w:rPr>
        <w:t>₦</w:t>
      </w:r>
      <w:r w:rsidRPr="00A17CBF">
        <w:rPr>
          <w:rStyle w:val="Strong"/>
          <w:b w:val="0"/>
          <w:bCs w:val="0"/>
          <w:color w:val="595959" w:themeColor="text1"/>
          <w:sz w:val="24"/>
          <w:szCs w:val="24"/>
        </w:rPr>
        <w:t>72.4 billion each month (</w:t>
      </w:r>
      <w:r w:rsidRPr="00A17CBF">
        <w:rPr>
          <w:rStyle w:val="Strong"/>
          <w:rFonts w:ascii="Arial" w:hAnsi="Arial" w:cs="Arial"/>
          <w:b w:val="0"/>
          <w:bCs w:val="0"/>
          <w:color w:val="595959" w:themeColor="text1"/>
          <w:sz w:val="24"/>
          <w:szCs w:val="24"/>
        </w:rPr>
        <w:t>₦</w:t>
      </w:r>
      <w:r w:rsidRPr="00A17CBF">
        <w:rPr>
          <w:rStyle w:val="Strong"/>
          <w:b w:val="0"/>
          <w:bCs w:val="0"/>
          <w:color w:val="595959" w:themeColor="text1"/>
          <w:sz w:val="24"/>
          <w:szCs w:val="24"/>
        </w:rPr>
        <w:t>868.7 billion annually) for every $5 increase in global crude oil prices. The federation</w:t>
      </w:r>
      <w:r w:rsidRPr="00A17CBF">
        <w:rPr>
          <w:rStyle w:val="Strong"/>
          <w:rFonts w:cs="Trebuchet MS"/>
          <w:b w:val="0"/>
          <w:bCs w:val="0"/>
          <w:color w:val="595959" w:themeColor="text1"/>
          <w:sz w:val="24"/>
          <w:szCs w:val="24"/>
        </w:rPr>
        <w:t>’</w:t>
      </w:r>
      <w:r w:rsidRPr="00A17CBF">
        <w:rPr>
          <w:rStyle w:val="Strong"/>
          <w:b w:val="0"/>
          <w:bCs w:val="0"/>
          <w:color w:val="595959" w:themeColor="text1"/>
          <w:sz w:val="24"/>
          <w:szCs w:val="24"/>
        </w:rPr>
        <w:t xml:space="preserve">s mineral revenue </w:t>
      </w:r>
      <w:r w:rsidR="00D12AC6">
        <w:rPr>
          <w:rStyle w:val="Strong"/>
          <w:b w:val="0"/>
          <w:bCs w:val="0"/>
          <w:color w:val="595959" w:themeColor="text1"/>
          <w:sz w:val="24"/>
          <w:szCs w:val="24"/>
        </w:rPr>
        <w:t>can potentially</w:t>
      </w:r>
      <w:r w:rsidR="005334FB">
        <w:rPr>
          <w:rStyle w:val="Strong"/>
          <w:b w:val="0"/>
          <w:bCs w:val="0"/>
          <w:color w:val="595959" w:themeColor="text1"/>
          <w:sz w:val="24"/>
          <w:szCs w:val="24"/>
        </w:rPr>
        <w:t xml:space="preserve"> rise to</w:t>
      </w:r>
      <w:r w:rsidRPr="00A17CBF">
        <w:rPr>
          <w:rStyle w:val="Strong"/>
          <w:b w:val="0"/>
          <w:bCs w:val="0"/>
          <w:color w:val="595959" w:themeColor="text1"/>
          <w:sz w:val="24"/>
          <w:szCs w:val="24"/>
        </w:rPr>
        <w:t xml:space="preserve"> </w:t>
      </w:r>
      <w:r w:rsidRPr="00A17CBF">
        <w:rPr>
          <w:rStyle w:val="Strong"/>
          <w:rFonts w:ascii="Arial" w:hAnsi="Arial" w:cs="Arial"/>
          <w:b w:val="0"/>
          <w:bCs w:val="0"/>
          <w:color w:val="595959" w:themeColor="text1"/>
          <w:sz w:val="24"/>
          <w:szCs w:val="24"/>
        </w:rPr>
        <w:t>₦</w:t>
      </w:r>
      <w:r w:rsidRPr="00A17CBF">
        <w:rPr>
          <w:rStyle w:val="Strong"/>
          <w:b w:val="0"/>
          <w:bCs w:val="0"/>
          <w:color w:val="595959" w:themeColor="text1"/>
          <w:sz w:val="24"/>
          <w:szCs w:val="24"/>
        </w:rPr>
        <w:t>1</w:t>
      </w:r>
      <w:r w:rsidR="000E3545">
        <w:rPr>
          <w:rStyle w:val="Strong"/>
          <w:b w:val="0"/>
          <w:bCs w:val="0"/>
          <w:color w:val="595959" w:themeColor="text1"/>
          <w:sz w:val="24"/>
          <w:szCs w:val="24"/>
        </w:rPr>
        <w:t>4</w:t>
      </w:r>
      <w:r w:rsidRPr="00A17CBF">
        <w:rPr>
          <w:rStyle w:val="Strong"/>
          <w:b w:val="0"/>
          <w:bCs w:val="0"/>
          <w:color w:val="595959" w:themeColor="text1"/>
          <w:sz w:val="24"/>
          <w:szCs w:val="24"/>
        </w:rPr>
        <w:t>.</w:t>
      </w:r>
      <w:r w:rsidR="000E3545">
        <w:rPr>
          <w:rStyle w:val="Strong"/>
          <w:b w:val="0"/>
          <w:bCs w:val="0"/>
          <w:color w:val="595959" w:themeColor="text1"/>
          <w:sz w:val="24"/>
          <w:szCs w:val="24"/>
        </w:rPr>
        <w:t>8</w:t>
      </w:r>
      <w:r w:rsidRPr="00A17CBF">
        <w:rPr>
          <w:rStyle w:val="Strong"/>
          <w:b w:val="0"/>
          <w:bCs w:val="0"/>
          <w:color w:val="595959" w:themeColor="text1"/>
          <w:sz w:val="24"/>
          <w:szCs w:val="24"/>
        </w:rPr>
        <w:t xml:space="preserve"> trillion at an average oil price of $8</w:t>
      </w:r>
      <w:r w:rsidR="000E3545">
        <w:rPr>
          <w:rStyle w:val="Strong"/>
          <w:b w:val="0"/>
          <w:bCs w:val="0"/>
          <w:color w:val="595959" w:themeColor="text1"/>
          <w:sz w:val="24"/>
          <w:szCs w:val="24"/>
        </w:rPr>
        <w:t>5</w:t>
      </w:r>
      <w:r w:rsidRPr="00A17CBF">
        <w:rPr>
          <w:rStyle w:val="Strong"/>
          <w:b w:val="0"/>
          <w:bCs w:val="0"/>
          <w:color w:val="595959" w:themeColor="text1"/>
          <w:sz w:val="24"/>
          <w:szCs w:val="24"/>
        </w:rPr>
        <w:t xml:space="preserve"> per barrel in 2026, </w:t>
      </w:r>
      <w:r w:rsidRPr="00A17CBF">
        <w:rPr>
          <w:rStyle w:val="Strong"/>
          <w:rFonts w:ascii="Arial" w:hAnsi="Arial" w:cs="Arial"/>
          <w:b w:val="0"/>
          <w:bCs w:val="0"/>
          <w:color w:val="595959" w:themeColor="text1"/>
          <w:sz w:val="24"/>
          <w:szCs w:val="24"/>
        </w:rPr>
        <w:t>₦</w:t>
      </w:r>
      <w:r w:rsidR="000E3545">
        <w:rPr>
          <w:rStyle w:val="Strong"/>
          <w:b w:val="0"/>
          <w:bCs w:val="0"/>
          <w:color w:val="595959" w:themeColor="text1"/>
          <w:sz w:val="24"/>
          <w:szCs w:val="24"/>
        </w:rPr>
        <w:t xml:space="preserve">20 </w:t>
      </w:r>
      <w:r w:rsidRPr="00A17CBF">
        <w:rPr>
          <w:rStyle w:val="Strong"/>
          <w:b w:val="0"/>
          <w:bCs w:val="0"/>
          <w:color w:val="595959" w:themeColor="text1"/>
          <w:sz w:val="24"/>
          <w:szCs w:val="24"/>
        </w:rPr>
        <w:t>trillion at $1</w:t>
      </w:r>
      <w:r w:rsidR="000E3545">
        <w:rPr>
          <w:rStyle w:val="Strong"/>
          <w:b w:val="0"/>
          <w:bCs w:val="0"/>
          <w:color w:val="595959" w:themeColor="text1"/>
          <w:sz w:val="24"/>
          <w:szCs w:val="24"/>
        </w:rPr>
        <w:t>15</w:t>
      </w:r>
      <w:r w:rsidRPr="00A17CBF">
        <w:rPr>
          <w:rStyle w:val="Strong"/>
          <w:b w:val="0"/>
          <w:bCs w:val="0"/>
          <w:color w:val="595959" w:themeColor="text1"/>
          <w:sz w:val="24"/>
          <w:szCs w:val="24"/>
        </w:rPr>
        <w:t xml:space="preserve"> per barrel, or </w:t>
      </w:r>
      <w:r w:rsidRPr="00A17CBF">
        <w:rPr>
          <w:rStyle w:val="Strong"/>
          <w:rFonts w:ascii="Arial" w:hAnsi="Arial" w:cs="Arial"/>
          <w:b w:val="0"/>
          <w:bCs w:val="0"/>
          <w:color w:val="595959" w:themeColor="text1"/>
          <w:sz w:val="24"/>
          <w:szCs w:val="24"/>
        </w:rPr>
        <w:t>₦</w:t>
      </w:r>
      <w:r w:rsidRPr="00A17CBF">
        <w:rPr>
          <w:rStyle w:val="Strong"/>
          <w:b w:val="0"/>
          <w:bCs w:val="0"/>
          <w:color w:val="595959" w:themeColor="text1"/>
          <w:sz w:val="24"/>
          <w:szCs w:val="24"/>
        </w:rPr>
        <w:t>2</w:t>
      </w:r>
      <w:r w:rsidR="000E3545">
        <w:rPr>
          <w:rStyle w:val="Strong"/>
          <w:b w:val="0"/>
          <w:bCs w:val="0"/>
          <w:color w:val="595959" w:themeColor="text1"/>
          <w:sz w:val="24"/>
          <w:szCs w:val="24"/>
        </w:rPr>
        <w:t>6</w:t>
      </w:r>
      <w:r w:rsidRPr="00A17CBF">
        <w:rPr>
          <w:rStyle w:val="Strong"/>
          <w:b w:val="0"/>
          <w:bCs w:val="0"/>
          <w:color w:val="595959" w:themeColor="text1"/>
          <w:sz w:val="24"/>
          <w:szCs w:val="24"/>
        </w:rPr>
        <w:t xml:space="preserve"> trillion at $120 per barrel (see </w:t>
      </w:r>
      <w:r w:rsidR="0081003F">
        <w:rPr>
          <w:rStyle w:val="Strong"/>
          <w:b w:val="0"/>
          <w:bCs w:val="0"/>
          <w:color w:val="595959" w:themeColor="text1"/>
          <w:sz w:val="24"/>
          <w:szCs w:val="24"/>
        </w:rPr>
        <w:t>Table</w:t>
      </w:r>
      <w:r w:rsidRPr="00A17CBF">
        <w:rPr>
          <w:rStyle w:val="Strong"/>
          <w:b w:val="0"/>
          <w:bCs w:val="0"/>
          <w:color w:val="595959" w:themeColor="text1"/>
          <w:sz w:val="24"/>
          <w:szCs w:val="24"/>
        </w:rPr>
        <w:t xml:space="preserve"> 1). </w:t>
      </w:r>
      <w:r w:rsidR="000222D4" w:rsidRPr="00A17CBF">
        <w:rPr>
          <w:rStyle w:val="Strong"/>
          <w:b w:val="0"/>
          <w:bCs w:val="0"/>
          <w:color w:val="595959" w:themeColor="text1"/>
          <w:sz w:val="24"/>
          <w:szCs w:val="24"/>
        </w:rPr>
        <w:t xml:space="preserve">For State governments, this translates to </w:t>
      </w:r>
      <w:r w:rsidR="000222D4" w:rsidRPr="00A17CBF">
        <w:rPr>
          <w:rStyle w:val="Strong"/>
          <w:rFonts w:ascii="Arial" w:hAnsi="Arial" w:cs="Arial"/>
          <w:b w:val="0"/>
          <w:bCs w:val="0"/>
          <w:color w:val="595959" w:themeColor="text1"/>
          <w:sz w:val="24"/>
          <w:szCs w:val="24"/>
        </w:rPr>
        <w:t>₦</w:t>
      </w:r>
      <w:r w:rsidR="000222D4" w:rsidRPr="00A17CBF">
        <w:rPr>
          <w:rStyle w:val="Strong"/>
          <w:b w:val="0"/>
          <w:bCs w:val="0"/>
          <w:color w:val="595959" w:themeColor="text1"/>
          <w:sz w:val="24"/>
          <w:szCs w:val="24"/>
        </w:rPr>
        <w:t xml:space="preserve">26.19 billion in additional monthly inflows for each $5 </w:t>
      </w:r>
      <w:r w:rsidR="000222D4" w:rsidRPr="00A17CBF">
        <w:rPr>
          <w:rStyle w:val="Strong"/>
          <w:b w:val="0"/>
          <w:bCs w:val="0"/>
          <w:color w:val="595959" w:themeColor="text1"/>
          <w:sz w:val="24"/>
          <w:szCs w:val="24"/>
        </w:rPr>
        <w:lastRenderedPageBreak/>
        <w:t>increase in crude prices – monies that can be invested in infrastructure (power and roads), education, and health, to foster economic productivity and social welfare.</w:t>
      </w:r>
    </w:p>
    <w:p w14:paraId="0C812FCB" w14:textId="0203A4FD" w:rsidR="00A17CBF" w:rsidRPr="00A17CBF" w:rsidRDefault="000222D4" w:rsidP="00A17CBF">
      <w:pPr>
        <w:pStyle w:val="Para"/>
        <w:rPr>
          <w:rStyle w:val="Strong"/>
          <w:rFonts w:eastAsiaTheme="minorHAnsi" w:cstheme="minorBidi"/>
          <w:b w:val="0"/>
          <w:bCs w:val="0"/>
          <w:color w:val="595959" w:themeColor="text1"/>
          <w:sz w:val="24"/>
          <w:szCs w:val="24"/>
          <w:lang w:eastAsia="en-US"/>
        </w:rPr>
      </w:pPr>
      <w:r>
        <w:rPr>
          <w:rStyle w:val="Strong"/>
          <w:rFonts w:eastAsiaTheme="minorHAnsi" w:cstheme="minorBidi"/>
          <w:b w:val="0"/>
          <w:bCs w:val="0"/>
          <w:color w:val="595959" w:themeColor="text1"/>
          <w:sz w:val="24"/>
          <w:szCs w:val="24"/>
          <w:lang w:eastAsia="en-US"/>
        </w:rPr>
        <w:t xml:space="preserve">Over the last three years, the country’s mineral revenues have increased by more than 100%, rising from </w:t>
      </w:r>
      <w:r>
        <w:rPr>
          <w:rStyle w:val="Strong"/>
          <w:rFonts w:ascii="Arial" w:eastAsiaTheme="minorHAnsi" w:hAnsi="Arial" w:cs="Arial"/>
          <w:b w:val="0"/>
          <w:bCs w:val="0"/>
          <w:color w:val="595959" w:themeColor="text1"/>
          <w:sz w:val="24"/>
          <w:szCs w:val="24"/>
          <w:lang w:eastAsia="en-US"/>
        </w:rPr>
        <w:t>₦</w:t>
      </w:r>
      <w:r>
        <w:rPr>
          <w:rStyle w:val="Strong"/>
          <w:rFonts w:eastAsiaTheme="minorHAnsi" w:cstheme="minorBidi"/>
          <w:b w:val="0"/>
          <w:bCs w:val="0"/>
          <w:color w:val="595959" w:themeColor="text1"/>
          <w:sz w:val="24"/>
          <w:szCs w:val="24"/>
          <w:lang w:eastAsia="en-US"/>
        </w:rPr>
        <w:t xml:space="preserve">4.9 trillion in 2023 to </w:t>
      </w:r>
      <w:r>
        <w:rPr>
          <w:rStyle w:val="Strong"/>
          <w:rFonts w:ascii="Arial" w:eastAsiaTheme="minorHAnsi" w:hAnsi="Arial" w:cs="Arial"/>
          <w:b w:val="0"/>
          <w:bCs w:val="0"/>
          <w:color w:val="595959" w:themeColor="text1"/>
          <w:sz w:val="24"/>
          <w:szCs w:val="24"/>
          <w:lang w:eastAsia="en-US"/>
        </w:rPr>
        <w:t>₦</w:t>
      </w:r>
      <w:r>
        <w:rPr>
          <w:rStyle w:val="Strong"/>
          <w:rFonts w:eastAsiaTheme="minorHAnsi" w:cstheme="minorBidi"/>
          <w:b w:val="0"/>
          <w:bCs w:val="0"/>
          <w:color w:val="595959" w:themeColor="text1"/>
          <w:sz w:val="24"/>
          <w:szCs w:val="24"/>
          <w:lang w:eastAsia="en-US"/>
        </w:rPr>
        <w:t xml:space="preserve">10 trillion in 2024 and reaching </w:t>
      </w:r>
      <w:r>
        <w:rPr>
          <w:rStyle w:val="Strong"/>
          <w:rFonts w:ascii="Arial" w:eastAsiaTheme="minorHAnsi" w:hAnsi="Arial" w:cs="Arial"/>
          <w:b w:val="0"/>
          <w:bCs w:val="0"/>
          <w:color w:val="595959" w:themeColor="text1"/>
          <w:sz w:val="24"/>
          <w:szCs w:val="24"/>
          <w:lang w:eastAsia="en-US"/>
        </w:rPr>
        <w:t>₦</w:t>
      </w:r>
      <w:r>
        <w:rPr>
          <w:rStyle w:val="Strong"/>
          <w:rFonts w:eastAsiaTheme="minorHAnsi" w:cstheme="minorBidi"/>
          <w:b w:val="0"/>
          <w:bCs w:val="0"/>
          <w:color w:val="595959" w:themeColor="text1"/>
          <w:sz w:val="24"/>
          <w:szCs w:val="24"/>
          <w:lang w:eastAsia="en-US"/>
        </w:rPr>
        <w:t xml:space="preserve">12.2 trillion in 2025. This growth followed the free-floating of the Naira in May 2023, which saw the currency's value against the dollar decline from </w:t>
      </w:r>
      <w:r w:rsidR="0078710D" w:rsidRPr="00A17CBF">
        <w:rPr>
          <w:rStyle w:val="Strong"/>
          <w:rFonts w:ascii="Arial" w:hAnsi="Arial" w:cs="Arial"/>
          <w:b w:val="0"/>
          <w:bCs w:val="0"/>
          <w:color w:val="595959" w:themeColor="text1"/>
          <w:sz w:val="24"/>
          <w:szCs w:val="24"/>
        </w:rPr>
        <w:t>₦</w:t>
      </w:r>
      <w:r>
        <w:rPr>
          <w:rStyle w:val="Strong"/>
          <w:rFonts w:eastAsiaTheme="minorHAnsi" w:cstheme="minorBidi"/>
          <w:b w:val="0"/>
          <w:bCs w:val="0"/>
          <w:color w:val="595959" w:themeColor="text1"/>
          <w:sz w:val="24"/>
          <w:szCs w:val="24"/>
          <w:lang w:eastAsia="en-US"/>
        </w:rPr>
        <w:t xml:space="preserve">460 in early 2023 to a range of </w:t>
      </w:r>
      <w:r>
        <w:rPr>
          <w:rStyle w:val="Strong"/>
          <w:rFonts w:ascii="Arial" w:eastAsiaTheme="minorHAnsi" w:hAnsi="Arial" w:cs="Arial"/>
          <w:b w:val="0"/>
          <w:bCs w:val="0"/>
          <w:color w:val="595959" w:themeColor="text1"/>
          <w:sz w:val="24"/>
          <w:szCs w:val="24"/>
          <w:lang w:eastAsia="en-US"/>
        </w:rPr>
        <w:t>₦</w:t>
      </w:r>
      <w:r>
        <w:rPr>
          <w:rStyle w:val="Strong"/>
          <w:rFonts w:eastAsiaTheme="minorHAnsi" w:cstheme="minorBidi"/>
          <w:b w:val="0"/>
          <w:bCs w:val="0"/>
          <w:color w:val="595959" w:themeColor="text1"/>
          <w:sz w:val="24"/>
          <w:szCs w:val="24"/>
          <w:lang w:eastAsia="en-US"/>
        </w:rPr>
        <w:t xml:space="preserve">1,500 to </w:t>
      </w:r>
      <w:r>
        <w:rPr>
          <w:rStyle w:val="Strong"/>
          <w:rFonts w:ascii="Arial" w:eastAsiaTheme="minorHAnsi" w:hAnsi="Arial" w:cs="Arial"/>
          <w:b w:val="0"/>
          <w:bCs w:val="0"/>
          <w:color w:val="595959" w:themeColor="text1"/>
          <w:sz w:val="24"/>
          <w:szCs w:val="24"/>
          <w:lang w:eastAsia="en-US"/>
        </w:rPr>
        <w:t>₦</w:t>
      </w:r>
      <w:r>
        <w:rPr>
          <w:rStyle w:val="Strong"/>
          <w:rFonts w:eastAsiaTheme="minorHAnsi" w:cstheme="minorBidi"/>
          <w:b w:val="0"/>
          <w:bCs w:val="0"/>
          <w:color w:val="595959" w:themeColor="text1"/>
          <w:sz w:val="24"/>
          <w:szCs w:val="24"/>
          <w:lang w:eastAsia="en-US"/>
        </w:rPr>
        <w:t>1,600 in 2025.</w:t>
      </w:r>
    </w:p>
    <w:p w14:paraId="24423D82" w14:textId="2BC25921" w:rsidR="00A17CBF" w:rsidRPr="007235EA" w:rsidRDefault="00A17CBF" w:rsidP="00A17CBF">
      <w:pPr>
        <w:pStyle w:val="Caption"/>
        <w:keepNext/>
        <w:jc w:val="center"/>
      </w:pPr>
      <w:r w:rsidRPr="007235EA">
        <w:t xml:space="preserve">Table </w:t>
      </w:r>
      <w:r w:rsidRPr="007235EA">
        <w:fldChar w:fldCharType="begin"/>
      </w:r>
      <w:r w:rsidRPr="007235EA">
        <w:instrText xml:space="preserve"> SEQ Table \* ARABIC </w:instrText>
      </w:r>
      <w:r w:rsidRPr="007235EA">
        <w:fldChar w:fldCharType="separate"/>
      </w:r>
      <w:r w:rsidRPr="007235EA">
        <w:rPr>
          <w:noProof/>
        </w:rPr>
        <w:t>1</w:t>
      </w:r>
      <w:r w:rsidRPr="007235EA">
        <w:fldChar w:fldCharType="end"/>
      </w:r>
      <w:r w:rsidRPr="007235EA">
        <w:t>: Scenarios for Nigeria's Mineral Revenue in 2026</w:t>
      </w:r>
    </w:p>
    <w:tbl>
      <w:tblPr>
        <w:tblW w:w="7278" w:type="dxa"/>
        <w:jc w:val="center"/>
        <w:tblLook w:val="04A0" w:firstRow="1" w:lastRow="0" w:firstColumn="1" w:lastColumn="0" w:noHBand="0" w:noVBand="1"/>
      </w:tblPr>
      <w:tblGrid>
        <w:gridCol w:w="2288"/>
        <w:gridCol w:w="2288"/>
        <w:gridCol w:w="2702"/>
      </w:tblGrid>
      <w:tr w:rsidR="00A17CBF" w:rsidRPr="007235EA" w14:paraId="0900743D" w14:textId="77777777" w:rsidTr="000222D4">
        <w:trPr>
          <w:trHeight w:val="300"/>
          <w:jc w:val="center"/>
        </w:trPr>
        <w:tc>
          <w:tcPr>
            <w:tcW w:w="2288"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C3E760D" w14:textId="77777777" w:rsidR="00A17CBF" w:rsidRPr="007235EA" w:rsidRDefault="00A17CBF" w:rsidP="000905F5">
            <w:pPr>
              <w:jc w:val="both"/>
              <w:rPr>
                <w:rFonts w:ascii="Trebuchet MS" w:eastAsia="Times New Roman" w:hAnsi="Trebuchet MS" w:cs="Segoe UI"/>
                <w:b/>
                <w:bCs/>
                <w:color w:val="3B3838" w:themeColor="background2" w:themeShade="40"/>
                <w:sz w:val="22"/>
                <w:szCs w:val="22"/>
              </w:rPr>
            </w:pPr>
            <w:r w:rsidRPr="007235EA">
              <w:rPr>
                <w:rFonts w:ascii="Trebuchet MS" w:eastAsia="Times New Roman" w:hAnsi="Trebuchet MS" w:cs="Segoe UI"/>
                <w:b/>
                <w:bCs/>
                <w:color w:val="3B3838" w:themeColor="background2" w:themeShade="40"/>
                <w:sz w:val="22"/>
                <w:szCs w:val="22"/>
              </w:rPr>
              <w:t>Scenario</w:t>
            </w:r>
          </w:p>
        </w:tc>
        <w:tc>
          <w:tcPr>
            <w:tcW w:w="2288" w:type="dxa"/>
            <w:tcBorders>
              <w:top w:val="single" w:sz="4" w:space="0" w:color="auto"/>
              <w:left w:val="nil"/>
              <w:bottom w:val="single" w:sz="4" w:space="0" w:color="auto"/>
              <w:right w:val="single" w:sz="4" w:space="0" w:color="auto"/>
            </w:tcBorders>
            <w:shd w:val="clear" w:color="000000" w:fill="F5F5F5"/>
            <w:vAlign w:val="center"/>
            <w:hideMark/>
          </w:tcPr>
          <w:p w14:paraId="234391B0" w14:textId="77777777" w:rsidR="00A17CBF" w:rsidRPr="007235EA" w:rsidRDefault="00A17CBF" w:rsidP="000905F5">
            <w:pPr>
              <w:jc w:val="both"/>
              <w:rPr>
                <w:rFonts w:ascii="Trebuchet MS" w:eastAsia="Times New Roman" w:hAnsi="Trebuchet MS" w:cs="Segoe UI"/>
                <w:b/>
                <w:bCs/>
                <w:color w:val="3B3838" w:themeColor="background2" w:themeShade="40"/>
                <w:sz w:val="22"/>
                <w:szCs w:val="22"/>
              </w:rPr>
            </w:pPr>
            <w:r w:rsidRPr="007235EA">
              <w:rPr>
                <w:rFonts w:ascii="Trebuchet MS" w:eastAsia="Times New Roman" w:hAnsi="Trebuchet MS" w:cs="Segoe UI"/>
                <w:b/>
                <w:bCs/>
                <w:color w:val="3B3838" w:themeColor="background2" w:themeShade="40"/>
                <w:sz w:val="22"/>
                <w:szCs w:val="22"/>
              </w:rPr>
              <w:t>Oil Price Range</w:t>
            </w:r>
          </w:p>
        </w:tc>
        <w:tc>
          <w:tcPr>
            <w:tcW w:w="2702" w:type="dxa"/>
            <w:tcBorders>
              <w:top w:val="single" w:sz="4" w:space="0" w:color="auto"/>
              <w:left w:val="nil"/>
              <w:bottom w:val="single" w:sz="4" w:space="0" w:color="auto"/>
              <w:right w:val="single" w:sz="4" w:space="0" w:color="auto"/>
            </w:tcBorders>
            <w:shd w:val="clear" w:color="000000" w:fill="F5F5F5"/>
            <w:vAlign w:val="center"/>
            <w:hideMark/>
          </w:tcPr>
          <w:p w14:paraId="7238D2EB" w14:textId="77777777" w:rsidR="00A17CBF" w:rsidRPr="007235EA" w:rsidRDefault="00A17CBF" w:rsidP="000905F5">
            <w:pPr>
              <w:jc w:val="both"/>
              <w:rPr>
                <w:rFonts w:ascii="Trebuchet MS" w:eastAsia="Times New Roman" w:hAnsi="Trebuchet MS" w:cs="Segoe UI"/>
                <w:b/>
                <w:bCs/>
                <w:color w:val="3B3838" w:themeColor="background2" w:themeShade="40"/>
                <w:sz w:val="22"/>
                <w:szCs w:val="22"/>
              </w:rPr>
            </w:pPr>
            <w:r w:rsidRPr="007235EA">
              <w:rPr>
                <w:rFonts w:ascii="Trebuchet MS" w:eastAsia="Times New Roman" w:hAnsi="Trebuchet MS" w:cs="Segoe UI"/>
                <w:b/>
                <w:bCs/>
                <w:color w:val="3B3838" w:themeColor="background2" w:themeShade="40"/>
                <w:sz w:val="22"/>
                <w:szCs w:val="22"/>
              </w:rPr>
              <w:t>Revenue Range (Annual)</w:t>
            </w:r>
          </w:p>
        </w:tc>
      </w:tr>
      <w:tr w:rsidR="00A17CBF" w:rsidRPr="007235EA" w14:paraId="5936CD3B" w14:textId="77777777" w:rsidTr="000222D4">
        <w:trPr>
          <w:trHeight w:val="353"/>
          <w:jc w:val="center"/>
        </w:trPr>
        <w:tc>
          <w:tcPr>
            <w:tcW w:w="2288" w:type="dxa"/>
            <w:tcBorders>
              <w:top w:val="nil"/>
              <w:left w:val="single" w:sz="4" w:space="0" w:color="auto"/>
              <w:bottom w:val="single" w:sz="4" w:space="0" w:color="auto"/>
              <w:right w:val="single" w:sz="4" w:space="0" w:color="auto"/>
            </w:tcBorders>
            <w:shd w:val="clear" w:color="000000" w:fill="F5F5F5"/>
            <w:vAlign w:val="center"/>
            <w:hideMark/>
          </w:tcPr>
          <w:p w14:paraId="71780D2B" w14:textId="77777777" w:rsidR="00A17CBF" w:rsidRPr="007235EA" w:rsidRDefault="00A17CBF" w:rsidP="000905F5">
            <w:pPr>
              <w:jc w:val="both"/>
              <w:rPr>
                <w:rFonts w:ascii="Trebuchet MS" w:eastAsia="Times New Roman" w:hAnsi="Trebuchet MS" w:cs="Segoe UI"/>
                <w:b/>
                <w:bCs/>
                <w:color w:val="3B3838" w:themeColor="background2" w:themeShade="40"/>
                <w:sz w:val="22"/>
                <w:szCs w:val="22"/>
              </w:rPr>
            </w:pPr>
            <w:r w:rsidRPr="007235EA">
              <w:rPr>
                <w:rFonts w:ascii="Trebuchet MS" w:eastAsia="Times New Roman" w:hAnsi="Trebuchet MS" w:cs="Segoe UI"/>
                <w:b/>
                <w:bCs/>
                <w:color w:val="3B3838" w:themeColor="background2" w:themeShade="40"/>
                <w:sz w:val="22"/>
                <w:szCs w:val="22"/>
              </w:rPr>
              <w:t>Base Case</w:t>
            </w:r>
          </w:p>
        </w:tc>
        <w:tc>
          <w:tcPr>
            <w:tcW w:w="2288" w:type="dxa"/>
            <w:tcBorders>
              <w:top w:val="nil"/>
              <w:left w:val="nil"/>
              <w:bottom w:val="single" w:sz="4" w:space="0" w:color="auto"/>
              <w:right w:val="single" w:sz="4" w:space="0" w:color="auto"/>
            </w:tcBorders>
            <w:vAlign w:val="center"/>
            <w:hideMark/>
          </w:tcPr>
          <w:p w14:paraId="259E0FA0" w14:textId="77777777" w:rsidR="00A17CBF" w:rsidRPr="007235EA" w:rsidRDefault="00A17CBF" w:rsidP="000905F5">
            <w:pPr>
              <w:jc w:val="both"/>
              <w:rPr>
                <w:rFonts w:ascii="Trebuchet MS" w:eastAsia="Times New Roman" w:hAnsi="Trebuchet MS" w:cs="Segoe UI"/>
                <w:color w:val="3B3838" w:themeColor="background2" w:themeShade="40"/>
                <w:sz w:val="22"/>
                <w:szCs w:val="22"/>
              </w:rPr>
            </w:pPr>
            <w:r w:rsidRPr="007235EA">
              <w:rPr>
                <w:rFonts w:ascii="Trebuchet MS" w:eastAsia="Times New Roman" w:hAnsi="Trebuchet MS" w:cs="Segoe UI"/>
                <w:color w:val="3B3838" w:themeColor="background2" w:themeShade="40"/>
                <w:sz w:val="22"/>
                <w:szCs w:val="22"/>
              </w:rPr>
              <w:t>$65–85</w:t>
            </w:r>
          </w:p>
        </w:tc>
        <w:tc>
          <w:tcPr>
            <w:tcW w:w="2702" w:type="dxa"/>
            <w:tcBorders>
              <w:top w:val="nil"/>
              <w:left w:val="nil"/>
              <w:bottom w:val="single" w:sz="4" w:space="0" w:color="auto"/>
              <w:right w:val="single" w:sz="4" w:space="0" w:color="auto"/>
            </w:tcBorders>
            <w:vAlign w:val="center"/>
            <w:hideMark/>
          </w:tcPr>
          <w:p w14:paraId="3BCA4145" w14:textId="77777777" w:rsidR="00A17CBF" w:rsidRPr="007235EA" w:rsidRDefault="00A17CBF" w:rsidP="000905F5">
            <w:pPr>
              <w:jc w:val="both"/>
              <w:rPr>
                <w:rFonts w:ascii="Trebuchet MS" w:eastAsia="Times New Roman" w:hAnsi="Trebuchet MS" w:cs="Segoe UI"/>
                <w:color w:val="3B3838" w:themeColor="background2" w:themeShade="40"/>
                <w:sz w:val="22"/>
                <w:szCs w:val="22"/>
              </w:rPr>
            </w:pPr>
            <w:r w:rsidRPr="007235EA">
              <w:rPr>
                <w:rFonts w:ascii="Arial" w:eastAsia="Times New Roman" w:hAnsi="Arial" w:cs="Arial"/>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 xml:space="preserve">11.3T </w:t>
            </w:r>
            <w:r w:rsidRPr="007235EA">
              <w:rPr>
                <w:rFonts w:ascii="Trebuchet MS" w:eastAsia="Times New Roman" w:hAnsi="Trebuchet MS" w:cs="Trebuchet MS"/>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 xml:space="preserve"> </w:t>
            </w:r>
            <w:r w:rsidRPr="007235EA">
              <w:rPr>
                <w:rFonts w:ascii="Arial" w:eastAsia="Times New Roman" w:hAnsi="Arial" w:cs="Arial"/>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14.8T</w:t>
            </w:r>
          </w:p>
        </w:tc>
      </w:tr>
      <w:tr w:rsidR="00A17CBF" w:rsidRPr="007235EA" w14:paraId="38432EC9" w14:textId="77777777" w:rsidTr="000222D4">
        <w:trPr>
          <w:trHeight w:val="300"/>
          <w:jc w:val="center"/>
        </w:trPr>
        <w:tc>
          <w:tcPr>
            <w:tcW w:w="2288" w:type="dxa"/>
            <w:tcBorders>
              <w:top w:val="nil"/>
              <w:left w:val="single" w:sz="4" w:space="0" w:color="auto"/>
              <w:bottom w:val="single" w:sz="4" w:space="0" w:color="auto"/>
              <w:right w:val="single" w:sz="4" w:space="0" w:color="auto"/>
            </w:tcBorders>
            <w:shd w:val="clear" w:color="000000" w:fill="F5F5F5"/>
            <w:vAlign w:val="center"/>
            <w:hideMark/>
          </w:tcPr>
          <w:p w14:paraId="266C301E" w14:textId="77777777" w:rsidR="00A17CBF" w:rsidRPr="007235EA" w:rsidRDefault="00A17CBF" w:rsidP="000905F5">
            <w:pPr>
              <w:jc w:val="both"/>
              <w:rPr>
                <w:rFonts w:ascii="Trebuchet MS" w:eastAsia="Times New Roman" w:hAnsi="Trebuchet MS" w:cs="Segoe UI"/>
                <w:b/>
                <w:bCs/>
                <w:color w:val="3B3838" w:themeColor="background2" w:themeShade="40"/>
                <w:sz w:val="22"/>
                <w:szCs w:val="22"/>
              </w:rPr>
            </w:pPr>
            <w:r w:rsidRPr="007235EA">
              <w:rPr>
                <w:rFonts w:ascii="Trebuchet MS" w:eastAsia="Times New Roman" w:hAnsi="Trebuchet MS" w:cs="Segoe UI"/>
                <w:b/>
                <w:bCs/>
                <w:color w:val="3B3838" w:themeColor="background2" w:themeShade="40"/>
                <w:sz w:val="22"/>
                <w:szCs w:val="22"/>
              </w:rPr>
              <w:t>Scenario II</w:t>
            </w:r>
          </w:p>
        </w:tc>
        <w:tc>
          <w:tcPr>
            <w:tcW w:w="2288" w:type="dxa"/>
            <w:tcBorders>
              <w:top w:val="nil"/>
              <w:left w:val="nil"/>
              <w:bottom w:val="single" w:sz="4" w:space="0" w:color="auto"/>
              <w:right w:val="single" w:sz="4" w:space="0" w:color="auto"/>
            </w:tcBorders>
            <w:vAlign w:val="center"/>
            <w:hideMark/>
          </w:tcPr>
          <w:p w14:paraId="1F7EC704" w14:textId="77777777" w:rsidR="00A17CBF" w:rsidRPr="007235EA" w:rsidRDefault="00A17CBF" w:rsidP="000905F5">
            <w:pPr>
              <w:jc w:val="both"/>
              <w:rPr>
                <w:rFonts w:ascii="Trebuchet MS" w:eastAsia="Times New Roman" w:hAnsi="Trebuchet MS" w:cs="Segoe UI"/>
                <w:color w:val="3B3838" w:themeColor="background2" w:themeShade="40"/>
                <w:sz w:val="22"/>
                <w:szCs w:val="22"/>
              </w:rPr>
            </w:pPr>
            <w:r w:rsidRPr="007235EA">
              <w:rPr>
                <w:rFonts w:ascii="Trebuchet MS" w:eastAsia="Times New Roman" w:hAnsi="Trebuchet MS" w:cs="Segoe UI"/>
                <w:color w:val="3B3838" w:themeColor="background2" w:themeShade="40"/>
                <w:sz w:val="22"/>
                <w:szCs w:val="22"/>
              </w:rPr>
              <w:t>$90–115</w:t>
            </w:r>
          </w:p>
        </w:tc>
        <w:tc>
          <w:tcPr>
            <w:tcW w:w="2702" w:type="dxa"/>
            <w:tcBorders>
              <w:top w:val="nil"/>
              <w:left w:val="nil"/>
              <w:bottom w:val="single" w:sz="4" w:space="0" w:color="auto"/>
              <w:right w:val="single" w:sz="4" w:space="0" w:color="auto"/>
            </w:tcBorders>
            <w:vAlign w:val="center"/>
            <w:hideMark/>
          </w:tcPr>
          <w:p w14:paraId="5DA5AF4E" w14:textId="77777777" w:rsidR="00A17CBF" w:rsidRPr="007235EA" w:rsidRDefault="00A17CBF" w:rsidP="000905F5">
            <w:pPr>
              <w:jc w:val="both"/>
              <w:rPr>
                <w:rFonts w:ascii="Trebuchet MS" w:eastAsia="Times New Roman" w:hAnsi="Trebuchet MS" w:cs="Segoe UI"/>
                <w:color w:val="3B3838" w:themeColor="background2" w:themeShade="40"/>
                <w:sz w:val="22"/>
                <w:szCs w:val="22"/>
              </w:rPr>
            </w:pPr>
            <w:r w:rsidRPr="007235EA">
              <w:rPr>
                <w:rFonts w:ascii="Arial" w:eastAsia="Times New Roman" w:hAnsi="Arial" w:cs="Arial"/>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 xml:space="preserve">15.6T </w:t>
            </w:r>
            <w:r w:rsidRPr="007235EA">
              <w:rPr>
                <w:rFonts w:ascii="Trebuchet MS" w:eastAsia="Times New Roman" w:hAnsi="Trebuchet MS" w:cs="Trebuchet MS"/>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 xml:space="preserve"> </w:t>
            </w:r>
            <w:r w:rsidRPr="007235EA">
              <w:rPr>
                <w:rFonts w:ascii="Arial" w:eastAsia="Times New Roman" w:hAnsi="Arial" w:cs="Arial"/>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19.98T</w:t>
            </w:r>
          </w:p>
        </w:tc>
      </w:tr>
      <w:tr w:rsidR="00A17CBF" w:rsidRPr="007235EA" w14:paraId="19A1EF3A" w14:textId="77777777" w:rsidTr="000222D4">
        <w:trPr>
          <w:trHeight w:val="300"/>
          <w:jc w:val="center"/>
        </w:trPr>
        <w:tc>
          <w:tcPr>
            <w:tcW w:w="2288" w:type="dxa"/>
            <w:tcBorders>
              <w:top w:val="nil"/>
              <w:left w:val="single" w:sz="4" w:space="0" w:color="auto"/>
              <w:bottom w:val="single" w:sz="4" w:space="0" w:color="auto"/>
              <w:right w:val="single" w:sz="4" w:space="0" w:color="auto"/>
            </w:tcBorders>
            <w:shd w:val="clear" w:color="000000" w:fill="F5F5F5"/>
            <w:vAlign w:val="center"/>
            <w:hideMark/>
          </w:tcPr>
          <w:p w14:paraId="04669AA2" w14:textId="77777777" w:rsidR="00A17CBF" w:rsidRPr="007235EA" w:rsidRDefault="00A17CBF" w:rsidP="000905F5">
            <w:pPr>
              <w:jc w:val="both"/>
              <w:rPr>
                <w:rFonts w:ascii="Trebuchet MS" w:eastAsia="Times New Roman" w:hAnsi="Trebuchet MS" w:cs="Segoe UI"/>
                <w:b/>
                <w:bCs/>
                <w:color w:val="3B3838" w:themeColor="background2" w:themeShade="40"/>
                <w:sz w:val="22"/>
                <w:szCs w:val="22"/>
              </w:rPr>
            </w:pPr>
            <w:r w:rsidRPr="007235EA">
              <w:rPr>
                <w:rFonts w:ascii="Trebuchet MS" w:eastAsia="Times New Roman" w:hAnsi="Trebuchet MS" w:cs="Segoe UI"/>
                <w:b/>
                <w:bCs/>
                <w:color w:val="3B3838" w:themeColor="background2" w:themeShade="40"/>
                <w:sz w:val="22"/>
                <w:szCs w:val="22"/>
              </w:rPr>
              <w:t>Scenario II</w:t>
            </w:r>
          </w:p>
        </w:tc>
        <w:tc>
          <w:tcPr>
            <w:tcW w:w="2288" w:type="dxa"/>
            <w:tcBorders>
              <w:top w:val="nil"/>
              <w:left w:val="nil"/>
              <w:bottom w:val="single" w:sz="4" w:space="0" w:color="auto"/>
              <w:right w:val="single" w:sz="4" w:space="0" w:color="auto"/>
            </w:tcBorders>
            <w:vAlign w:val="center"/>
            <w:hideMark/>
          </w:tcPr>
          <w:p w14:paraId="6F46E282" w14:textId="77777777" w:rsidR="00A17CBF" w:rsidRPr="007235EA" w:rsidRDefault="00A17CBF" w:rsidP="000905F5">
            <w:pPr>
              <w:jc w:val="both"/>
              <w:rPr>
                <w:rFonts w:ascii="Trebuchet MS" w:eastAsia="Times New Roman" w:hAnsi="Trebuchet MS" w:cs="Segoe UI"/>
                <w:color w:val="3B3838" w:themeColor="background2" w:themeShade="40"/>
                <w:sz w:val="22"/>
                <w:szCs w:val="22"/>
              </w:rPr>
            </w:pPr>
            <w:r w:rsidRPr="007235EA">
              <w:rPr>
                <w:rFonts w:ascii="Trebuchet MS" w:eastAsia="Times New Roman" w:hAnsi="Trebuchet MS" w:cs="Segoe UI"/>
                <w:color w:val="3B3838" w:themeColor="background2" w:themeShade="40"/>
                <w:sz w:val="22"/>
                <w:szCs w:val="22"/>
              </w:rPr>
              <w:t>$120–150</w:t>
            </w:r>
          </w:p>
        </w:tc>
        <w:tc>
          <w:tcPr>
            <w:tcW w:w="2702" w:type="dxa"/>
            <w:tcBorders>
              <w:top w:val="nil"/>
              <w:left w:val="nil"/>
              <w:bottom w:val="single" w:sz="4" w:space="0" w:color="auto"/>
              <w:right w:val="single" w:sz="4" w:space="0" w:color="auto"/>
            </w:tcBorders>
            <w:vAlign w:val="center"/>
            <w:hideMark/>
          </w:tcPr>
          <w:p w14:paraId="0D6C9522" w14:textId="77777777" w:rsidR="00A17CBF" w:rsidRPr="007235EA" w:rsidRDefault="00A17CBF" w:rsidP="000905F5">
            <w:pPr>
              <w:jc w:val="both"/>
              <w:rPr>
                <w:rFonts w:ascii="Trebuchet MS" w:eastAsia="Times New Roman" w:hAnsi="Trebuchet MS" w:cs="Segoe UI"/>
                <w:color w:val="3B3838" w:themeColor="background2" w:themeShade="40"/>
                <w:sz w:val="22"/>
                <w:szCs w:val="22"/>
              </w:rPr>
            </w:pPr>
            <w:r w:rsidRPr="007235EA">
              <w:rPr>
                <w:rFonts w:ascii="Arial" w:eastAsia="Times New Roman" w:hAnsi="Arial" w:cs="Arial"/>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 xml:space="preserve">20.8T </w:t>
            </w:r>
            <w:r w:rsidRPr="007235EA">
              <w:rPr>
                <w:rFonts w:ascii="Trebuchet MS" w:eastAsia="Times New Roman" w:hAnsi="Trebuchet MS" w:cs="Trebuchet MS"/>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 xml:space="preserve"> </w:t>
            </w:r>
            <w:r w:rsidRPr="007235EA">
              <w:rPr>
                <w:rFonts w:ascii="Arial" w:eastAsia="Times New Roman" w:hAnsi="Arial" w:cs="Arial"/>
                <w:color w:val="3B3838" w:themeColor="background2" w:themeShade="40"/>
                <w:sz w:val="22"/>
                <w:szCs w:val="22"/>
              </w:rPr>
              <w:t>₦</w:t>
            </w:r>
            <w:r w:rsidRPr="007235EA">
              <w:rPr>
                <w:rFonts w:ascii="Trebuchet MS" w:eastAsia="Times New Roman" w:hAnsi="Trebuchet MS" w:cs="Segoe UI"/>
                <w:color w:val="3B3838" w:themeColor="background2" w:themeShade="40"/>
                <w:sz w:val="22"/>
                <w:szCs w:val="22"/>
              </w:rPr>
              <w:t>26.1T</w:t>
            </w:r>
          </w:p>
        </w:tc>
      </w:tr>
    </w:tbl>
    <w:p w14:paraId="74634E8C" w14:textId="77777777" w:rsidR="00A17CBF" w:rsidRPr="007235EA" w:rsidRDefault="00A17CBF" w:rsidP="00A17CBF">
      <w:pPr>
        <w:jc w:val="both"/>
        <w:rPr>
          <w:rFonts w:ascii="Trebuchet MS" w:hAnsi="Trebuchet MS"/>
          <w:color w:val="3B3838" w:themeColor="background2" w:themeShade="40"/>
          <w:sz w:val="22"/>
          <w:szCs w:val="22"/>
        </w:rPr>
      </w:pPr>
    </w:p>
    <w:p w14:paraId="20C93FD5" w14:textId="77777777" w:rsidR="00A17CBF" w:rsidRPr="007235EA" w:rsidRDefault="00A17CBF" w:rsidP="00A17CBF">
      <w:pPr>
        <w:pStyle w:val="Caption"/>
        <w:keepNext/>
        <w:jc w:val="center"/>
      </w:pPr>
      <w:r w:rsidRPr="007235EA">
        <w:t xml:space="preserve">Figure </w:t>
      </w:r>
      <w:r w:rsidRPr="007235EA">
        <w:fldChar w:fldCharType="begin"/>
      </w:r>
      <w:r w:rsidRPr="007235EA">
        <w:instrText xml:space="preserve"> SEQ Figure \* ARABIC </w:instrText>
      </w:r>
      <w:r w:rsidRPr="007235EA">
        <w:fldChar w:fldCharType="separate"/>
      </w:r>
      <w:r w:rsidRPr="007235EA">
        <w:rPr>
          <w:noProof/>
        </w:rPr>
        <w:t>1</w:t>
      </w:r>
      <w:r w:rsidRPr="007235EA">
        <w:fldChar w:fldCharType="end"/>
      </w:r>
      <w:r w:rsidRPr="007235EA">
        <w:t>: Scenarios for Nigeria's Mineral Revenue in 2026</w:t>
      </w:r>
    </w:p>
    <w:p w14:paraId="63A2824D" w14:textId="77777777" w:rsidR="00A17CBF" w:rsidRDefault="00A17CBF" w:rsidP="000222D4">
      <w:pPr>
        <w:jc w:val="center"/>
        <w:rPr>
          <w:rFonts w:ascii="Trebuchet MS" w:hAnsi="Trebuchet MS"/>
          <w:color w:val="3B3838" w:themeColor="background2" w:themeShade="40"/>
        </w:rPr>
      </w:pPr>
      <w:r w:rsidRPr="007235EA">
        <w:rPr>
          <w:rFonts w:ascii="Trebuchet MS" w:hAnsi="Trebuchet MS"/>
          <w:noProof/>
          <w:color w:val="3B3838" w:themeColor="background2" w:themeShade="40"/>
        </w:rPr>
        <w:drawing>
          <wp:inline distT="0" distB="0" distL="0" distR="0" wp14:anchorId="4956AC2B" wp14:editId="39860926">
            <wp:extent cx="5193025" cy="2596513"/>
            <wp:effectExtent l="0" t="0" r="8255" b="0"/>
            <wp:docPr id="1509493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2094" cy="2611048"/>
                    </a:xfrm>
                    <a:prstGeom prst="rect">
                      <a:avLst/>
                    </a:prstGeom>
                    <a:noFill/>
                    <a:ln>
                      <a:noFill/>
                    </a:ln>
                  </pic:spPr>
                </pic:pic>
              </a:graphicData>
            </a:graphic>
          </wp:inline>
        </w:drawing>
      </w:r>
    </w:p>
    <w:p w14:paraId="1F245070" w14:textId="77777777" w:rsidR="00A17CBF" w:rsidRPr="007235EA" w:rsidRDefault="00A17CBF" w:rsidP="00A17CBF">
      <w:pPr>
        <w:pStyle w:val="Caption"/>
        <w:keepNext/>
        <w:jc w:val="center"/>
      </w:pPr>
      <w:r w:rsidRPr="007235EA">
        <w:t xml:space="preserve">Figure </w:t>
      </w:r>
      <w:r w:rsidRPr="007235EA">
        <w:fldChar w:fldCharType="begin"/>
      </w:r>
      <w:r w:rsidRPr="007235EA">
        <w:instrText xml:space="preserve"> SEQ Figure \* ARABIC </w:instrText>
      </w:r>
      <w:r w:rsidRPr="007235EA">
        <w:fldChar w:fldCharType="separate"/>
      </w:r>
      <w:r>
        <w:rPr>
          <w:noProof/>
        </w:rPr>
        <w:t>2</w:t>
      </w:r>
      <w:r w:rsidRPr="007235EA">
        <w:fldChar w:fldCharType="end"/>
      </w:r>
      <w:r w:rsidRPr="007235EA">
        <w:t xml:space="preserve">: Monthly Returns from </w:t>
      </w:r>
      <w:r>
        <w:t xml:space="preserve">a </w:t>
      </w:r>
      <w:r w:rsidRPr="007235EA">
        <w:t>$5 increase in Crude Price</w:t>
      </w:r>
    </w:p>
    <w:p w14:paraId="4F2E98C0" w14:textId="77777777" w:rsidR="00A17CBF" w:rsidRPr="00E521A3" w:rsidRDefault="00A17CBF" w:rsidP="000222D4">
      <w:pPr>
        <w:jc w:val="center"/>
        <w:rPr>
          <w:rFonts w:ascii="Trebuchet MS" w:hAnsi="Trebuchet MS"/>
        </w:rPr>
      </w:pPr>
      <w:r w:rsidRPr="007235EA">
        <w:rPr>
          <w:rFonts w:ascii="Trebuchet MS" w:hAnsi="Trebuchet MS"/>
          <w:noProof/>
        </w:rPr>
        <w:drawing>
          <wp:inline distT="0" distB="0" distL="0" distR="0" wp14:anchorId="2267197C" wp14:editId="296FD09B">
            <wp:extent cx="5395784" cy="2697892"/>
            <wp:effectExtent l="0" t="0" r="0" b="7620"/>
            <wp:docPr id="63427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7570" cy="2703785"/>
                    </a:xfrm>
                    <a:prstGeom prst="rect">
                      <a:avLst/>
                    </a:prstGeom>
                    <a:noFill/>
                    <a:ln>
                      <a:noFill/>
                    </a:ln>
                  </pic:spPr>
                </pic:pic>
              </a:graphicData>
            </a:graphic>
          </wp:inline>
        </w:drawing>
      </w:r>
    </w:p>
    <w:p w14:paraId="757B882E" w14:textId="77777777" w:rsidR="00A17CBF" w:rsidRPr="007235EA" w:rsidRDefault="00A17CBF" w:rsidP="00A17CBF">
      <w:pPr>
        <w:jc w:val="both"/>
        <w:rPr>
          <w:rFonts w:ascii="Trebuchet MS" w:hAnsi="Trebuchet MS"/>
          <w:color w:val="3B3838" w:themeColor="background2" w:themeShade="40"/>
        </w:rPr>
      </w:pPr>
    </w:p>
    <w:p w14:paraId="121401CC" w14:textId="62D1E5F5" w:rsidR="00A17CBF" w:rsidRPr="00A17CBF" w:rsidRDefault="006B36E5" w:rsidP="00A17CBF">
      <w:pPr>
        <w:pStyle w:val="Para"/>
        <w:rPr>
          <w:rStyle w:val="Strong"/>
          <w:rFonts w:eastAsiaTheme="minorHAnsi" w:cstheme="minorBidi"/>
          <w:b w:val="0"/>
          <w:bCs w:val="0"/>
          <w:color w:val="595959" w:themeColor="text1"/>
          <w:sz w:val="24"/>
          <w:szCs w:val="24"/>
          <w:lang w:eastAsia="en-US"/>
        </w:rPr>
      </w:pPr>
      <w:r>
        <w:rPr>
          <w:rStyle w:val="Strong"/>
          <w:rFonts w:eastAsiaTheme="minorHAnsi" w:cstheme="minorBidi"/>
          <w:b w:val="0"/>
          <w:bCs w:val="0"/>
          <w:color w:val="595959" w:themeColor="text1"/>
          <w:sz w:val="24"/>
          <w:szCs w:val="24"/>
          <w:lang w:eastAsia="en-US"/>
        </w:rPr>
        <w:t>H</w:t>
      </w:r>
      <w:r w:rsidR="00A17CBF" w:rsidRPr="00A17CBF">
        <w:rPr>
          <w:rStyle w:val="Strong"/>
          <w:rFonts w:eastAsiaTheme="minorHAnsi" w:cstheme="minorBidi"/>
          <w:b w:val="0"/>
          <w:bCs w:val="0"/>
          <w:color w:val="595959" w:themeColor="text1"/>
          <w:sz w:val="24"/>
          <w:szCs w:val="24"/>
          <w:lang w:eastAsia="en-US"/>
        </w:rPr>
        <w:t xml:space="preserve">igher oil prices </w:t>
      </w:r>
      <w:r>
        <w:rPr>
          <w:rStyle w:val="Strong"/>
          <w:rFonts w:eastAsiaTheme="minorHAnsi" w:cstheme="minorBidi"/>
          <w:b w:val="0"/>
          <w:bCs w:val="0"/>
          <w:color w:val="595959" w:themeColor="text1"/>
          <w:sz w:val="24"/>
          <w:szCs w:val="24"/>
          <w:lang w:eastAsia="en-US"/>
        </w:rPr>
        <w:t xml:space="preserve">will bring about </w:t>
      </w:r>
      <w:r w:rsidR="00A17CBF" w:rsidRPr="00A17CBF">
        <w:rPr>
          <w:rStyle w:val="Strong"/>
          <w:rFonts w:eastAsiaTheme="minorHAnsi" w:cstheme="minorBidi"/>
          <w:b w:val="0"/>
          <w:bCs w:val="0"/>
          <w:color w:val="595959" w:themeColor="text1"/>
          <w:sz w:val="24"/>
          <w:szCs w:val="24"/>
          <w:lang w:eastAsia="en-US"/>
        </w:rPr>
        <w:t xml:space="preserve">fiscal </w:t>
      </w:r>
      <w:r w:rsidR="00F9524D">
        <w:rPr>
          <w:rStyle w:val="Strong"/>
          <w:rFonts w:eastAsiaTheme="minorHAnsi" w:cstheme="minorBidi"/>
          <w:b w:val="0"/>
          <w:bCs w:val="0"/>
          <w:color w:val="595959" w:themeColor="text1"/>
          <w:sz w:val="24"/>
          <w:szCs w:val="24"/>
          <w:lang w:eastAsia="en-US"/>
        </w:rPr>
        <w:t xml:space="preserve">gains </w:t>
      </w:r>
      <w:r w:rsidR="00A17CBF" w:rsidRPr="00A17CBF">
        <w:rPr>
          <w:rStyle w:val="Strong"/>
          <w:rFonts w:eastAsiaTheme="minorHAnsi" w:cstheme="minorBidi"/>
          <w:b w:val="0"/>
          <w:bCs w:val="0"/>
          <w:color w:val="595959" w:themeColor="text1"/>
          <w:sz w:val="24"/>
          <w:szCs w:val="24"/>
          <w:lang w:eastAsia="en-US"/>
        </w:rPr>
        <w:t xml:space="preserve">for all tiers of government, especially </w:t>
      </w:r>
      <w:r w:rsidR="00A17CBF">
        <w:rPr>
          <w:rStyle w:val="Strong"/>
          <w:rFonts w:eastAsiaTheme="minorHAnsi" w:cstheme="minorBidi"/>
          <w:b w:val="0"/>
          <w:bCs w:val="0"/>
          <w:color w:val="595959" w:themeColor="text1"/>
          <w:sz w:val="24"/>
          <w:szCs w:val="24"/>
          <w:lang w:eastAsia="en-US"/>
        </w:rPr>
        <w:t>oil-producing</w:t>
      </w:r>
      <w:r w:rsidR="00A17CBF" w:rsidRPr="00A17CBF">
        <w:rPr>
          <w:rStyle w:val="Strong"/>
          <w:rFonts w:eastAsiaTheme="minorHAnsi" w:cstheme="minorBidi"/>
          <w:b w:val="0"/>
          <w:bCs w:val="0"/>
          <w:color w:val="595959" w:themeColor="text1"/>
          <w:sz w:val="24"/>
          <w:szCs w:val="24"/>
          <w:lang w:eastAsia="en-US"/>
        </w:rPr>
        <w:t xml:space="preserve"> </w:t>
      </w:r>
      <w:r w:rsidR="00F9524D">
        <w:rPr>
          <w:rStyle w:val="Strong"/>
          <w:rFonts w:eastAsiaTheme="minorHAnsi" w:cstheme="minorBidi"/>
          <w:b w:val="0"/>
          <w:bCs w:val="0"/>
          <w:color w:val="595959" w:themeColor="text1"/>
          <w:sz w:val="24"/>
          <w:szCs w:val="24"/>
          <w:lang w:eastAsia="en-US"/>
        </w:rPr>
        <w:t>S</w:t>
      </w:r>
      <w:r w:rsidR="00A17CBF" w:rsidRPr="00A17CBF">
        <w:rPr>
          <w:rStyle w:val="Strong"/>
          <w:rFonts w:eastAsiaTheme="minorHAnsi" w:cstheme="minorBidi"/>
          <w:b w:val="0"/>
          <w:bCs w:val="0"/>
          <w:color w:val="595959" w:themeColor="text1"/>
          <w:sz w:val="24"/>
          <w:szCs w:val="24"/>
          <w:lang w:eastAsia="en-US"/>
        </w:rPr>
        <w:t>tates through derivation</w:t>
      </w:r>
      <w:r w:rsidR="00F9524D">
        <w:rPr>
          <w:rStyle w:val="Strong"/>
          <w:rFonts w:eastAsiaTheme="minorHAnsi" w:cstheme="minorBidi"/>
          <w:b w:val="0"/>
          <w:bCs w:val="0"/>
          <w:color w:val="595959" w:themeColor="text1"/>
          <w:sz w:val="24"/>
          <w:szCs w:val="24"/>
          <w:lang w:eastAsia="en-US"/>
        </w:rPr>
        <w:t xml:space="preserve"> (see </w:t>
      </w:r>
      <w:r w:rsidR="0081003F">
        <w:rPr>
          <w:rStyle w:val="Strong"/>
          <w:rFonts w:eastAsiaTheme="minorHAnsi" w:cstheme="minorBidi"/>
          <w:b w:val="0"/>
          <w:bCs w:val="0"/>
          <w:color w:val="595959" w:themeColor="text1"/>
          <w:sz w:val="24"/>
          <w:szCs w:val="24"/>
          <w:lang w:eastAsia="en-US"/>
        </w:rPr>
        <w:t>Figure</w:t>
      </w:r>
      <w:r w:rsidR="00F9524D">
        <w:rPr>
          <w:rStyle w:val="Strong"/>
          <w:rFonts w:eastAsiaTheme="minorHAnsi" w:cstheme="minorBidi"/>
          <w:b w:val="0"/>
          <w:bCs w:val="0"/>
          <w:color w:val="595959" w:themeColor="text1"/>
          <w:sz w:val="24"/>
          <w:szCs w:val="24"/>
          <w:lang w:eastAsia="en-US"/>
        </w:rPr>
        <w:t xml:space="preserve"> 2)</w:t>
      </w:r>
      <w:r w:rsidR="00A17CBF" w:rsidRPr="00A17CBF">
        <w:rPr>
          <w:rStyle w:val="Strong"/>
          <w:rFonts w:eastAsiaTheme="minorHAnsi" w:cstheme="minorBidi"/>
          <w:b w:val="0"/>
          <w:bCs w:val="0"/>
          <w:color w:val="595959" w:themeColor="text1"/>
          <w:sz w:val="24"/>
          <w:szCs w:val="24"/>
          <w:lang w:eastAsia="en-US"/>
        </w:rPr>
        <w:t xml:space="preserve">, </w:t>
      </w:r>
      <w:r w:rsidR="00F9524D">
        <w:rPr>
          <w:rStyle w:val="Strong"/>
          <w:rFonts w:eastAsiaTheme="minorHAnsi" w:cstheme="minorBidi"/>
          <w:b w:val="0"/>
          <w:bCs w:val="0"/>
          <w:color w:val="595959" w:themeColor="text1"/>
          <w:sz w:val="24"/>
          <w:szCs w:val="24"/>
          <w:lang w:eastAsia="en-US"/>
        </w:rPr>
        <w:t xml:space="preserve">but </w:t>
      </w:r>
      <w:r w:rsidR="00A17CBF" w:rsidRPr="00A17CBF">
        <w:rPr>
          <w:rStyle w:val="Strong"/>
          <w:rFonts w:eastAsiaTheme="minorHAnsi" w:cstheme="minorBidi"/>
          <w:b w:val="0"/>
          <w:bCs w:val="0"/>
          <w:color w:val="595959" w:themeColor="text1"/>
          <w:sz w:val="24"/>
          <w:szCs w:val="24"/>
          <w:lang w:eastAsia="en-US"/>
        </w:rPr>
        <w:t xml:space="preserve">these gains are subject to volatility </w:t>
      </w:r>
      <w:r w:rsidR="00F9524D">
        <w:rPr>
          <w:rStyle w:val="Strong"/>
          <w:rFonts w:eastAsiaTheme="minorHAnsi" w:cstheme="minorBidi"/>
          <w:b w:val="0"/>
          <w:bCs w:val="0"/>
          <w:color w:val="595959" w:themeColor="text1"/>
          <w:sz w:val="24"/>
          <w:szCs w:val="24"/>
          <w:lang w:eastAsia="en-US"/>
        </w:rPr>
        <w:t>from currency fluctuations and production changes</w:t>
      </w:r>
      <w:r w:rsidR="00A17CBF" w:rsidRPr="00A17CBF">
        <w:rPr>
          <w:rStyle w:val="Strong"/>
          <w:rFonts w:eastAsiaTheme="minorHAnsi" w:cstheme="minorBidi"/>
          <w:b w:val="0"/>
          <w:bCs w:val="0"/>
          <w:color w:val="595959" w:themeColor="text1"/>
          <w:sz w:val="24"/>
          <w:szCs w:val="24"/>
          <w:lang w:eastAsia="en-US"/>
        </w:rPr>
        <w:t xml:space="preserve">. Any sustained escalation in </w:t>
      </w:r>
      <w:r w:rsidR="00F9524D">
        <w:rPr>
          <w:rStyle w:val="Strong"/>
          <w:rFonts w:eastAsiaTheme="minorHAnsi" w:cstheme="minorBidi"/>
          <w:b w:val="0"/>
          <w:bCs w:val="0"/>
          <w:color w:val="595959" w:themeColor="text1"/>
          <w:sz w:val="24"/>
          <w:szCs w:val="24"/>
          <w:lang w:eastAsia="en-US"/>
        </w:rPr>
        <w:t xml:space="preserve">the </w:t>
      </w:r>
      <w:r w:rsidR="00A17CBF" w:rsidRPr="00A17CBF">
        <w:rPr>
          <w:rStyle w:val="Strong"/>
          <w:rFonts w:eastAsiaTheme="minorHAnsi" w:cstheme="minorBidi"/>
          <w:b w:val="0"/>
          <w:bCs w:val="0"/>
          <w:color w:val="595959" w:themeColor="text1"/>
          <w:sz w:val="24"/>
          <w:szCs w:val="24"/>
          <w:lang w:eastAsia="en-US"/>
        </w:rPr>
        <w:t xml:space="preserve">conflict </w:t>
      </w:r>
      <w:r w:rsidR="00F9524D">
        <w:rPr>
          <w:rStyle w:val="Strong"/>
          <w:rFonts w:eastAsiaTheme="minorHAnsi" w:cstheme="minorBidi"/>
          <w:b w:val="0"/>
          <w:bCs w:val="0"/>
          <w:color w:val="595959" w:themeColor="text1"/>
          <w:sz w:val="24"/>
          <w:szCs w:val="24"/>
          <w:lang w:eastAsia="en-US"/>
        </w:rPr>
        <w:t xml:space="preserve">can </w:t>
      </w:r>
      <w:r w:rsidR="00A17CBF" w:rsidRPr="00A17CBF">
        <w:rPr>
          <w:rStyle w:val="Strong"/>
          <w:rFonts w:eastAsiaTheme="minorHAnsi" w:cstheme="minorBidi"/>
          <w:b w:val="0"/>
          <w:bCs w:val="0"/>
          <w:color w:val="595959" w:themeColor="text1"/>
          <w:sz w:val="24"/>
          <w:szCs w:val="24"/>
          <w:lang w:eastAsia="en-US"/>
        </w:rPr>
        <w:t>drive further price increases</w:t>
      </w:r>
      <w:r w:rsidR="0040351D">
        <w:rPr>
          <w:rStyle w:val="Strong"/>
          <w:rFonts w:eastAsiaTheme="minorHAnsi" w:cstheme="minorBidi"/>
          <w:b w:val="0"/>
          <w:bCs w:val="0"/>
          <w:color w:val="595959" w:themeColor="text1"/>
          <w:sz w:val="24"/>
          <w:szCs w:val="24"/>
          <w:lang w:eastAsia="en-US"/>
        </w:rPr>
        <w:t xml:space="preserve"> but could also disrupt supply chains, heighten market uncertainty, or prompt oil producers to make compensatory production decisions</w:t>
      </w:r>
      <w:r w:rsidR="00A17CBF" w:rsidRPr="00A17CBF">
        <w:rPr>
          <w:rStyle w:val="Strong"/>
          <w:rFonts w:eastAsiaTheme="minorHAnsi" w:cstheme="minorBidi"/>
          <w:b w:val="0"/>
          <w:bCs w:val="0"/>
          <w:color w:val="595959" w:themeColor="text1"/>
          <w:sz w:val="24"/>
          <w:szCs w:val="24"/>
          <w:lang w:eastAsia="en-US"/>
        </w:rPr>
        <w:t xml:space="preserve"> </w:t>
      </w:r>
      <w:r w:rsidR="0040351D">
        <w:rPr>
          <w:rStyle w:val="Strong"/>
          <w:rFonts w:eastAsiaTheme="minorHAnsi" w:cstheme="minorBidi"/>
          <w:b w:val="0"/>
          <w:bCs w:val="0"/>
          <w:color w:val="595959" w:themeColor="text1"/>
          <w:sz w:val="24"/>
          <w:szCs w:val="24"/>
          <w:lang w:eastAsia="en-US"/>
        </w:rPr>
        <w:t>to</w:t>
      </w:r>
      <w:r w:rsidR="00A17CBF" w:rsidRPr="00A17CBF">
        <w:rPr>
          <w:rStyle w:val="Strong"/>
          <w:rFonts w:eastAsiaTheme="minorHAnsi" w:cstheme="minorBidi"/>
          <w:b w:val="0"/>
          <w:bCs w:val="0"/>
          <w:color w:val="595959" w:themeColor="text1"/>
          <w:sz w:val="24"/>
          <w:szCs w:val="24"/>
          <w:lang w:eastAsia="en-US"/>
        </w:rPr>
        <w:t xml:space="preserve"> moderate price effects. As a result, </w:t>
      </w:r>
      <w:r w:rsidR="0040351D">
        <w:rPr>
          <w:rStyle w:val="Strong"/>
          <w:rFonts w:eastAsiaTheme="minorHAnsi" w:cstheme="minorBidi"/>
          <w:b w:val="0"/>
          <w:bCs w:val="0"/>
          <w:color w:val="595959" w:themeColor="text1"/>
          <w:sz w:val="24"/>
          <w:szCs w:val="24"/>
          <w:lang w:eastAsia="en-US"/>
        </w:rPr>
        <w:t>S</w:t>
      </w:r>
      <w:r w:rsidR="00A17CBF" w:rsidRPr="00A17CBF">
        <w:rPr>
          <w:rStyle w:val="Strong"/>
          <w:rFonts w:eastAsiaTheme="minorHAnsi" w:cstheme="minorBidi"/>
          <w:b w:val="0"/>
          <w:bCs w:val="0"/>
          <w:color w:val="595959" w:themeColor="text1"/>
          <w:sz w:val="24"/>
          <w:szCs w:val="24"/>
          <w:lang w:eastAsia="en-US"/>
        </w:rPr>
        <w:t>tate</w:t>
      </w:r>
      <w:r w:rsidR="0040351D">
        <w:rPr>
          <w:rStyle w:val="Strong"/>
          <w:rFonts w:eastAsiaTheme="minorHAnsi" w:cstheme="minorBidi"/>
          <w:b w:val="0"/>
          <w:bCs w:val="0"/>
          <w:color w:val="595959" w:themeColor="text1"/>
          <w:sz w:val="24"/>
          <w:szCs w:val="24"/>
          <w:lang w:eastAsia="en-US"/>
        </w:rPr>
        <w:t xml:space="preserve"> governments</w:t>
      </w:r>
      <w:r w:rsidR="00A17CBF" w:rsidRPr="00A17CBF">
        <w:rPr>
          <w:rStyle w:val="Strong"/>
          <w:rFonts w:eastAsiaTheme="minorHAnsi" w:cstheme="minorBidi"/>
          <w:b w:val="0"/>
          <w:bCs w:val="0"/>
          <w:color w:val="595959" w:themeColor="text1"/>
          <w:sz w:val="24"/>
          <w:szCs w:val="24"/>
          <w:lang w:eastAsia="en-US"/>
        </w:rPr>
        <w:t xml:space="preserve"> are encouraged to treat such windfalls as temporary and to integrate them cautiously into medium-term budget planning.</w:t>
      </w:r>
    </w:p>
    <w:p w14:paraId="2495B252" w14:textId="796FD0AA" w:rsidR="00A17CBF" w:rsidRPr="0040351D" w:rsidRDefault="00A17CBF" w:rsidP="00A17CBF">
      <w:pPr>
        <w:pStyle w:val="Para"/>
        <w:rPr>
          <w:rStyle w:val="Strong"/>
          <w:rFonts w:eastAsiaTheme="minorHAnsi" w:cstheme="minorBidi"/>
          <w:color w:val="595959" w:themeColor="text1"/>
          <w:sz w:val="24"/>
          <w:szCs w:val="24"/>
          <w:lang w:eastAsia="en-US"/>
        </w:rPr>
      </w:pPr>
      <w:r w:rsidRPr="0040351D">
        <w:rPr>
          <w:rStyle w:val="Strong"/>
          <w:rFonts w:eastAsiaTheme="minorHAnsi" w:cstheme="minorBidi"/>
          <w:color w:val="595959" w:themeColor="text1"/>
          <w:sz w:val="24"/>
          <w:szCs w:val="24"/>
          <w:lang w:eastAsia="en-US"/>
        </w:rPr>
        <w:t>To prevent long-term budget risks, governments must not increase their permanent recurrent revenues to correspond with temporary windfalls</w:t>
      </w:r>
      <w:r w:rsidR="0040351D">
        <w:rPr>
          <w:rStyle w:val="Strong"/>
          <w:rFonts w:eastAsiaTheme="minorHAnsi" w:cstheme="minorBidi"/>
          <w:color w:val="595959" w:themeColor="text1"/>
          <w:sz w:val="24"/>
          <w:szCs w:val="24"/>
          <w:lang w:eastAsia="en-US"/>
        </w:rPr>
        <w:t>.</w:t>
      </w:r>
    </w:p>
    <w:p w14:paraId="1DE6CB02" w14:textId="1124CFDA" w:rsidR="00A17CBF" w:rsidRPr="00A17CBF" w:rsidRDefault="00A17CBF" w:rsidP="00A17CBF">
      <w:pPr>
        <w:pStyle w:val="Para"/>
        <w:rPr>
          <w:rStyle w:val="Strong"/>
          <w:rFonts w:eastAsiaTheme="minorHAnsi" w:cstheme="minorBidi"/>
          <w:b w:val="0"/>
          <w:bCs w:val="0"/>
          <w:color w:val="595959" w:themeColor="text1"/>
          <w:sz w:val="24"/>
          <w:szCs w:val="24"/>
          <w:lang w:eastAsia="en-US"/>
        </w:rPr>
      </w:pPr>
      <w:r w:rsidRPr="00A17CBF">
        <w:rPr>
          <w:rStyle w:val="Strong"/>
          <w:rFonts w:eastAsiaTheme="minorHAnsi" w:cstheme="minorBidi"/>
          <w:b w:val="0"/>
          <w:bCs w:val="0"/>
          <w:color w:val="595959" w:themeColor="text1"/>
          <w:sz w:val="24"/>
          <w:szCs w:val="24"/>
          <w:lang w:eastAsia="en-US"/>
        </w:rPr>
        <w:t xml:space="preserve">One of the main challenges State governments </w:t>
      </w:r>
      <w:proofErr w:type="gramStart"/>
      <w:r w:rsidRPr="00A17CBF">
        <w:rPr>
          <w:rStyle w:val="Strong"/>
          <w:rFonts w:eastAsiaTheme="minorHAnsi" w:cstheme="minorBidi"/>
          <w:b w:val="0"/>
          <w:bCs w:val="0"/>
          <w:color w:val="595959" w:themeColor="text1"/>
          <w:sz w:val="24"/>
          <w:szCs w:val="24"/>
          <w:lang w:eastAsia="en-US"/>
        </w:rPr>
        <w:t>face</w:t>
      </w:r>
      <w:proofErr w:type="gramEnd"/>
      <w:r w:rsidRPr="00A17CBF">
        <w:rPr>
          <w:rStyle w:val="Strong"/>
          <w:rFonts w:eastAsiaTheme="minorHAnsi" w:cstheme="minorBidi"/>
          <w:b w:val="0"/>
          <w:bCs w:val="0"/>
          <w:color w:val="595959" w:themeColor="text1"/>
          <w:sz w:val="24"/>
          <w:szCs w:val="24"/>
          <w:lang w:eastAsia="en-US"/>
        </w:rPr>
        <w:t xml:space="preserve"> is how to </w:t>
      </w:r>
      <w:proofErr w:type="spellStart"/>
      <w:r w:rsidRPr="00A17CBF">
        <w:rPr>
          <w:rStyle w:val="Strong"/>
          <w:rFonts w:eastAsiaTheme="minorHAnsi" w:cstheme="minorBidi"/>
          <w:b w:val="0"/>
          <w:bCs w:val="0"/>
          <w:color w:val="595959" w:themeColor="text1"/>
          <w:sz w:val="24"/>
          <w:szCs w:val="24"/>
          <w:lang w:eastAsia="en-US"/>
        </w:rPr>
        <w:t>stabilise</w:t>
      </w:r>
      <w:proofErr w:type="spellEnd"/>
      <w:r w:rsidRPr="00A17CBF">
        <w:rPr>
          <w:rStyle w:val="Strong"/>
          <w:rFonts w:eastAsiaTheme="minorHAnsi" w:cstheme="minorBidi"/>
          <w:b w:val="0"/>
          <w:bCs w:val="0"/>
          <w:color w:val="595959" w:themeColor="text1"/>
          <w:sz w:val="24"/>
          <w:szCs w:val="24"/>
          <w:lang w:eastAsia="en-US"/>
        </w:rPr>
        <w:t xml:space="preserve"> </w:t>
      </w:r>
      <w:r w:rsidR="0040351D">
        <w:rPr>
          <w:rStyle w:val="Strong"/>
          <w:rFonts w:eastAsiaTheme="minorHAnsi" w:cstheme="minorBidi"/>
          <w:b w:val="0"/>
          <w:bCs w:val="0"/>
          <w:color w:val="595959" w:themeColor="text1"/>
          <w:sz w:val="24"/>
          <w:szCs w:val="24"/>
          <w:lang w:eastAsia="en-US"/>
        </w:rPr>
        <w:t xml:space="preserve">their </w:t>
      </w:r>
      <w:r w:rsidRPr="00A17CBF">
        <w:rPr>
          <w:rStyle w:val="Strong"/>
          <w:rFonts w:eastAsiaTheme="minorHAnsi" w:cstheme="minorBidi"/>
          <w:b w:val="0"/>
          <w:bCs w:val="0"/>
          <w:color w:val="595959" w:themeColor="text1"/>
          <w:sz w:val="24"/>
          <w:szCs w:val="24"/>
          <w:lang w:eastAsia="en-US"/>
        </w:rPr>
        <w:t xml:space="preserve">budgets and maintain healthy fiscal balances. Unlike the federal government, most States do not have a </w:t>
      </w:r>
      <w:proofErr w:type="spellStart"/>
      <w:r w:rsidRPr="00A17CBF">
        <w:rPr>
          <w:rStyle w:val="Strong"/>
          <w:rFonts w:eastAsiaTheme="minorHAnsi" w:cstheme="minorBidi"/>
          <w:b w:val="0"/>
          <w:bCs w:val="0"/>
          <w:color w:val="595959" w:themeColor="text1"/>
          <w:sz w:val="24"/>
          <w:szCs w:val="24"/>
          <w:lang w:eastAsia="en-US"/>
        </w:rPr>
        <w:t>stabilisation</w:t>
      </w:r>
      <w:proofErr w:type="spellEnd"/>
      <w:r w:rsidRPr="00A17CBF">
        <w:rPr>
          <w:rStyle w:val="Strong"/>
          <w:rFonts w:eastAsiaTheme="minorHAnsi" w:cstheme="minorBidi"/>
          <w:b w:val="0"/>
          <w:bCs w:val="0"/>
          <w:color w:val="595959" w:themeColor="text1"/>
          <w:sz w:val="24"/>
          <w:szCs w:val="24"/>
          <w:lang w:eastAsia="en-US"/>
        </w:rPr>
        <w:t xml:space="preserve"> fund to help smooth cyclical fluctuations in revenues</w:t>
      </w:r>
      <w:r w:rsidR="0040351D">
        <w:rPr>
          <w:rStyle w:val="Strong"/>
          <w:rFonts w:eastAsiaTheme="minorHAnsi" w:cstheme="minorBidi"/>
          <w:b w:val="0"/>
          <w:bCs w:val="0"/>
          <w:color w:val="595959" w:themeColor="text1"/>
          <w:sz w:val="24"/>
          <w:szCs w:val="24"/>
          <w:lang w:eastAsia="en-US"/>
        </w:rPr>
        <w:t>. Fewer than half maintain a sinking fund to secure the debts they incur</w:t>
      </w:r>
      <w:r w:rsidRPr="00A17CBF">
        <w:rPr>
          <w:rStyle w:val="Strong"/>
          <w:rFonts w:eastAsiaTheme="minorHAnsi" w:cstheme="minorBidi"/>
          <w:b w:val="0"/>
          <w:bCs w:val="0"/>
          <w:color w:val="595959" w:themeColor="text1"/>
          <w:sz w:val="24"/>
          <w:szCs w:val="24"/>
          <w:lang w:eastAsia="en-US"/>
        </w:rPr>
        <w:t xml:space="preserve">. State budgets have risen sharply in the last two years, from under </w:t>
      </w:r>
      <w:r w:rsidRPr="00A17CBF">
        <w:rPr>
          <w:rStyle w:val="Strong"/>
          <w:rFonts w:ascii="Arial" w:eastAsiaTheme="minorHAnsi" w:hAnsi="Arial" w:cs="Arial"/>
          <w:b w:val="0"/>
          <w:bCs w:val="0"/>
          <w:color w:val="595959" w:themeColor="text1"/>
          <w:sz w:val="24"/>
          <w:szCs w:val="24"/>
          <w:lang w:eastAsia="en-US"/>
        </w:rPr>
        <w:t>₦</w:t>
      </w:r>
      <w:r w:rsidRPr="00A17CBF">
        <w:rPr>
          <w:rStyle w:val="Strong"/>
          <w:rFonts w:eastAsiaTheme="minorHAnsi" w:cstheme="minorBidi"/>
          <w:b w:val="0"/>
          <w:bCs w:val="0"/>
          <w:color w:val="595959" w:themeColor="text1"/>
          <w:sz w:val="24"/>
          <w:szCs w:val="24"/>
          <w:lang w:eastAsia="en-US"/>
        </w:rPr>
        <w:t xml:space="preserve">10 trillion pre-2023 to over </w:t>
      </w:r>
      <w:r w:rsidRPr="00A17CBF">
        <w:rPr>
          <w:rStyle w:val="Strong"/>
          <w:rFonts w:ascii="Arial" w:eastAsiaTheme="minorHAnsi" w:hAnsi="Arial" w:cs="Arial"/>
          <w:b w:val="0"/>
          <w:bCs w:val="0"/>
          <w:color w:val="595959" w:themeColor="text1"/>
          <w:sz w:val="24"/>
          <w:szCs w:val="24"/>
          <w:lang w:eastAsia="en-US"/>
        </w:rPr>
        <w:t>₦</w:t>
      </w:r>
      <w:r w:rsidRPr="00A17CBF">
        <w:rPr>
          <w:rStyle w:val="Strong"/>
          <w:rFonts w:eastAsiaTheme="minorHAnsi" w:cstheme="minorBidi"/>
          <w:b w:val="0"/>
          <w:bCs w:val="0"/>
          <w:color w:val="595959" w:themeColor="text1"/>
          <w:sz w:val="24"/>
          <w:szCs w:val="24"/>
          <w:lang w:eastAsia="en-US"/>
        </w:rPr>
        <w:t xml:space="preserve">26 trillion in 2025, owing mainly to the free-floating of the Naira, which doubled returns from dollar-denominated revenues (including mineral revenues). With limited headroom to restore fiscal balance or implement </w:t>
      </w:r>
      <w:proofErr w:type="spellStart"/>
      <w:r w:rsidRPr="00A17CBF">
        <w:rPr>
          <w:rStyle w:val="Strong"/>
          <w:rFonts w:eastAsiaTheme="minorHAnsi" w:cstheme="minorBidi"/>
          <w:b w:val="0"/>
          <w:bCs w:val="0"/>
          <w:color w:val="595959" w:themeColor="text1"/>
          <w:sz w:val="24"/>
          <w:szCs w:val="24"/>
          <w:lang w:eastAsia="en-US"/>
        </w:rPr>
        <w:t>stabilisation</w:t>
      </w:r>
      <w:proofErr w:type="spellEnd"/>
      <w:r w:rsidRPr="00A17CBF">
        <w:rPr>
          <w:rStyle w:val="Strong"/>
          <w:rFonts w:eastAsiaTheme="minorHAnsi" w:cstheme="minorBidi"/>
          <w:b w:val="0"/>
          <w:bCs w:val="0"/>
          <w:color w:val="595959" w:themeColor="text1"/>
          <w:sz w:val="24"/>
          <w:szCs w:val="24"/>
          <w:lang w:eastAsia="en-US"/>
        </w:rPr>
        <w:t xml:space="preserve"> polic</w:t>
      </w:r>
      <w:r w:rsidR="00C103D6">
        <w:rPr>
          <w:rStyle w:val="Strong"/>
          <w:rFonts w:eastAsiaTheme="minorHAnsi" w:cstheme="minorBidi"/>
          <w:b w:val="0"/>
          <w:bCs w:val="0"/>
          <w:color w:val="595959" w:themeColor="text1"/>
          <w:sz w:val="24"/>
          <w:szCs w:val="24"/>
          <w:lang w:eastAsia="en-US"/>
        </w:rPr>
        <w:t>ies</w:t>
      </w:r>
      <w:r w:rsidRPr="00A17CBF">
        <w:rPr>
          <w:rStyle w:val="Strong"/>
          <w:rFonts w:eastAsiaTheme="minorHAnsi" w:cstheme="minorBidi"/>
          <w:b w:val="0"/>
          <w:bCs w:val="0"/>
          <w:color w:val="595959" w:themeColor="text1"/>
          <w:sz w:val="24"/>
          <w:szCs w:val="24"/>
          <w:lang w:eastAsia="en-US"/>
        </w:rPr>
        <w:t>, the</w:t>
      </w:r>
      <w:r w:rsidR="00C103D6">
        <w:rPr>
          <w:rStyle w:val="Strong"/>
          <w:rFonts w:eastAsiaTheme="minorHAnsi" w:cstheme="minorBidi"/>
          <w:b w:val="0"/>
          <w:bCs w:val="0"/>
          <w:color w:val="595959" w:themeColor="text1"/>
          <w:sz w:val="24"/>
          <w:szCs w:val="24"/>
          <w:lang w:eastAsia="en-US"/>
        </w:rPr>
        <w:t>re is</w:t>
      </w:r>
      <w:r w:rsidRPr="00A17CBF">
        <w:rPr>
          <w:rStyle w:val="Strong"/>
          <w:rFonts w:eastAsiaTheme="minorHAnsi" w:cstheme="minorBidi"/>
          <w:b w:val="0"/>
          <w:bCs w:val="0"/>
          <w:color w:val="595959" w:themeColor="text1"/>
          <w:sz w:val="24"/>
          <w:szCs w:val="24"/>
          <w:lang w:eastAsia="en-US"/>
        </w:rPr>
        <w:t xml:space="preserve"> </w:t>
      </w:r>
      <w:r w:rsidR="00C103D6">
        <w:rPr>
          <w:rStyle w:val="Strong"/>
          <w:rFonts w:eastAsiaTheme="minorHAnsi" w:cstheme="minorBidi"/>
          <w:b w:val="0"/>
          <w:bCs w:val="0"/>
          <w:color w:val="595959" w:themeColor="text1"/>
          <w:sz w:val="24"/>
          <w:szCs w:val="24"/>
          <w:lang w:eastAsia="en-US"/>
        </w:rPr>
        <w:t xml:space="preserve">a </w:t>
      </w:r>
      <w:r w:rsidRPr="00A17CBF">
        <w:rPr>
          <w:rStyle w:val="Strong"/>
          <w:rFonts w:eastAsiaTheme="minorHAnsi" w:cstheme="minorBidi"/>
          <w:b w:val="0"/>
          <w:bCs w:val="0"/>
          <w:color w:val="595959" w:themeColor="text1"/>
          <w:sz w:val="24"/>
          <w:szCs w:val="24"/>
          <w:lang w:eastAsia="en-US"/>
        </w:rPr>
        <w:t xml:space="preserve">risk </w:t>
      </w:r>
      <w:r w:rsidR="00C103D6">
        <w:rPr>
          <w:rStyle w:val="Strong"/>
          <w:rFonts w:eastAsiaTheme="minorHAnsi" w:cstheme="minorBidi"/>
          <w:b w:val="0"/>
          <w:bCs w:val="0"/>
          <w:color w:val="595959" w:themeColor="text1"/>
          <w:sz w:val="24"/>
          <w:szCs w:val="24"/>
          <w:lang w:eastAsia="en-US"/>
        </w:rPr>
        <w:t xml:space="preserve">of </w:t>
      </w:r>
      <w:r w:rsidRPr="00A17CBF">
        <w:rPr>
          <w:rStyle w:val="Strong"/>
          <w:rFonts w:eastAsiaTheme="minorHAnsi" w:cstheme="minorBidi"/>
          <w:b w:val="0"/>
          <w:bCs w:val="0"/>
          <w:color w:val="595959" w:themeColor="text1"/>
          <w:sz w:val="24"/>
          <w:szCs w:val="24"/>
          <w:lang w:eastAsia="en-US"/>
        </w:rPr>
        <w:t>an impending debt overhang, as was the case during the 2016 recession.</w:t>
      </w:r>
      <w:r w:rsidR="000848CA">
        <w:rPr>
          <w:rStyle w:val="Strong"/>
          <w:rFonts w:eastAsiaTheme="minorHAnsi" w:cstheme="minorBidi"/>
          <w:b w:val="0"/>
          <w:bCs w:val="0"/>
          <w:color w:val="595959" w:themeColor="text1"/>
          <w:sz w:val="24"/>
          <w:szCs w:val="24"/>
          <w:lang w:eastAsia="en-US"/>
        </w:rPr>
        <w:t xml:space="preserve"> </w:t>
      </w:r>
      <w:r w:rsidR="000848CA" w:rsidRPr="000848CA">
        <w:rPr>
          <w:rStyle w:val="Strong"/>
          <w:rFonts w:eastAsiaTheme="minorHAnsi" w:cstheme="minorBidi"/>
          <w:b w:val="0"/>
          <w:bCs w:val="0"/>
          <w:color w:val="595959" w:themeColor="text1"/>
          <w:sz w:val="24"/>
          <w:szCs w:val="24"/>
          <w:lang w:eastAsia="en-US"/>
        </w:rPr>
        <w:t>B</w:t>
      </w:r>
      <w:r w:rsidR="000848CA">
        <w:rPr>
          <w:rStyle w:val="Strong"/>
          <w:rFonts w:eastAsiaTheme="minorHAnsi" w:cstheme="minorBidi"/>
          <w:b w:val="0"/>
          <w:bCs w:val="0"/>
          <w:color w:val="595959" w:themeColor="text1"/>
          <w:sz w:val="24"/>
          <w:szCs w:val="24"/>
          <w:lang w:eastAsia="en-US"/>
        </w:rPr>
        <w:t>etween 2014 and</w:t>
      </w:r>
      <w:r w:rsidR="000848CA" w:rsidRPr="000848CA">
        <w:rPr>
          <w:rStyle w:val="Strong"/>
          <w:rFonts w:eastAsiaTheme="minorHAnsi" w:cstheme="minorBidi"/>
          <w:b w:val="0"/>
          <w:bCs w:val="0"/>
          <w:color w:val="595959" w:themeColor="text1"/>
          <w:sz w:val="24"/>
          <w:szCs w:val="24"/>
          <w:lang w:eastAsia="en-US"/>
        </w:rPr>
        <w:t xml:space="preserve"> 2018, total public debts for both the federal and State governments had more than doubled </w:t>
      </w:r>
      <w:r w:rsidR="000848CA">
        <w:rPr>
          <w:rStyle w:val="Strong"/>
          <w:rFonts w:eastAsiaTheme="minorHAnsi" w:cstheme="minorBidi"/>
          <w:b w:val="0"/>
          <w:bCs w:val="0"/>
          <w:color w:val="595959" w:themeColor="text1"/>
          <w:sz w:val="24"/>
          <w:szCs w:val="24"/>
          <w:lang w:eastAsia="en-US"/>
        </w:rPr>
        <w:t xml:space="preserve">from </w:t>
      </w:r>
      <w:r w:rsidR="000848CA" w:rsidRPr="00A17CBF">
        <w:rPr>
          <w:rStyle w:val="Strong"/>
          <w:rFonts w:ascii="Arial" w:eastAsiaTheme="minorHAnsi" w:hAnsi="Arial" w:cs="Arial"/>
          <w:b w:val="0"/>
          <w:bCs w:val="0"/>
          <w:color w:val="595959" w:themeColor="text1"/>
          <w:sz w:val="24"/>
          <w:szCs w:val="24"/>
          <w:lang w:eastAsia="en-US"/>
        </w:rPr>
        <w:t>₦</w:t>
      </w:r>
      <w:r w:rsidR="000848CA">
        <w:rPr>
          <w:rStyle w:val="Strong"/>
          <w:rFonts w:ascii="Arial" w:eastAsiaTheme="minorHAnsi" w:hAnsi="Arial" w:cs="Arial"/>
          <w:b w:val="0"/>
          <w:bCs w:val="0"/>
          <w:color w:val="595959" w:themeColor="text1"/>
          <w:sz w:val="24"/>
          <w:szCs w:val="24"/>
          <w:lang w:eastAsia="en-US"/>
        </w:rPr>
        <w:t>11.2 trillion to ₦</w:t>
      </w:r>
      <w:r w:rsidR="000848CA">
        <w:rPr>
          <w:rStyle w:val="Strong"/>
          <w:rFonts w:eastAsiaTheme="minorHAnsi" w:cstheme="minorBidi"/>
          <w:b w:val="0"/>
          <w:bCs w:val="0"/>
          <w:color w:val="595959" w:themeColor="text1"/>
          <w:sz w:val="24"/>
          <w:szCs w:val="24"/>
          <w:lang w:eastAsia="en-US"/>
        </w:rPr>
        <w:t>24.4</w:t>
      </w:r>
      <w:r w:rsidR="000848CA" w:rsidRPr="000848CA">
        <w:rPr>
          <w:rStyle w:val="Strong"/>
          <w:rFonts w:eastAsiaTheme="minorHAnsi" w:cstheme="minorBidi"/>
          <w:b w:val="0"/>
          <w:bCs w:val="0"/>
          <w:color w:val="595959" w:themeColor="text1"/>
          <w:sz w:val="24"/>
          <w:szCs w:val="24"/>
          <w:lang w:eastAsia="en-US"/>
        </w:rPr>
        <w:t xml:space="preserve"> trillion. During the period, the domestic debts of States grew by a compound annual rate of 23% from </w:t>
      </w:r>
      <w:r w:rsidR="0078710D" w:rsidRPr="00A17CBF">
        <w:rPr>
          <w:rStyle w:val="Strong"/>
          <w:rFonts w:ascii="Arial" w:hAnsi="Arial" w:cs="Arial"/>
          <w:b w:val="0"/>
          <w:bCs w:val="0"/>
          <w:color w:val="595959" w:themeColor="text1"/>
          <w:sz w:val="24"/>
          <w:szCs w:val="24"/>
        </w:rPr>
        <w:t>₦</w:t>
      </w:r>
      <w:r w:rsidR="000848CA" w:rsidRPr="000848CA">
        <w:rPr>
          <w:rStyle w:val="Strong"/>
          <w:rFonts w:eastAsiaTheme="minorHAnsi" w:cstheme="minorBidi"/>
          <w:b w:val="0"/>
          <w:bCs w:val="0"/>
          <w:color w:val="595959" w:themeColor="text1"/>
          <w:sz w:val="24"/>
          <w:szCs w:val="24"/>
          <w:lang w:eastAsia="en-US"/>
        </w:rPr>
        <w:t xml:space="preserve">1.7 trillion to </w:t>
      </w:r>
      <w:r w:rsidR="0078710D" w:rsidRPr="00A17CBF">
        <w:rPr>
          <w:rStyle w:val="Strong"/>
          <w:rFonts w:ascii="Arial" w:hAnsi="Arial" w:cs="Arial"/>
          <w:b w:val="0"/>
          <w:bCs w:val="0"/>
          <w:color w:val="595959" w:themeColor="text1"/>
          <w:sz w:val="24"/>
          <w:szCs w:val="24"/>
        </w:rPr>
        <w:t>₦</w:t>
      </w:r>
      <w:r w:rsidR="000848CA" w:rsidRPr="000848CA">
        <w:rPr>
          <w:rStyle w:val="Strong"/>
          <w:rFonts w:eastAsiaTheme="minorHAnsi" w:cstheme="minorBidi"/>
          <w:b w:val="0"/>
          <w:bCs w:val="0"/>
          <w:color w:val="595959" w:themeColor="text1"/>
          <w:sz w:val="24"/>
          <w:szCs w:val="24"/>
          <w:lang w:eastAsia="en-US"/>
        </w:rPr>
        <w:t>3.9 trillion. Many States had</w:t>
      </w:r>
      <w:r w:rsidR="000848CA">
        <w:rPr>
          <w:rStyle w:val="Strong"/>
          <w:rFonts w:eastAsiaTheme="minorHAnsi" w:cstheme="minorBidi"/>
          <w:b w:val="0"/>
          <w:bCs w:val="0"/>
          <w:color w:val="595959" w:themeColor="text1"/>
          <w:sz w:val="24"/>
          <w:szCs w:val="24"/>
          <w:lang w:eastAsia="en-US"/>
        </w:rPr>
        <w:t>,</w:t>
      </w:r>
      <w:r w:rsidR="000848CA" w:rsidRPr="000848CA">
        <w:rPr>
          <w:rStyle w:val="Strong"/>
          <w:rFonts w:eastAsiaTheme="minorHAnsi" w:cstheme="minorBidi"/>
          <w:b w:val="0"/>
          <w:bCs w:val="0"/>
          <w:color w:val="595959" w:themeColor="text1"/>
          <w:sz w:val="24"/>
          <w:szCs w:val="24"/>
          <w:lang w:eastAsia="en-US"/>
        </w:rPr>
        <w:t xml:space="preserve"> in fact</w:t>
      </w:r>
      <w:r w:rsidR="000848CA">
        <w:rPr>
          <w:rStyle w:val="Strong"/>
          <w:rFonts w:eastAsiaTheme="minorHAnsi" w:cstheme="minorBidi"/>
          <w:b w:val="0"/>
          <w:bCs w:val="0"/>
          <w:color w:val="595959" w:themeColor="text1"/>
          <w:sz w:val="24"/>
          <w:szCs w:val="24"/>
          <w:lang w:eastAsia="en-US"/>
        </w:rPr>
        <w:t>,</w:t>
      </w:r>
      <w:r w:rsidR="000848CA" w:rsidRPr="000848CA">
        <w:rPr>
          <w:rStyle w:val="Strong"/>
          <w:rFonts w:eastAsiaTheme="minorHAnsi" w:cstheme="minorBidi"/>
          <w:b w:val="0"/>
          <w:bCs w:val="0"/>
          <w:color w:val="595959" w:themeColor="text1"/>
          <w:sz w:val="24"/>
          <w:szCs w:val="24"/>
          <w:lang w:eastAsia="en-US"/>
        </w:rPr>
        <w:t xml:space="preserve"> borrowed from their staff, pensioners and suppliers by accumulating significant arrears </w:t>
      </w:r>
    </w:p>
    <w:p w14:paraId="325A631D" w14:textId="77777777" w:rsidR="00A17CBF" w:rsidRPr="00A17CBF" w:rsidRDefault="00A17CBF" w:rsidP="00A17CBF">
      <w:pPr>
        <w:pStyle w:val="Para"/>
        <w:rPr>
          <w:rStyle w:val="Strong"/>
          <w:rFonts w:eastAsiaTheme="minorHAnsi" w:cstheme="minorBidi"/>
          <w:b w:val="0"/>
          <w:bCs w:val="0"/>
          <w:color w:val="595959" w:themeColor="text1"/>
          <w:sz w:val="24"/>
          <w:szCs w:val="24"/>
          <w:lang w:eastAsia="en-US"/>
        </w:rPr>
      </w:pPr>
      <w:r w:rsidRPr="00A17CBF">
        <w:rPr>
          <w:rStyle w:val="Strong"/>
          <w:rFonts w:eastAsiaTheme="minorHAnsi" w:cstheme="minorBidi"/>
          <w:b w:val="0"/>
          <w:bCs w:val="0"/>
          <w:color w:val="595959" w:themeColor="text1"/>
          <w:sz w:val="24"/>
          <w:szCs w:val="24"/>
          <w:lang w:eastAsia="en-US"/>
        </w:rPr>
        <w:t xml:space="preserve"> </w:t>
      </w:r>
    </w:p>
    <w:p w14:paraId="058ED777" w14:textId="77777777" w:rsidR="00A17CBF" w:rsidRPr="00A17CBF" w:rsidRDefault="00A17CBF" w:rsidP="00A17CBF">
      <w:pPr>
        <w:pStyle w:val="Para"/>
        <w:rPr>
          <w:rStyle w:val="Strong"/>
          <w:rFonts w:eastAsiaTheme="minorHAnsi" w:cstheme="minorBidi"/>
          <w:b w:val="0"/>
          <w:bCs w:val="0"/>
          <w:color w:val="595959" w:themeColor="text1"/>
          <w:sz w:val="24"/>
          <w:szCs w:val="24"/>
          <w:lang w:eastAsia="en-US"/>
        </w:rPr>
      </w:pPr>
    </w:p>
    <w:p w14:paraId="4E280FF7" w14:textId="77777777" w:rsidR="00A17CBF" w:rsidRDefault="00A17CBF" w:rsidP="00AB729F">
      <w:pPr>
        <w:jc w:val="center"/>
        <w:rPr>
          <w:rFonts w:ascii="Candara" w:hAnsi="Candara"/>
        </w:rPr>
      </w:pPr>
    </w:p>
    <w:p w14:paraId="14A42186" w14:textId="4500E398" w:rsidR="00AB729F" w:rsidRPr="005778DA" w:rsidRDefault="00AB729F" w:rsidP="00AB729F">
      <w:pPr>
        <w:jc w:val="center"/>
        <w:rPr>
          <w:rFonts w:ascii="Candara" w:hAnsi="Candara"/>
        </w:rPr>
      </w:pPr>
      <w:r w:rsidRPr="005778DA">
        <w:rPr>
          <w:rFonts w:ascii="Arial Narrow" w:hAnsi="Arial Narrow"/>
          <w:noProof/>
          <w:lang w:eastAsia="en-GB"/>
        </w:rPr>
        <mc:AlternateContent>
          <mc:Choice Requires="wps">
            <w:drawing>
              <wp:anchor distT="0" distB="0" distL="114300" distR="114300" simplePos="0" relativeHeight="251658240" behindDoc="1" locked="0" layoutInCell="1" allowOverlap="1" wp14:anchorId="6045B6A7" wp14:editId="089994FF">
                <wp:simplePos x="0" y="0"/>
                <wp:positionH relativeFrom="column">
                  <wp:posOffset>-1110993</wp:posOffset>
                </wp:positionH>
                <wp:positionV relativeFrom="paragraph">
                  <wp:posOffset>-83281</wp:posOffset>
                </wp:positionV>
                <wp:extent cx="7705898" cy="10058400"/>
                <wp:effectExtent l="0" t="0" r="9525" b="0"/>
                <wp:wrapNone/>
                <wp:docPr id="1448569725" name="Rectangle 101"/>
                <wp:cNvGraphicFramePr/>
                <a:graphic xmlns:a="http://schemas.openxmlformats.org/drawingml/2006/main">
                  <a:graphicData uri="http://schemas.microsoft.com/office/word/2010/wordprocessingShape">
                    <wps:wsp>
                      <wps:cNvSpPr/>
                      <wps:spPr>
                        <a:xfrm>
                          <a:off x="0" y="0"/>
                          <a:ext cx="7705898" cy="10058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8C4A7" id="Rectangle 101" o:spid="_x0000_s1026" style="position:absolute;margin-left:-87.5pt;margin-top:-6.55pt;width:606.75pt;height:11in;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" fillcolor="white [3212]" stroked="f" strokeweight="1pt"/>
            </w:pict>
          </mc:Fallback>
        </mc:AlternateContent>
      </w:r>
      <w:r w:rsidRPr="005778DA">
        <w:rPr>
          <w:rFonts w:ascii="Arial Narrow" w:hAnsi="Arial Narrow"/>
          <w:noProof/>
          <w:lang w:eastAsia="en-GB"/>
        </w:rPr>
        <w:drawing>
          <wp:inline distT="0" distB="0" distL="0" distR="0" wp14:anchorId="2AEBC7AB" wp14:editId="3257B514">
            <wp:extent cx="2394835" cy="8966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396712" cy="897323"/>
                    </a:xfrm>
                    <a:prstGeom prst="rect">
                      <a:avLst/>
                    </a:prstGeom>
                    <a:noFill/>
                    <a:ln w="9525">
                      <a:noFill/>
                      <a:miter lim="800000"/>
                      <a:headEnd/>
                      <a:tailEnd/>
                    </a:ln>
                  </pic:spPr>
                </pic:pic>
              </a:graphicData>
            </a:graphic>
          </wp:inline>
        </w:drawing>
      </w:r>
    </w:p>
    <w:p w14:paraId="77A6CE85" w14:textId="77777777" w:rsidR="00AB729F" w:rsidRPr="005778DA" w:rsidRDefault="00AB729F" w:rsidP="00AB729F">
      <w:pPr>
        <w:jc w:val="center"/>
        <w:rPr>
          <w:rFonts w:ascii="Candara" w:hAnsi="Candara"/>
        </w:rPr>
      </w:pPr>
    </w:p>
    <w:p w14:paraId="554DB109" w14:textId="77777777" w:rsidR="00AB729F" w:rsidRPr="005778DA" w:rsidRDefault="00AB729F" w:rsidP="00AB729F">
      <w:pPr>
        <w:jc w:val="center"/>
        <w:rPr>
          <w:rFonts w:ascii="Trebuchet MS" w:hAnsi="Trebuchet MS"/>
          <w:color w:val="4A4A4A"/>
        </w:rPr>
      </w:pPr>
    </w:p>
    <w:p w14:paraId="208D95B1"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 xml:space="preserve">The Secretariat </w:t>
      </w:r>
    </w:p>
    <w:p w14:paraId="72B45E98"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 xml:space="preserve">49/51, Lake Chad Crescent </w:t>
      </w:r>
    </w:p>
    <w:p w14:paraId="0C9DEF5F"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Maitama, Abuja</w:t>
      </w:r>
    </w:p>
    <w:p w14:paraId="21F4D69F"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02092920025, 02092920026</w:t>
      </w:r>
    </w:p>
    <w:p w14:paraId="48DA53B3" w14:textId="77777777" w:rsidR="00AB729F" w:rsidRPr="005778DA" w:rsidRDefault="00AB729F" w:rsidP="00AB729F">
      <w:pPr>
        <w:jc w:val="center"/>
        <w:rPr>
          <w:rFonts w:ascii="Trebuchet MS" w:hAnsi="Trebuchet MS"/>
          <w:color w:val="4A4A4A"/>
        </w:rPr>
      </w:pPr>
      <w:hyperlink r:id="rId11" w:history="1">
        <w:r w:rsidRPr="005778DA">
          <w:rPr>
            <w:rFonts w:ascii="Trebuchet MS" w:hAnsi="Trebuchet MS"/>
            <w:color w:val="4A4A4A"/>
          </w:rPr>
          <w:t>publicfinance@ngf.org</w:t>
        </w:r>
      </w:hyperlink>
      <w:r w:rsidRPr="005778DA">
        <w:rPr>
          <w:rFonts w:ascii="Trebuchet MS" w:hAnsi="Trebuchet MS"/>
          <w:color w:val="4A4A4A"/>
        </w:rPr>
        <w:t xml:space="preserve">.ng </w:t>
      </w:r>
    </w:p>
    <w:p w14:paraId="7AC9CDDE" w14:textId="77777777" w:rsidR="00AB729F" w:rsidRPr="005778DA" w:rsidRDefault="00AB729F" w:rsidP="00AB729F">
      <w:pPr>
        <w:jc w:val="center"/>
        <w:rPr>
          <w:rFonts w:ascii="Trebuchet MS" w:hAnsi="Trebuchet MS"/>
          <w:color w:val="4A4A4A"/>
        </w:rPr>
      </w:pPr>
      <w:hyperlink r:id="rId12" w:history="1">
        <w:r w:rsidRPr="005778DA">
          <w:rPr>
            <w:rFonts w:ascii="Trebuchet MS" w:hAnsi="Trebuchet MS"/>
            <w:color w:val="4A4A4A"/>
          </w:rPr>
          <w:t>www.ngf.org</w:t>
        </w:r>
      </w:hyperlink>
      <w:r w:rsidRPr="005778DA">
        <w:rPr>
          <w:rFonts w:ascii="Trebuchet MS" w:hAnsi="Trebuchet MS"/>
          <w:color w:val="4A4A4A"/>
        </w:rPr>
        <w:t>.ng</w:t>
      </w:r>
    </w:p>
    <w:p w14:paraId="58FC6EE2" w14:textId="04ED09F8" w:rsidR="005E1E36" w:rsidRPr="005778DA" w:rsidRDefault="005E1E36" w:rsidP="005E1E36">
      <w:pPr>
        <w:pStyle w:val="ListParagraph"/>
        <w:rPr>
          <w:rFonts w:ascii="Trebuchet MS" w:eastAsia="Times New Roman" w:hAnsi="Trebuchet MS" w:cs="Times New Roman"/>
          <w:color w:val="5A5A5A"/>
          <w:shd w:val="clear" w:color="auto" w:fill="FFFFFF"/>
          <w:lang w:eastAsia="en-GB"/>
        </w:rPr>
      </w:pPr>
    </w:p>
    <w:p w14:paraId="2D1F2B27" w14:textId="7667ED58" w:rsidR="00B945AC" w:rsidRPr="005778DA" w:rsidRDefault="00B945AC">
      <w:pPr>
        <w:rPr>
          <w:rFonts w:ascii="Trebuchet MS" w:hAnsi="Trebuchet MS"/>
        </w:rPr>
      </w:pPr>
    </w:p>
    <w:sectPr w:rsidR="00B945AC" w:rsidRPr="005778DA" w:rsidSect="000222D4">
      <w:headerReference w:type="default" r:id="rId13"/>
      <w:footerReference w:type="even" r:id="rId14"/>
      <w:footerReference w:type="default" r:id="rId15"/>
      <w:headerReference w:type="first" r:id="rId16"/>
      <w:footerReference w:type="first" r:id="rId17"/>
      <w:pgSz w:w="12240" w:h="15840"/>
      <w:pgMar w:top="1135" w:right="1440" w:bottom="1135" w:left="1440" w:header="79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C59C" w14:textId="77777777" w:rsidR="00D33753" w:rsidRDefault="00D33753" w:rsidP="005E1E36">
      <w:r>
        <w:separator/>
      </w:r>
    </w:p>
  </w:endnote>
  <w:endnote w:type="continuationSeparator" w:id="0">
    <w:p w14:paraId="755AECD4" w14:textId="77777777" w:rsidR="00D33753" w:rsidRDefault="00D33753" w:rsidP="005E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04D9" w14:textId="77777777" w:rsidR="00822251" w:rsidRDefault="00082328" w:rsidP="007220E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19EC26" w14:textId="77777777" w:rsidR="00822251" w:rsidRDefault="00822251" w:rsidP="007220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8576" w14:textId="77777777" w:rsidR="00B33875" w:rsidRDefault="00B33875" w:rsidP="00B33875">
    <w:pPr>
      <w:ind w:right="360"/>
    </w:pPr>
    <w:r>
      <w:rPr>
        <w:noProof/>
        <w:lang w:val="en-IN" w:eastAsia="en-IN"/>
      </w:rPr>
      <mc:AlternateContent>
        <mc:Choice Requires="wpg">
          <w:drawing>
            <wp:anchor distT="0" distB="0" distL="114300" distR="114300" simplePos="0" relativeHeight="251658245" behindDoc="0" locked="0" layoutInCell="1" allowOverlap="1" wp14:anchorId="5250E744" wp14:editId="04C50F06">
              <wp:simplePos x="0" y="0"/>
              <wp:positionH relativeFrom="column">
                <wp:posOffset>-320040</wp:posOffset>
              </wp:positionH>
              <wp:positionV relativeFrom="page">
                <wp:posOffset>9379060</wp:posOffset>
              </wp:positionV>
              <wp:extent cx="5697855" cy="38"/>
              <wp:effectExtent l="0" t="0" r="17145" b="12700"/>
              <wp:wrapNone/>
              <wp:docPr id="1722121558" name="Group 1722121558"/>
              <wp:cNvGraphicFramePr/>
              <a:graphic xmlns:a="http://schemas.openxmlformats.org/drawingml/2006/main">
                <a:graphicData uri="http://schemas.microsoft.com/office/word/2010/wordprocessingGroup">
                  <wpg:wgp>
                    <wpg:cNvGrpSpPr/>
                    <wpg:grpSpPr>
                      <a:xfrm>
                        <a:off x="0" y="0"/>
                        <a:ext cx="5697855" cy="38"/>
                        <a:chOff x="0" y="10629"/>
                        <a:chExt cx="5792234" cy="3"/>
                      </a:xfrm>
                    </wpg:grpSpPr>
                    <wps:wsp>
                      <wps:cNvPr id="52373610" name="Straight Connector 52373610"/>
                      <wps:cNvCnPr/>
                      <wps:spPr>
                        <a:xfrm>
                          <a:off x="0" y="10632"/>
                          <a:ext cx="4271645" cy="0"/>
                        </a:xfrm>
                        <a:prstGeom prst="line">
                          <a:avLst/>
                        </a:prstGeom>
                        <a:ln w="6350">
                          <a:solidFill>
                            <a:srgbClr val="027F02"/>
                          </a:solidFill>
                        </a:ln>
                      </wps:spPr>
                      <wps:style>
                        <a:lnRef idx="1">
                          <a:schemeClr val="accent1"/>
                        </a:lnRef>
                        <a:fillRef idx="0">
                          <a:schemeClr val="accent1"/>
                        </a:fillRef>
                        <a:effectRef idx="0">
                          <a:schemeClr val="accent1"/>
                        </a:effectRef>
                        <a:fontRef idx="minor">
                          <a:schemeClr val="tx1"/>
                        </a:fontRef>
                      </wps:style>
                      <wps:bodyPr/>
                    </wps:wsp>
                    <wps:wsp>
                      <wps:cNvPr id="523740507" name="Straight Connector 523740507"/>
                      <wps:cNvCnPr/>
                      <wps:spPr>
                        <a:xfrm flipV="1">
                          <a:off x="4338085" y="10629"/>
                          <a:ext cx="1454149" cy="0"/>
                        </a:xfrm>
                        <a:prstGeom prst="line">
                          <a:avLst/>
                        </a:prstGeom>
                        <a:ln w="6350">
                          <a:solidFill>
                            <a:srgbClr val="80FF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EBAFF9" id="Group 1722121558" o:spid="_x0000_s1026" style="position:absolute;margin-left:-25.2pt;margin-top:738.5pt;width:448.65pt;height:0;z-index:251658245;mso-position-vertical-relative:page;mso-width-relative:margin;mso-height-relative:margin" coordorigin=",106" coordsize="57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">
              <v:line id="Straight Connector 52373610" o:spid="_x0000_s1027" style="position:absolute;visibility:visible;mso-wrap-style:square" from="0,106" to="4271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" strokecolor="#027f02" strokeweight=".5pt">
                <v:stroke joinstyle="miter"/>
              </v:line>
              <v:line id="Straight Connector 523740507" o:spid="_x0000_s1028" style="position:absolute;flip:y;visibility:visible;mso-wrap-style:square" from="43380,106" to="5792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" strokecolor="#80ff00" strokeweight=".5pt">
                <v:stroke joinstyle="miter"/>
              </v:line>
              <w10:wrap anchory="page"/>
            </v:group>
          </w:pict>
        </mc:Fallback>
      </mc:AlternateContent>
    </w:r>
    <w:r w:rsidRPr="00C8289E">
      <w:rPr>
        <w:rFonts w:asciiTheme="majorHAnsi" w:hAnsiTheme="majorHAnsi"/>
        <w:noProof/>
        <w:lang w:eastAsia="en-IN"/>
      </w:rPr>
      <w:drawing>
        <wp:anchor distT="0" distB="0" distL="114300" distR="114300" simplePos="0" relativeHeight="251658246" behindDoc="0" locked="0" layoutInCell="1" allowOverlap="1" wp14:anchorId="16DDFB33" wp14:editId="5CFA98D6">
          <wp:simplePos x="0" y="0"/>
          <wp:positionH relativeFrom="margin">
            <wp:posOffset>5436870</wp:posOffset>
          </wp:positionH>
          <wp:positionV relativeFrom="page">
            <wp:posOffset>9367520</wp:posOffset>
          </wp:positionV>
          <wp:extent cx="1049020" cy="363855"/>
          <wp:effectExtent l="0" t="0" r="5080" b="4445"/>
          <wp:wrapSquare wrapText="bothSides"/>
          <wp:docPr id="1963823545" name="Picture 6" descr="A green sign with white text&#10;&#10;AI-generated content may be incorrect.">
            <a:extLst xmlns:a="http://schemas.openxmlformats.org/drawingml/2006/main">
              <a:ext uri="{FF2B5EF4-FFF2-40B4-BE49-F238E27FC236}">
                <a16:creationId xmlns:a16="http://schemas.microsoft.com/office/drawing/2014/main" id="{5AB28DB6-0593-6364-4918-575A77C8CBD2}"/>
              </a:ext>
            </a:extLst>
          </wp:docPr>
          <wp:cNvGraphicFramePr/>
          <a:graphic xmlns:a="http://schemas.openxmlformats.org/drawingml/2006/main">
            <a:graphicData uri="http://schemas.openxmlformats.org/drawingml/2006/picture">
              <pic:pic xmlns:pic="http://schemas.openxmlformats.org/drawingml/2006/picture">
                <pic:nvPicPr>
                  <pic:cNvPr id="555127514" name="Picture 6" descr="A green sign with white text&#10;&#10;AI-generated content may be incorrect.">
                    <a:extLst>
                      <a:ext uri="{FF2B5EF4-FFF2-40B4-BE49-F238E27FC236}">
                        <a16:creationId xmlns:a16="http://schemas.microsoft.com/office/drawing/2014/main" id="{5AB28DB6-0593-6364-4918-575A77C8CBD2}"/>
                      </a:ext>
                    </a:extLst>
                  </pic:cNvPr>
                  <pic:cNvPicPr/>
                </pic:nvPicPr>
                <pic:blipFill>
                  <a:blip r:embed="rId1"/>
                  <a:stretch/>
                </pic:blipFill>
                <pic:spPr>
                  <a:xfrm>
                    <a:off x="0" y="0"/>
                    <a:ext cx="1049020" cy="363855"/>
                  </a:xfrm>
                  <a:prstGeom prst="rect">
                    <a:avLst/>
                  </a:prstGeom>
                </pic:spPr>
              </pic:pic>
            </a:graphicData>
          </a:graphic>
          <wp14:sizeRelH relativeFrom="margin">
            <wp14:pctWidth>0</wp14:pctWidth>
          </wp14:sizeRelH>
          <wp14:sizeRelV relativeFrom="margin">
            <wp14:pctHeight>0</wp14:pctHeight>
          </wp14:sizeRelV>
        </wp:anchor>
      </w:drawing>
    </w:r>
  </w:p>
  <w:p w14:paraId="6CE3FD9A" w14:textId="77777777" w:rsidR="00B33875" w:rsidRPr="00B33875" w:rsidRDefault="00B33875" w:rsidP="00B33875">
    <w:pPr>
      <w:pStyle w:val="Footer"/>
      <w:framePr w:w="359" w:h="361" w:hRule="exact" w:wrap="none" w:vAnchor="text" w:hAnchor="page" w:x="862" w:y="36"/>
      <w:jc w:val="center"/>
      <w:rPr>
        <w:rStyle w:val="PageNumber"/>
        <w:rFonts w:ascii="Trebuchet MS" w:hAnsi="Trebuchet MS"/>
        <w:color w:val="5A5A5A"/>
        <w:sz w:val="20"/>
        <w:szCs w:val="20"/>
      </w:rPr>
    </w:pPr>
    <w:r w:rsidRPr="00B33875">
      <w:rPr>
        <w:rStyle w:val="PageNumber"/>
        <w:rFonts w:ascii="Trebuchet MS" w:hAnsi="Trebuchet MS"/>
        <w:color w:val="5A5A5A"/>
        <w:sz w:val="20"/>
        <w:szCs w:val="20"/>
      </w:rPr>
      <w:fldChar w:fldCharType="begin"/>
    </w:r>
    <w:r w:rsidRPr="00B33875">
      <w:rPr>
        <w:rStyle w:val="PageNumber"/>
        <w:rFonts w:ascii="Trebuchet MS" w:hAnsi="Trebuchet MS"/>
        <w:color w:val="5A5A5A"/>
        <w:sz w:val="20"/>
        <w:szCs w:val="20"/>
      </w:rPr>
      <w:instrText xml:space="preserve">PAGE  </w:instrText>
    </w:r>
    <w:r w:rsidRPr="00B33875">
      <w:rPr>
        <w:rStyle w:val="PageNumber"/>
        <w:rFonts w:ascii="Trebuchet MS" w:hAnsi="Trebuchet MS"/>
        <w:color w:val="5A5A5A"/>
        <w:sz w:val="20"/>
        <w:szCs w:val="20"/>
      </w:rPr>
      <w:fldChar w:fldCharType="separate"/>
    </w:r>
    <w:r w:rsidRPr="00B33875">
      <w:rPr>
        <w:rStyle w:val="PageNumber"/>
        <w:rFonts w:ascii="Trebuchet MS" w:hAnsi="Trebuchet MS"/>
        <w:noProof/>
        <w:color w:val="5A5A5A"/>
        <w:sz w:val="20"/>
        <w:szCs w:val="20"/>
      </w:rPr>
      <w:t>4</w:t>
    </w:r>
    <w:r w:rsidRPr="00B33875">
      <w:rPr>
        <w:rStyle w:val="PageNumber"/>
        <w:rFonts w:ascii="Trebuchet MS" w:hAnsi="Trebuchet MS"/>
        <w:color w:val="5A5A5A"/>
        <w:sz w:val="20"/>
        <w:szCs w:val="20"/>
      </w:rPr>
      <w:fldChar w:fldCharType="end"/>
    </w:r>
  </w:p>
  <w:p w14:paraId="77633DE6" w14:textId="0CC170E4" w:rsidR="00822251" w:rsidRDefault="00822251" w:rsidP="00B338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9D42" w14:textId="220711F9" w:rsidR="00822251" w:rsidRPr="005778DA" w:rsidRDefault="00EE5E74" w:rsidP="007220EC">
    <w:pPr>
      <w:rPr>
        <w:rFonts w:ascii="Trebuchet MS" w:eastAsia="Times New Roman" w:hAnsi="Trebuchet MS" w:cs="Times New Roman"/>
        <w:color w:val="2C2C2C" w:themeColor="text1" w:themeShade="80"/>
        <w:sz w:val="22"/>
        <w:szCs w:val="22"/>
        <w:lang w:eastAsia="en-GB"/>
      </w:rPr>
    </w:pPr>
    <w:r w:rsidRPr="00EE5E74">
      <w:rPr>
        <w:rFonts w:ascii="Trebuchet MS" w:eastAsia="Times New Roman" w:hAnsi="Trebuchet MS" w:cs="Times New Roman"/>
        <w:noProof/>
        <w:color w:val="2C2C2C" w:themeColor="text1" w:themeShade="80"/>
        <w:sz w:val="22"/>
        <w:szCs w:val="22"/>
        <w:lang w:eastAsia="en-GB"/>
      </w:rPr>
      <mc:AlternateContent>
        <mc:Choice Requires="wps">
          <w:drawing>
            <wp:anchor distT="45720" distB="45720" distL="114300" distR="114300" simplePos="0" relativeHeight="251660294" behindDoc="0" locked="0" layoutInCell="1" allowOverlap="1" wp14:anchorId="0449313D" wp14:editId="005E0189">
              <wp:simplePos x="0" y="0"/>
              <wp:positionH relativeFrom="margin">
                <wp:posOffset>1372870</wp:posOffset>
              </wp:positionH>
              <wp:positionV relativeFrom="paragraph">
                <wp:posOffset>116840</wp:posOffset>
              </wp:positionV>
              <wp:extent cx="4237355" cy="1404620"/>
              <wp:effectExtent l="0" t="0" r="1079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7355" cy="1404620"/>
                      </a:xfrm>
                      <a:prstGeom prst="rect">
                        <a:avLst/>
                      </a:prstGeom>
                      <a:solidFill>
                        <a:srgbClr val="FFFFFF"/>
                      </a:solidFill>
                      <a:ln w="9525">
                        <a:solidFill>
                          <a:schemeClr val="bg1"/>
                        </a:solidFill>
                        <a:miter lim="800000"/>
                        <a:headEnd/>
                        <a:tailEnd/>
                      </a:ln>
                    </wps:spPr>
                    <wps:txbx>
                      <w:txbxContent>
                        <w:p w14:paraId="68D7E4C7" w14:textId="4451EEA8" w:rsidR="00EE5E74" w:rsidRPr="00EE5E74" w:rsidRDefault="00EE5E74">
                          <w:pPr>
                            <w:rPr>
                              <w:rFonts w:ascii="Trebuchet MS" w:eastAsia="Times New Roman" w:hAnsi="Trebuchet MS" w:cs="Times New Roman"/>
                              <w:color w:val="2C2C2C" w:themeColor="text1" w:themeShade="80"/>
                              <w:sz w:val="20"/>
                              <w:szCs w:val="20"/>
                              <w:lang w:eastAsia="en-GB"/>
                            </w:rPr>
                          </w:pPr>
                          <w:r>
                            <w:rPr>
                              <w:rFonts w:ascii="Trebuchet MS" w:eastAsia="Times New Roman" w:hAnsi="Trebuchet MS" w:cs="Times New Roman"/>
                              <w:color w:val="2C2C2C" w:themeColor="text1" w:themeShade="80"/>
                              <w:sz w:val="20"/>
                              <w:szCs w:val="20"/>
                              <w:lang w:eastAsia="en-GB"/>
                            </w:rPr>
                            <w:t>F</w:t>
                          </w:r>
                          <w:r w:rsidRPr="00EE5E74">
                            <w:rPr>
                              <w:rFonts w:ascii="Trebuchet MS" w:eastAsia="Times New Roman" w:hAnsi="Trebuchet MS" w:cs="Times New Roman"/>
                              <w:color w:val="2C2C2C" w:themeColor="text1" w:themeShade="80"/>
                              <w:sz w:val="20"/>
                              <w:szCs w:val="20"/>
                              <w:lang w:eastAsia="en-GB"/>
                            </w:rPr>
                            <w:t>or comments and questions, please email dnabena@ngf.org.ng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49313D" id="_x0000_t202" coordsize="21600,21600" o:spt="202" path="m,l,21600r21600,l21600,xe">
              <v:stroke joinstyle="miter"/>
              <v:path gradientshapeok="t" o:connecttype="rect"/>
            </v:shapetype>
            <v:shape id="Text Box 2" o:spid="_x0000_s1029" type="#_x0000_t202" style="position:absolute;margin-left:108.1pt;margin-top:9.2pt;width:333.65pt;height:110.6pt;z-index:25166029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" strokecolor="white [3212]">
              <v:textbox style="mso-fit-shape-to-text:t">
                <w:txbxContent>
                  <w:p w14:paraId="68D7E4C7" w14:textId="4451EEA8" w:rsidR="00EE5E74" w:rsidRPr="00EE5E74" w:rsidRDefault="00EE5E74">
                    <w:pPr>
                      <w:rPr>
                        <w:rFonts w:ascii="Trebuchet MS" w:eastAsia="Times New Roman" w:hAnsi="Trebuchet MS" w:cs="Times New Roman"/>
                        <w:color w:val="2C2C2C" w:themeColor="text1" w:themeShade="80"/>
                        <w:sz w:val="20"/>
                        <w:szCs w:val="20"/>
                        <w:lang w:eastAsia="en-GB"/>
                      </w:rPr>
                    </w:pPr>
                    <w:r>
                      <w:rPr>
                        <w:rFonts w:ascii="Trebuchet MS" w:eastAsia="Times New Roman" w:hAnsi="Trebuchet MS" w:cs="Times New Roman"/>
                        <w:color w:val="2C2C2C" w:themeColor="text1" w:themeShade="80"/>
                        <w:sz w:val="20"/>
                        <w:szCs w:val="20"/>
                        <w:lang w:eastAsia="en-GB"/>
                      </w:rPr>
                      <w:t>F</w:t>
                    </w:r>
                    <w:r w:rsidRPr="00EE5E74">
                      <w:rPr>
                        <w:rFonts w:ascii="Trebuchet MS" w:eastAsia="Times New Roman" w:hAnsi="Trebuchet MS" w:cs="Times New Roman"/>
                        <w:color w:val="2C2C2C" w:themeColor="text1" w:themeShade="80"/>
                        <w:sz w:val="20"/>
                        <w:szCs w:val="20"/>
                        <w:lang w:eastAsia="en-GB"/>
                      </w:rPr>
                      <w:t>or comments and questions, please email dnabena@ngf.org.ng</w:t>
                    </w:r>
                  </w:p>
                </w:txbxContent>
              </v:textbox>
              <w10:wrap type="square" anchorx="margin"/>
            </v:shape>
          </w:pict>
        </mc:Fallback>
      </mc:AlternateContent>
    </w:r>
    <w:r w:rsidR="006D5759" w:rsidRPr="005778DA">
      <w:rPr>
        <w:rFonts w:ascii="Trebuchet MS" w:hAnsi="Trebuchet MS"/>
        <w:noProof/>
        <w:color w:val="2C2C2C" w:themeColor="text1" w:themeShade="80"/>
        <w:sz w:val="22"/>
        <w:szCs w:val="22"/>
        <w:lang w:eastAsia="en-IN"/>
      </w:rPr>
      <w:drawing>
        <wp:anchor distT="0" distB="0" distL="114300" distR="114300" simplePos="0" relativeHeight="251658243" behindDoc="0" locked="0" layoutInCell="1" allowOverlap="1" wp14:anchorId="7BAF7465" wp14:editId="3682BE34">
          <wp:simplePos x="0" y="0"/>
          <wp:positionH relativeFrom="margin">
            <wp:posOffset>-487680</wp:posOffset>
          </wp:positionH>
          <wp:positionV relativeFrom="page">
            <wp:posOffset>9282141</wp:posOffset>
          </wp:positionV>
          <wp:extent cx="1548765" cy="537845"/>
          <wp:effectExtent l="0" t="0" r="635" b="0"/>
          <wp:wrapSquare wrapText="bothSides"/>
          <wp:docPr id="1620420828" name="Picture 6" descr="A green sign with white text&#10;&#10;AI-generated content may be incorrect.">
            <a:extLst xmlns:a="http://schemas.openxmlformats.org/drawingml/2006/main">
              <a:ext uri="{FF2B5EF4-FFF2-40B4-BE49-F238E27FC236}">
                <a16:creationId xmlns:a16="http://schemas.microsoft.com/office/drawing/2014/main" id="{5AB28DB6-0593-6364-4918-575A77C8CBD2}"/>
              </a:ext>
            </a:extLst>
          </wp:docPr>
          <wp:cNvGraphicFramePr/>
          <a:graphic xmlns:a="http://schemas.openxmlformats.org/drawingml/2006/main">
            <a:graphicData uri="http://schemas.openxmlformats.org/drawingml/2006/picture">
              <pic:pic xmlns:pic="http://schemas.openxmlformats.org/drawingml/2006/picture">
                <pic:nvPicPr>
                  <pic:cNvPr id="526137508" name="Picture 6" descr="A green sign with white text&#10;&#10;AI-generated content may be incorrect.">
                    <a:extLst>
                      <a:ext uri="{FF2B5EF4-FFF2-40B4-BE49-F238E27FC236}">
                        <a16:creationId xmlns:a16="http://schemas.microsoft.com/office/drawing/2014/main" id="{5AB28DB6-0593-6364-4918-575A77C8CBD2}"/>
                      </a:ext>
                    </a:extLst>
                  </pic:cNvPr>
                  <pic:cNvPicPr/>
                </pic:nvPicPr>
                <pic:blipFill>
                  <a:blip r:embed="rId1"/>
                  <a:stretch/>
                </pic:blipFill>
                <pic:spPr>
                  <a:xfrm>
                    <a:off x="0" y="0"/>
                    <a:ext cx="1548765"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5E6A2" w14:textId="77777777" w:rsidR="00D33753" w:rsidRDefault="00D33753" w:rsidP="005E1E36">
      <w:r>
        <w:separator/>
      </w:r>
    </w:p>
  </w:footnote>
  <w:footnote w:type="continuationSeparator" w:id="0">
    <w:p w14:paraId="2D08FCD9" w14:textId="77777777" w:rsidR="00D33753" w:rsidRDefault="00D33753" w:rsidP="005E1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3AD9" w14:textId="625B389A" w:rsidR="00822251" w:rsidRDefault="001B125C">
    <w:pPr>
      <w:pStyle w:val="Header"/>
    </w:pPr>
    <w:r>
      <w:rPr>
        <w:noProof/>
        <w:lang w:val="en-IN" w:eastAsia="en-IN"/>
      </w:rPr>
      <mc:AlternateContent>
        <mc:Choice Requires="wps">
          <w:drawing>
            <wp:anchor distT="0" distB="0" distL="114300" distR="114300" simplePos="0" relativeHeight="251658242" behindDoc="0" locked="0" layoutInCell="1" allowOverlap="1" wp14:anchorId="0632DA46" wp14:editId="7C11DE18">
              <wp:simplePos x="0" y="0"/>
              <wp:positionH relativeFrom="column">
                <wp:posOffset>-432435</wp:posOffset>
              </wp:positionH>
              <wp:positionV relativeFrom="page">
                <wp:posOffset>297180</wp:posOffset>
              </wp:positionV>
              <wp:extent cx="6720205" cy="26987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6720205" cy="2698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35BFFE" w14:textId="2C269311" w:rsidR="00822251" w:rsidRPr="00836575" w:rsidRDefault="005778DA" w:rsidP="007220EC">
                          <w:pPr>
                            <w:rPr>
                              <w:rFonts w:ascii="Trebuchet MS" w:hAnsi="Trebuchet MS"/>
                              <w:color w:val="5A5A5A"/>
                              <w:sz w:val="20"/>
                              <w:szCs w:val="20"/>
                            </w:rPr>
                          </w:pPr>
                          <w:r>
                            <w:rPr>
                              <w:rFonts w:ascii="Trebuchet MS" w:hAnsi="Trebuchet MS"/>
                              <w:color w:val="5A5A5A"/>
                              <w:sz w:val="20"/>
                              <w:szCs w:val="20"/>
                            </w:rPr>
                            <w:t xml:space="preserve">Briefing Note: </w:t>
                          </w:r>
                          <w:r w:rsidR="00A17CBF" w:rsidRPr="00A17CBF">
                            <w:rPr>
                              <w:rFonts w:ascii="Trebuchet MS" w:hAnsi="Trebuchet MS"/>
                              <w:color w:val="5A5A5A"/>
                              <w:sz w:val="20"/>
                              <w:szCs w:val="20"/>
                            </w:rPr>
                            <w:t>Impact of Rising Crude Oil Prices on Nigeria’s Mineral Revenue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32DA46" id="_x0000_t202" coordsize="21600,21600" o:spt="202" path="m,l,21600r21600,l21600,xe">
              <v:stroke joinstyle="miter"/>
              <v:path gradientshapeok="t" o:connecttype="rect"/>
            </v:shapetype>
            <v:shape id="Text Box 29" o:spid="_x0000_s1028" type="#_x0000_t202" style="position:absolute;margin-left:-34.05pt;margin-top:23.4pt;width:529.15pt;height:2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" filled="f" stroked="f">
              <v:textbox>
                <w:txbxContent>
                  <w:p w14:paraId="3935BFFE" w14:textId="2C269311" w:rsidR="00822251" w:rsidRPr="00836575" w:rsidRDefault="005778DA" w:rsidP="007220EC">
                    <w:pPr>
                      <w:rPr>
                        <w:rFonts w:ascii="Trebuchet MS" w:hAnsi="Trebuchet MS"/>
                        <w:color w:val="5A5A5A"/>
                        <w:sz w:val="20"/>
                        <w:szCs w:val="20"/>
                      </w:rPr>
                    </w:pPr>
                    <w:r>
                      <w:rPr>
                        <w:rFonts w:ascii="Trebuchet MS" w:hAnsi="Trebuchet MS"/>
                        <w:color w:val="5A5A5A"/>
                        <w:sz w:val="20"/>
                        <w:szCs w:val="20"/>
                      </w:rPr>
                      <w:t xml:space="preserve">Briefing Note: </w:t>
                    </w:r>
                    <w:r w:rsidR="00A17CBF" w:rsidRPr="00A17CBF">
                      <w:rPr>
                        <w:rFonts w:ascii="Trebuchet MS" w:hAnsi="Trebuchet MS"/>
                        <w:color w:val="5A5A5A"/>
                        <w:sz w:val="20"/>
                        <w:szCs w:val="20"/>
                      </w:rPr>
                      <w:t>Impact of Rising Crude Oil Prices on Nigeria’s Mineral Revenue</w:t>
                    </w:r>
                  </w:p>
                </w:txbxContent>
              </v:textbox>
              <w10:wrap anchory="page"/>
            </v:shape>
          </w:pict>
        </mc:Fallback>
      </mc:AlternateContent>
    </w:r>
    <w:r w:rsidR="008F71B4">
      <w:rPr>
        <w:noProof/>
        <w:lang w:val="en-IN" w:eastAsia="en-IN"/>
      </w:rPr>
      <mc:AlternateContent>
        <mc:Choice Requires="wpg">
          <w:drawing>
            <wp:anchor distT="0" distB="0" distL="114300" distR="114300" simplePos="0" relativeHeight="251658244" behindDoc="0" locked="0" layoutInCell="1" allowOverlap="1" wp14:anchorId="125DB504" wp14:editId="6F2AB35C">
              <wp:simplePos x="0" y="0"/>
              <wp:positionH relativeFrom="margin">
                <wp:posOffset>-352425</wp:posOffset>
              </wp:positionH>
              <wp:positionV relativeFrom="page">
                <wp:posOffset>565076</wp:posOffset>
              </wp:positionV>
              <wp:extent cx="6389414" cy="3810"/>
              <wp:effectExtent l="0" t="0" r="0" b="0"/>
              <wp:wrapNone/>
              <wp:docPr id="732353802" name="Group 732353802"/>
              <wp:cNvGraphicFramePr/>
              <a:graphic xmlns:a="http://schemas.openxmlformats.org/drawingml/2006/main">
                <a:graphicData uri="http://schemas.microsoft.com/office/word/2010/wordprocessingGroup">
                  <wpg:wgp>
                    <wpg:cNvGrpSpPr/>
                    <wpg:grpSpPr>
                      <a:xfrm>
                        <a:off x="0" y="0"/>
                        <a:ext cx="6389414" cy="3810"/>
                        <a:chOff x="0" y="6765"/>
                        <a:chExt cx="6390398" cy="3867"/>
                      </a:xfrm>
                    </wpg:grpSpPr>
                    <wps:wsp>
                      <wps:cNvPr id="976704938" name="Straight Connector 976704938"/>
                      <wps:cNvCnPr/>
                      <wps:spPr>
                        <a:xfrm>
                          <a:off x="0" y="10632"/>
                          <a:ext cx="4271645" cy="0"/>
                        </a:xfrm>
                        <a:prstGeom prst="line">
                          <a:avLst/>
                        </a:prstGeom>
                        <a:ln w="6350">
                          <a:solidFill>
                            <a:srgbClr val="047E03"/>
                          </a:solidFill>
                        </a:ln>
                      </wps:spPr>
                      <wps:style>
                        <a:lnRef idx="1">
                          <a:schemeClr val="accent1"/>
                        </a:lnRef>
                        <a:fillRef idx="0">
                          <a:schemeClr val="accent1"/>
                        </a:fillRef>
                        <a:effectRef idx="0">
                          <a:schemeClr val="accent1"/>
                        </a:effectRef>
                        <a:fontRef idx="minor">
                          <a:schemeClr val="tx1"/>
                        </a:fontRef>
                      </wps:style>
                      <wps:bodyPr/>
                    </wps:wsp>
                    <wps:wsp>
                      <wps:cNvPr id="1908609760" name="Straight Connector 27"/>
                      <wps:cNvCnPr/>
                      <wps:spPr>
                        <a:xfrm>
                          <a:off x="4338082" y="6765"/>
                          <a:ext cx="2052316" cy="0"/>
                        </a:xfrm>
                        <a:prstGeom prst="line">
                          <a:avLst/>
                        </a:prstGeom>
                        <a:ln w="6350">
                          <a:solidFill>
                            <a:srgbClr val="80FF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15F0FE" id="Group 732353802" o:spid="_x0000_s1026" style="position:absolute;margin-left:-27.75pt;margin-top:44.5pt;width:503.1pt;height:.3pt;z-index:251658244;mso-position-horizontal-relative:margin;mso-position-vertical-relative:page;mso-width-relative:margin;mso-height-relative:margin" coordorigin=",67" coordsize="63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">
              <v:line id="Straight Connector 976704938" o:spid="_x0000_s1027" style="position:absolute;visibility:visible;mso-wrap-style:square" from="0,106" to="4271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" strokecolor="#047e03" strokeweight=".5pt">
                <v:stroke joinstyle="miter"/>
              </v:line>
              <v:line id="Straight Connector 27" o:spid="_x0000_s1028" style="position:absolute;visibility:visible;mso-wrap-style:square" from="43380,67" to="639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" strokecolor="#80ff00" strokeweight=".5pt">
                <v:stroke joinstyle="miter"/>
              </v:line>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CF80" w14:textId="5ED1A6DA" w:rsidR="002C7E62" w:rsidRDefault="002C7E62">
    <w:pPr>
      <w:pStyle w:val="Header"/>
    </w:pPr>
    <w:r>
      <w:rPr>
        <w:noProof/>
        <w:lang w:val="en-IN" w:eastAsia="en-IN"/>
      </w:rPr>
      <w:drawing>
        <wp:anchor distT="0" distB="0" distL="114300" distR="114300" simplePos="0" relativeHeight="251626465" behindDoc="0" locked="0" layoutInCell="1" allowOverlap="1" wp14:anchorId="4A54BBCA" wp14:editId="151DBE52">
          <wp:simplePos x="0" y="0"/>
          <wp:positionH relativeFrom="page">
            <wp:posOffset>11953</wp:posOffset>
          </wp:positionH>
          <wp:positionV relativeFrom="paragraph">
            <wp:posOffset>2675292</wp:posOffset>
          </wp:positionV>
          <wp:extent cx="7775388" cy="6060630"/>
          <wp:effectExtent l="0" t="0" r="0" b="0"/>
          <wp:wrapNone/>
          <wp:docPr id="5926707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3925" name="Picture 23"/>
                  <pic:cNvPicPr/>
                </pic:nvPicPr>
                <pic:blipFill>
                  <a:blip r:embed="rId1">
                    <a:extLst>
                      <a:ext uri="{28A0092B-C50C-407E-A947-70E740481C1C}">
                        <a14:useLocalDpi xmlns:a14="http://schemas.microsoft.com/office/drawing/2010/main" val="0"/>
                      </a:ext>
                    </a:extLst>
                  </a:blip>
                  <a:stretch>
                    <a:fillRect/>
                  </a:stretch>
                </pic:blipFill>
                <pic:spPr>
                  <a:xfrm>
                    <a:off x="0" y="0"/>
                    <a:ext cx="7777828" cy="606253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8FC"/>
    <w:multiLevelType w:val="hybridMultilevel"/>
    <w:tmpl w:val="3E2EEC9A"/>
    <w:lvl w:ilvl="0" w:tplc="8B966776">
      <w:start w:val="1"/>
      <w:numFmt w:val="decimal"/>
      <w:lvlText w:val="%1."/>
      <w:lvlJc w:val="left"/>
      <w:pPr>
        <w:ind w:left="1020" w:hanging="360"/>
      </w:pPr>
    </w:lvl>
    <w:lvl w:ilvl="1" w:tplc="79AE6AF6">
      <w:start w:val="1"/>
      <w:numFmt w:val="decimal"/>
      <w:lvlText w:val="%2."/>
      <w:lvlJc w:val="left"/>
      <w:pPr>
        <w:ind w:left="1020" w:hanging="360"/>
      </w:pPr>
    </w:lvl>
    <w:lvl w:ilvl="2" w:tplc="C6E61D20">
      <w:start w:val="1"/>
      <w:numFmt w:val="decimal"/>
      <w:lvlText w:val="%3."/>
      <w:lvlJc w:val="left"/>
      <w:pPr>
        <w:ind w:left="1020" w:hanging="360"/>
      </w:pPr>
    </w:lvl>
    <w:lvl w:ilvl="3" w:tplc="9A4CDDA6">
      <w:start w:val="1"/>
      <w:numFmt w:val="decimal"/>
      <w:lvlText w:val="%4."/>
      <w:lvlJc w:val="left"/>
      <w:pPr>
        <w:ind w:left="1020" w:hanging="360"/>
      </w:pPr>
    </w:lvl>
    <w:lvl w:ilvl="4" w:tplc="D1649716">
      <w:start w:val="1"/>
      <w:numFmt w:val="decimal"/>
      <w:lvlText w:val="%5."/>
      <w:lvlJc w:val="left"/>
      <w:pPr>
        <w:ind w:left="1020" w:hanging="360"/>
      </w:pPr>
    </w:lvl>
    <w:lvl w:ilvl="5" w:tplc="ABAEB514">
      <w:start w:val="1"/>
      <w:numFmt w:val="decimal"/>
      <w:lvlText w:val="%6."/>
      <w:lvlJc w:val="left"/>
      <w:pPr>
        <w:ind w:left="1020" w:hanging="360"/>
      </w:pPr>
    </w:lvl>
    <w:lvl w:ilvl="6" w:tplc="544440C4">
      <w:start w:val="1"/>
      <w:numFmt w:val="decimal"/>
      <w:lvlText w:val="%7."/>
      <w:lvlJc w:val="left"/>
      <w:pPr>
        <w:ind w:left="1020" w:hanging="360"/>
      </w:pPr>
    </w:lvl>
    <w:lvl w:ilvl="7" w:tplc="13EE1A3A">
      <w:start w:val="1"/>
      <w:numFmt w:val="decimal"/>
      <w:lvlText w:val="%8."/>
      <w:lvlJc w:val="left"/>
      <w:pPr>
        <w:ind w:left="1020" w:hanging="360"/>
      </w:pPr>
    </w:lvl>
    <w:lvl w:ilvl="8" w:tplc="968626DA">
      <w:start w:val="1"/>
      <w:numFmt w:val="decimal"/>
      <w:lvlText w:val="%9."/>
      <w:lvlJc w:val="left"/>
      <w:pPr>
        <w:ind w:left="1020" w:hanging="360"/>
      </w:pPr>
    </w:lvl>
  </w:abstractNum>
  <w:abstractNum w:abstractNumId="1" w15:restartNumberingAfterBreak="0">
    <w:nsid w:val="0F891D38"/>
    <w:multiLevelType w:val="hybridMultilevel"/>
    <w:tmpl w:val="3476E7AA"/>
    <w:lvl w:ilvl="0" w:tplc="233C1010">
      <w:start w:val="1"/>
      <w:numFmt w:val="bullet"/>
      <w:lvlText w:val=""/>
      <w:lvlJc w:val="left"/>
      <w:pPr>
        <w:tabs>
          <w:tab w:val="num" w:pos="720"/>
        </w:tabs>
        <w:ind w:left="720" w:hanging="360"/>
      </w:pPr>
      <w:rPr>
        <w:rFonts w:ascii="Wingdings" w:hAnsi="Wingdings" w:hint="default"/>
      </w:rPr>
    </w:lvl>
    <w:lvl w:ilvl="1" w:tplc="8326A798" w:tentative="1">
      <w:start w:val="1"/>
      <w:numFmt w:val="bullet"/>
      <w:lvlText w:val=""/>
      <w:lvlJc w:val="left"/>
      <w:pPr>
        <w:tabs>
          <w:tab w:val="num" w:pos="1440"/>
        </w:tabs>
        <w:ind w:left="1440" w:hanging="360"/>
      </w:pPr>
      <w:rPr>
        <w:rFonts w:ascii="Wingdings" w:hAnsi="Wingdings" w:hint="default"/>
      </w:rPr>
    </w:lvl>
    <w:lvl w:ilvl="2" w:tplc="05560058" w:tentative="1">
      <w:start w:val="1"/>
      <w:numFmt w:val="bullet"/>
      <w:lvlText w:val=""/>
      <w:lvlJc w:val="left"/>
      <w:pPr>
        <w:tabs>
          <w:tab w:val="num" w:pos="2160"/>
        </w:tabs>
        <w:ind w:left="2160" w:hanging="360"/>
      </w:pPr>
      <w:rPr>
        <w:rFonts w:ascii="Wingdings" w:hAnsi="Wingdings" w:hint="default"/>
      </w:rPr>
    </w:lvl>
    <w:lvl w:ilvl="3" w:tplc="A2E00872" w:tentative="1">
      <w:start w:val="1"/>
      <w:numFmt w:val="bullet"/>
      <w:lvlText w:val=""/>
      <w:lvlJc w:val="left"/>
      <w:pPr>
        <w:tabs>
          <w:tab w:val="num" w:pos="2880"/>
        </w:tabs>
        <w:ind w:left="2880" w:hanging="360"/>
      </w:pPr>
      <w:rPr>
        <w:rFonts w:ascii="Wingdings" w:hAnsi="Wingdings" w:hint="default"/>
      </w:rPr>
    </w:lvl>
    <w:lvl w:ilvl="4" w:tplc="3A680454" w:tentative="1">
      <w:start w:val="1"/>
      <w:numFmt w:val="bullet"/>
      <w:lvlText w:val=""/>
      <w:lvlJc w:val="left"/>
      <w:pPr>
        <w:tabs>
          <w:tab w:val="num" w:pos="3600"/>
        </w:tabs>
        <w:ind w:left="3600" w:hanging="360"/>
      </w:pPr>
      <w:rPr>
        <w:rFonts w:ascii="Wingdings" w:hAnsi="Wingdings" w:hint="default"/>
      </w:rPr>
    </w:lvl>
    <w:lvl w:ilvl="5" w:tplc="6A6E97BC" w:tentative="1">
      <w:start w:val="1"/>
      <w:numFmt w:val="bullet"/>
      <w:lvlText w:val=""/>
      <w:lvlJc w:val="left"/>
      <w:pPr>
        <w:tabs>
          <w:tab w:val="num" w:pos="4320"/>
        </w:tabs>
        <w:ind w:left="4320" w:hanging="360"/>
      </w:pPr>
      <w:rPr>
        <w:rFonts w:ascii="Wingdings" w:hAnsi="Wingdings" w:hint="default"/>
      </w:rPr>
    </w:lvl>
    <w:lvl w:ilvl="6" w:tplc="748818A8" w:tentative="1">
      <w:start w:val="1"/>
      <w:numFmt w:val="bullet"/>
      <w:lvlText w:val=""/>
      <w:lvlJc w:val="left"/>
      <w:pPr>
        <w:tabs>
          <w:tab w:val="num" w:pos="5040"/>
        </w:tabs>
        <w:ind w:left="5040" w:hanging="360"/>
      </w:pPr>
      <w:rPr>
        <w:rFonts w:ascii="Wingdings" w:hAnsi="Wingdings" w:hint="default"/>
      </w:rPr>
    </w:lvl>
    <w:lvl w:ilvl="7" w:tplc="3B3CDA66" w:tentative="1">
      <w:start w:val="1"/>
      <w:numFmt w:val="bullet"/>
      <w:lvlText w:val=""/>
      <w:lvlJc w:val="left"/>
      <w:pPr>
        <w:tabs>
          <w:tab w:val="num" w:pos="5760"/>
        </w:tabs>
        <w:ind w:left="5760" w:hanging="360"/>
      </w:pPr>
      <w:rPr>
        <w:rFonts w:ascii="Wingdings" w:hAnsi="Wingdings" w:hint="default"/>
      </w:rPr>
    </w:lvl>
    <w:lvl w:ilvl="8" w:tplc="11042B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805CA"/>
    <w:multiLevelType w:val="hybridMultilevel"/>
    <w:tmpl w:val="B1327546"/>
    <w:lvl w:ilvl="0" w:tplc="76A0786A">
      <w:start w:val="1"/>
      <w:numFmt w:val="decimal"/>
      <w:lvlText w:val="%1."/>
      <w:lvlJc w:val="left"/>
      <w:pPr>
        <w:ind w:left="1020" w:hanging="360"/>
      </w:pPr>
    </w:lvl>
    <w:lvl w:ilvl="1" w:tplc="E4AC2DAA">
      <w:start w:val="1"/>
      <w:numFmt w:val="decimal"/>
      <w:lvlText w:val="%2."/>
      <w:lvlJc w:val="left"/>
      <w:pPr>
        <w:ind w:left="1020" w:hanging="360"/>
      </w:pPr>
    </w:lvl>
    <w:lvl w:ilvl="2" w:tplc="37C00DE0">
      <w:start w:val="1"/>
      <w:numFmt w:val="decimal"/>
      <w:lvlText w:val="%3."/>
      <w:lvlJc w:val="left"/>
      <w:pPr>
        <w:ind w:left="1020" w:hanging="360"/>
      </w:pPr>
    </w:lvl>
    <w:lvl w:ilvl="3" w:tplc="A0C63BCE">
      <w:start w:val="1"/>
      <w:numFmt w:val="decimal"/>
      <w:lvlText w:val="%4."/>
      <w:lvlJc w:val="left"/>
      <w:pPr>
        <w:ind w:left="1020" w:hanging="360"/>
      </w:pPr>
    </w:lvl>
    <w:lvl w:ilvl="4" w:tplc="AE04568E">
      <w:start w:val="1"/>
      <w:numFmt w:val="decimal"/>
      <w:lvlText w:val="%5."/>
      <w:lvlJc w:val="left"/>
      <w:pPr>
        <w:ind w:left="1020" w:hanging="360"/>
      </w:pPr>
    </w:lvl>
    <w:lvl w:ilvl="5" w:tplc="FB58299E">
      <w:start w:val="1"/>
      <w:numFmt w:val="decimal"/>
      <w:lvlText w:val="%6."/>
      <w:lvlJc w:val="left"/>
      <w:pPr>
        <w:ind w:left="1020" w:hanging="360"/>
      </w:pPr>
    </w:lvl>
    <w:lvl w:ilvl="6" w:tplc="0A9439CE">
      <w:start w:val="1"/>
      <w:numFmt w:val="decimal"/>
      <w:lvlText w:val="%7."/>
      <w:lvlJc w:val="left"/>
      <w:pPr>
        <w:ind w:left="1020" w:hanging="360"/>
      </w:pPr>
    </w:lvl>
    <w:lvl w:ilvl="7" w:tplc="EE748146">
      <w:start w:val="1"/>
      <w:numFmt w:val="decimal"/>
      <w:lvlText w:val="%8."/>
      <w:lvlJc w:val="left"/>
      <w:pPr>
        <w:ind w:left="1020" w:hanging="360"/>
      </w:pPr>
    </w:lvl>
    <w:lvl w:ilvl="8" w:tplc="DB2CBD42">
      <w:start w:val="1"/>
      <w:numFmt w:val="decimal"/>
      <w:lvlText w:val="%9."/>
      <w:lvlJc w:val="left"/>
      <w:pPr>
        <w:ind w:left="1020" w:hanging="360"/>
      </w:pPr>
    </w:lvl>
  </w:abstractNum>
  <w:abstractNum w:abstractNumId="3" w15:restartNumberingAfterBreak="0">
    <w:nsid w:val="1688044C"/>
    <w:multiLevelType w:val="hybridMultilevel"/>
    <w:tmpl w:val="2E8E71B0"/>
    <w:lvl w:ilvl="0" w:tplc="C878580A">
      <w:start w:val="1"/>
      <w:numFmt w:val="bullet"/>
      <w:lvlText w:val=""/>
      <w:lvlJc w:val="left"/>
      <w:pPr>
        <w:tabs>
          <w:tab w:val="num" w:pos="720"/>
        </w:tabs>
        <w:ind w:left="720" w:hanging="360"/>
      </w:pPr>
      <w:rPr>
        <w:rFonts w:ascii="Wingdings" w:hAnsi="Wingdings" w:hint="default"/>
      </w:rPr>
    </w:lvl>
    <w:lvl w:ilvl="1" w:tplc="FC863078" w:tentative="1">
      <w:start w:val="1"/>
      <w:numFmt w:val="bullet"/>
      <w:lvlText w:val=""/>
      <w:lvlJc w:val="left"/>
      <w:pPr>
        <w:tabs>
          <w:tab w:val="num" w:pos="1440"/>
        </w:tabs>
        <w:ind w:left="1440" w:hanging="360"/>
      </w:pPr>
      <w:rPr>
        <w:rFonts w:ascii="Wingdings" w:hAnsi="Wingdings" w:hint="default"/>
      </w:rPr>
    </w:lvl>
    <w:lvl w:ilvl="2" w:tplc="FC68A634" w:tentative="1">
      <w:start w:val="1"/>
      <w:numFmt w:val="bullet"/>
      <w:lvlText w:val=""/>
      <w:lvlJc w:val="left"/>
      <w:pPr>
        <w:tabs>
          <w:tab w:val="num" w:pos="2160"/>
        </w:tabs>
        <w:ind w:left="2160" w:hanging="360"/>
      </w:pPr>
      <w:rPr>
        <w:rFonts w:ascii="Wingdings" w:hAnsi="Wingdings" w:hint="default"/>
      </w:rPr>
    </w:lvl>
    <w:lvl w:ilvl="3" w:tplc="B434A6DA" w:tentative="1">
      <w:start w:val="1"/>
      <w:numFmt w:val="bullet"/>
      <w:lvlText w:val=""/>
      <w:lvlJc w:val="left"/>
      <w:pPr>
        <w:tabs>
          <w:tab w:val="num" w:pos="2880"/>
        </w:tabs>
        <w:ind w:left="2880" w:hanging="360"/>
      </w:pPr>
      <w:rPr>
        <w:rFonts w:ascii="Wingdings" w:hAnsi="Wingdings" w:hint="default"/>
      </w:rPr>
    </w:lvl>
    <w:lvl w:ilvl="4" w:tplc="97C61CB2" w:tentative="1">
      <w:start w:val="1"/>
      <w:numFmt w:val="bullet"/>
      <w:lvlText w:val=""/>
      <w:lvlJc w:val="left"/>
      <w:pPr>
        <w:tabs>
          <w:tab w:val="num" w:pos="3600"/>
        </w:tabs>
        <w:ind w:left="3600" w:hanging="360"/>
      </w:pPr>
      <w:rPr>
        <w:rFonts w:ascii="Wingdings" w:hAnsi="Wingdings" w:hint="default"/>
      </w:rPr>
    </w:lvl>
    <w:lvl w:ilvl="5" w:tplc="59989E68" w:tentative="1">
      <w:start w:val="1"/>
      <w:numFmt w:val="bullet"/>
      <w:lvlText w:val=""/>
      <w:lvlJc w:val="left"/>
      <w:pPr>
        <w:tabs>
          <w:tab w:val="num" w:pos="4320"/>
        </w:tabs>
        <w:ind w:left="4320" w:hanging="360"/>
      </w:pPr>
      <w:rPr>
        <w:rFonts w:ascii="Wingdings" w:hAnsi="Wingdings" w:hint="default"/>
      </w:rPr>
    </w:lvl>
    <w:lvl w:ilvl="6" w:tplc="96FE370E" w:tentative="1">
      <w:start w:val="1"/>
      <w:numFmt w:val="bullet"/>
      <w:lvlText w:val=""/>
      <w:lvlJc w:val="left"/>
      <w:pPr>
        <w:tabs>
          <w:tab w:val="num" w:pos="5040"/>
        </w:tabs>
        <w:ind w:left="5040" w:hanging="360"/>
      </w:pPr>
      <w:rPr>
        <w:rFonts w:ascii="Wingdings" w:hAnsi="Wingdings" w:hint="default"/>
      </w:rPr>
    </w:lvl>
    <w:lvl w:ilvl="7" w:tplc="93303E92" w:tentative="1">
      <w:start w:val="1"/>
      <w:numFmt w:val="bullet"/>
      <w:lvlText w:val=""/>
      <w:lvlJc w:val="left"/>
      <w:pPr>
        <w:tabs>
          <w:tab w:val="num" w:pos="5760"/>
        </w:tabs>
        <w:ind w:left="5760" w:hanging="360"/>
      </w:pPr>
      <w:rPr>
        <w:rFonts w:ascii="Wingdings" w:hAnsi="Wingdings" w:hint="default"/>
      </w:rPr>
    </w:lvl>
    <w:lvl w:ilvl="8" w:tplc="E19827A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467719"/>
    <w:multiLevelType w:val="hybridMultilevel"/>
    <w:tmpl w:val="7A08F6F6"/>
    <w:lvl w:ilvl="0" w:tplc="CF966696">
      <w:start w:val="1"/>
      <w:numFmt w:val="bullet"/>
      <w:lvlText w:val=""/>
      <w:lvlJc w:val="left"/>
      <w:pPr>
        <w:tabs>
          <w:tab w:val="num" w:pos="720"/>
        </w:tabs>
        <w:ind w:left="720" w:hanging="360"/>
      </w:pPr>
      <w:rPr>
        <w:rFonts w:ascii="Wingdings" w:hAnsi="Wingdings" w:hint="default"/>
      </w:rPr>
    </w:lvl>
    <w:lvl w:ilvl="1" w:tplc="F64A2574" w:tentative="1">
      <w:start w:val="1"/>
      <w:numFmt w:val="bullet"/>
      <w:lvlText w:val=""/>
      <w:lvlJc w:val="left"/>
      <w:pPr>
        <w:tabs>
          <w:tab w:val="num" w:pos="1440"/>
        </w:tabs>
        <w:ind w:left="1440" w:hanging="360"/>
      </w:pPr>
      <w:rPr>
        <w:rFonts w:ascii="Wingdings" w:hAnsi="Wingdings" w:hint="default"/>
      </w:rPr>
    </w:lvl>
    <w:lvl w:ilvl="2" w:tplc="4B627EAA" w:tentative="1">
      <w:start w:val="1"/>
      <w:numFmt w:val="bullet"/>
      <w:lvlText w:val=""/>
      <w:lvlJc w:val="left"/>
      <w:pPr>
        <w:tabs>
          <w:tab w:val="num" w:pos="2160"/>
        </w:tabs>
        <w:ind w:left="2160" w:hanging="360"/>
      </w:pPr>
      <w:rPr>
        <w:rFonts w:ascii="Wingdings" w:hAnsi="Wingdings" w:hint="default"/>
      </w:rPr>
    </w:lvl>
    <w:lvl w:ilvl="3" w:tplc="A1081A38" w:tentative="1">
      <w:start w:val="1"/>
      <w:numFmt w:val="bullet"/>
      <w:lvlText w:val=""/>
      <w:lvlJc w:val="left"/>
      <w:pPr>
        <w:tabs>
          <w:tab w:val="num" w:pos="2880"/>
        </w:tabs>
        <w:ind w:left="2880" w:hanging="360"/>
      </w:pPr>
      <w:rPr>
        <w:rFonts w:ascii="Wingdings" w:hAnsi="Wingdings" w:hint="default"/>
      </w:rPr>
    </w:lvl>
    <w:lvl w:ilvl="4" w:tplc="3992EA84" w:tentative="1">
      <w:start w:val="1"/>
      <w:numFmt w:val="bullet"/>
      <w:lvlText w:val=""/>
      <w:lvlJc w:val="left"/>
      <w:pPr>
        <w:tabs>
          <w:tab w:val="num" w:pos="3600"/>
        </w:tabs>
        <w:ind w:left="3600" w:hanging="360"/>
      </w:pPr>
      <w:rPr>
        <w:rFonts w:ascii="Wingdings" w:hAnsi="Wingdings" w:hint="default"/>
      </w:rPr>
    </w:lvl>
    <w:lvl w:ilvl="5" w:tplc="66205E1E" w:tentative="1">
      <w:start w:val="1"/>
      <w:numFmt w:val="bullet"/>
      <w:lvlText w:val=""/>
      <w:lvlJc w:val="left"/>
      <w:pPr>
        <w:tabs>
          <w:tab w:val="num" w:pos="4320"/>
        </w:tabs>
        <w:ind w:left="4320" w:hanging="360"/>
      </w:pPr>
      <w:rPr>
        <w:rFonts w:ascii="Wingdings" w:hAnsi="Wingdings" w:hint="default"/>
      </w:rPr>
    </w:lvl>
    <w:lvl w:ilvl="6" w:tplc="38A8FDCA" w:tentative="1">
      <w:start w:val="1"/>
      <w:numFmt w:val="bullet"/>
      <w:lvlText w:val=""/>
      <w:lvlJc w:val="left"/>
      <w:pPr>
        <w:tabs>
          <w:tab w:val="num" w:pos="5040"/>
        </w:tabs>
        <w:ind w:left="5040" w:hanging="360"/>
      </w:pPr>
      <w:rPr>
        <w:rFonts w:ascii="Wingdings" w:hAnsi="Wingdings" w:hint="default"/>
      </w:rPr>
    </w:lvl>
    <w:lvl w:ilvl="7" w:tplc="D80CF2FC" w:tentative="1">
      <w:start w:val="1"/>
      <w:numFmt w:val="bullet"/>
      <w:lvlText w:val=""/>
      <w:lvlJc w:val="left"/>
      <w:pPr>
        <w:tabs>
          <w:tab w:val="num" w:pos="5760"/>
        </w:tabs>
        <w:ind w:left="5760" w:hanging="360"/>
      </w:pPr>
      <w:rPr>
        <w:rFonts w:ascii="Wingdings" w:hAnsi="Wingdings" w:hint="default"/>
      </w:rPr>
    </w:lvl>
    <w:lvl w:ilvl="8" w:tplc="4B82314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322CD6"/>
    <w:multiLevelType w:val="hybridMultilevel"/>
    <w:tmpl w:val="998062FA"/>
    <w:lvl w:ilvl="0" w:tplc="69DCB126">
      <w:start w:val="1"/>
      <w:numFmt w:val="bullet"/>
      <w:lvlText w:val=""/>
      <w:lvlJc w:val="left"/>
      <w:pPr>
        <w:tabs>
          <w:tab w:val="num" w:pos="720"/>
        </w:tabs>
        <w:ind w:left="720" w:hanging="360"/>
      </w:pPr>
      <w:rPr>
        <w:rFonts w:ascii="Wingdings" w:hAnsi="Wingdings" w:hint="default"/>
      </w:rPr>
    </w:lvl>
    <w:lvl w:ilvl="1" w:tplc="AF364F90" w:tentative="1">
      <w:start w:val="1"/>
      <w:numFmt w:val="bullet"/>
      <w:lvlText w:val=""/>
      <w:lvlJc w:val="left"/>
      <w:pPr>
        <w:tabs>
          <w:tab w:val="num" w:pos="1440"/>
        </w:tabs>
        <w:ind w:left="1440" w:hanging="360"/>
      </w:pPr>
      <w:rPr>
        <w:rFonts w:ascii="Wingdings" w:hAnsi="Wingdings" w:hint="default"/>
      </w:rPr>
    </w:lvl>
    <w:lvl w:ilvl="2" w:tplc="D69A6C8A" w:tentative="1">
      <w:start w:val="1"/>
      <w:numFmt w:val="bullet"/>
      <w:lvlText w:val=""/>
      <w:lvlJc w:val="left"/>
      <w:pPr>
        <w:tabs>
          <w:tab w:val="num" w:pos="2160"/>
        </w:tabs>
        <w:ind w:left="2160" w:hanging="360"/>
      </w:pPr>
      <w:rPr>
        <w:rFonts w:ascii="Wingdings" w:hAnsi="Wingdings" w:hint="default"/>
      </w:rPr>
    </w:lvl>
    <w:lvl w:ilvl="3" w:tplc="514E98F4" w:tentative="1">
      <w:start w:val="1"/>
      <w:numFmt w:val="bullet"/>
      <w:lvlText w:val=""/>
      <w:lvlJc w:val="left"/>
      <w:pPr>
        <w:tabs>
          <w:tab w:val="num" w:pos="2880"/>
        </w:tabs>
        <w:ind w:left="2880" w:hanging="360"/>
      </w:pPr>
      <w:rPr>
        <w:rFonts w:ascii="Wingdings" w:hAnsi="Wingdings" w:hint="default"/>
      </w:rPr>
    </w:lvl>
    <w:lvl w:ilvl="4" w:tplc="5104616E" w:tentative="1">
      <w:start w:val="1"/>
      <w:numFmt w:val="bullet"/>
      <w:lvlText w:val=""/>
      <w:lvlJc w:val="left"/>
      <w:pPr>
        <w:tabs>
          <w:tab w:val="num" w:pos="3600"/>
        </w:tabs>
        <w:ind w:left="3600" w:hanging="360"/>
      </w:pPr>
      <w:rPr>
        <w:rFonts w:ascii="Wingdings" w:hAnsi="Wingdings" w:hint="default"/>
      </w:rPr>
    </w:lvl>
    <w:lvl w:ilvl="5" w:tplc="41A82146" w:tentative="1">
      <w:start w:val="1"/>
      <w:numFmt w:val="bullet"/>
      <w:lvlText w:val=""/>
      <w:lvlJc w:val="left"/>
      <w:pPr>
        <w:tabs>
          <w:tab w:val="num" w:pos="4320"/>
        </w:tabs>
        <w:ind w:left="4320" w:hanging="360"/>
      </w:pPr>
      <w:rPr>
        <w:rFonts w:ascii="Wingdings" w:hAnsi="Wingdings" w:hint="default"/>
      </w:rPr>
    </w:lvl>
    <w:lvl w:ilvl="6" w:tplc="BBA4F742" w:tentative="1">
      <w:start w:val="1"/>
      <w:numFmt w:val="bullet"/>
      <w:lvlText w:val=""/>
      <w:lvlJc w:val="left"/>
      <w:pPr>
        <w:tabs>
          <w:tab w:val="num" w:pos="5040"/>
        </w:tabs>
        <w:ind w:left="5040" w:hanging="360"/>
      </w:pPr>
      <w:rPr>
        <w:rFonts w:ascii="Wingdings" w:hAnsi="Wingdings" w:hint="default"/>
      </w:rPr>
    </w:lvl>
    <w:lvl w:ilvl="7" w:tplc="28AEEED2" w:tentative="1">
      <w:start w:val="1"/>
      <w:numFmt w:val="bullet"/>
      <w:lvlText w:val=""/>
      <w:lvlJc w:val="left"/>
      <w:pPr>
        <w:tabs>
          <w:tab w:val="num" w:pos="5760"/>
        </w:tabs>
        <w:ind w:left="5760" w:hanging="360"/>
      </w:pPr>
      <w:rPr>
        <w:rFonts w:ascii="Wingdings" w:hAnsi="Wingdings" w:hint="default"/>
      </w:rPr>
    </w:lvl>
    <w:lvl w:ilvl="8" w:tplc="76BC9AA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C768CA"/>
    <w:multiLevelType w:val="hybridMultilevel"/>
    <w:tmpl w:val="B29238D8"/>
    <w:lvl w:ilvl="0" w:tplc="42B0E472">
      <w:start w:val="1"/>
      <w:numFmt w:val="decimal"/>
      <w:lvlText w:val="%1."/>
      <w:lvlJc w:val="left"/>
      <w:pPr>
        <w:ind w:left="720" w:hanging="360"/>
      </w:pPr>
    </w:lvl>
    <w:lvl w:ilvl="1" w:tplc="849A690A">
      <w:start w:val="1"/>
      <w:numFmt w:val="decimal"/>
      <w:lvlText w:val="%2."/>
      <w:lvlJc w:val="left"/>
      <w:pPr>
        <w:ind w:left="720" w:hanging="360"/>
      </w:pPr>
    </w:lvl>
    <w:lvl w:ilvl="2" w:tplc="26E2F532">
      <w:start w:val="1"/>
      <w:numFmt w:val="decimal"/>
      <w:lvlText w:val="%3."/>
      <w:lvlJc w:val="left"/>
      <w:pPr>
        <w:ind w:left="720" w:hanging="360"/>
      </w:pPr>
    </w:lvl>
    <w:lvl w:ilvl="3" w:tplc="049C18D6">
      <w:start w:val="1"/>
      <w:numFmt w:val="decimal"/>
      <w:lvlText w:val="%4."/>
      <w:lvlJc w:val="left"/>
      <w:pPr>
        <w:ind w:left="720" w:hanging="360"/>
      </w:pPr>
    </w:lvl>
    <w:lvl w:ilvl="4" w:tplc="49B8A6E2">
      <w:start w:val="1"/>
      <w:numFmt w:val="decimal"/>
      <w:lvlText w:val="%5."/>
      <w:lvlJc w:val="left"/>
      <w:pPr>
        <w:ind w:left="720" w:hanging="360"/>
      </w:pPr>
    </w:lvl>
    <w:lvl w:ilvl="5" w:tplc="C71896BA">
      <w:start w:val="1"/>
      <w:numFmt w:val="decimal"/>
      <w:lvlText w:val="%6."/>
      <w:lvlJc w:val="left"/>
      <w:pPr>
        <w:ind w:left="720" w:hanging="360"/>
      </w:pPr>
    </w:lvl>
    <w:lvl w:ilvl="6" w:tplc="CC321D3A">
      <w:start w:val="1"/>
      <w:numFmt w:val="decimal"/>
      <w:lvlText w:val="%7."/>
      <w:lvlJc w:val="left"/>
      <w:pPr>
        <w:ind w:left="720" w:hanging="360"/>
      </w:pPr>
    </w:lvl>
    <w:lvl w:ilvl="7" w:tplc="879A9C74">
      <w:start w:val="1"/>
      <w:numFmt w:val="decimal"/>
      <w:lvlText w:val="%8."/>
      <w:lvlJc w:val="left"/>
      <w:pPr>
        <w:ind w:left="720" w:hanging="360"/>
      </w:pPr>
    </w:lvl>
    <w:lvl w:ilvl="8" w:tplc="B70CBB72">
      <w:start w:val="1"/>
      <w:numFmt w:val="decimal"/>
      <w:lvlText w:val="%9."/>
      <w:lvlJc w:val="left"/>
      <w:pPr>
        <w:ind w:left="720" w:hanging="360"/>
      </w:pPr>
    </w:lvl>
  </w:abstractNum>
  <w:abstractNum w:abstractNumId="7" w15:restartNumberingAfterBreak="0">
    <w:nsid w:val="29782008"/>
    <w:multiLevelType w:val="hybridMultilevel"/>
    <w:tmpl w:val="11462E7C"/>
    <w:lvl w:ilvl="0" w:tplc="8F6E0994">
      <w:start w:val="1"/>
      <w:numFmt w:val="decimal"/>
      <w:lvlText w:val="%1."/>
      <w:lvlJc w:val="left"/>
      <w:pPr>
        <w:ind w:left="720" w:hanging="360"/>
      </w:pPr>
    </w:lvl>
    <w:lvl w:ilvl="1" w:tplc="EAA0906A">
      <w:start w:val="1"/>
      <w:numFmt w:val="decimal"/>
      <w:lvlText w:val="%2."/>
      <w:lvlJc w:val="left"/>
      <w:pPr>
        <w:ind w:left="720" w:hanging="360"/>
      </w:pPr>
    </w:lvl>
    <w:lvl w:ilvl="2" w:tplc="C2166F38">
      <w:start w:val="1"/>
      <w:numFmt w:val="decimal"/>
      <w:lvlText w:val="%3."/>
      <w:lvlJc w:val="left"/>
      <w:pPr>
        <w:ind w:left="720" w:hanging="360"/>
      </w:pPr>
    </w:lvl>
    <w:lvl w:ilvl="3" w:tplc="49664960">
      <w:start w:val="1"/>
      <w:numFmt w:val="decimal"/>
      <w:lvlText w:val="%4."/>
      <w:lvlJc w:val="left"/>
      <w:pPr>
        <w:ind w:left="720" w:hanging="360"/>
      </w:pPr>
    </w:lvl>
    <w:lvl w:ilvl="4" w:tplc="5E7A01E4">
      <w:start w:val="1"/>
      <w:numFmt w:val="decimal"/>
      <w:lvlText w:val="%5."/>
      <w:lvlJc w:val="left"/>
      <w:pPr>
        <w:ind w:left="720" w:hanging="360"/>
      </w:pPr>
    </w:lvl>
    <w:lvl w:ilvl="5" w:tplc="CCB85F78">
      <w:start w:val="1"/>
      <w:numFmt w:val="decimal"/>
      <w:lvlText w:val="%6."/>
      <w:lvlJc w:val="left"/>
      <w:pPr>
        <w:ind w:left="720" w:hanging="360"/>
      </w:pPr>
    </w:lvl>
    <w:lvl w:ilvl="6" w:tplc="F1DE7100">
      <w:start w:val="1"/>
      <w:numFmt w:val="decimal"/>
      <w:lvlText w:val="%7."/>
      <w:lvlJc w:val="left"/>
      <w:pPr>
        <w:ind w:left="720" w:hanging="360"/>
      </w:pPr>
    </w:lvl>
    <w:lvl w:ilvl="7" w:tplc="6F5A5330">
      <w:start w:val="1"/>
      <w:numFmt w:val="decimal"/>
      <w:lvlText w:val="%8."/>
      <w:lvlJc w:val="left"/>
      <w:pPr>
        <w:ind w:left="720" w:hanging="360"/>
      </w:pPr>
    </w:lvl>
    <w:lvl w:ilvl="8" w:tplc="A830DEDE">
      <w:start w:val="1"/>
      <w:numFmt w:val="decimal"/>
      <w:lvlText w:val="%9."/>
      <w:lvlJc w:val="left"/>
      <w:pPr>
        <w:ind w:left="720" w:hanging="360"/>
      </w:pPr>
    </w:lvl>
  </w:abstractNum>
  <w:abstractNum w:abstractNumId="8" w15:restartNumberingAfterBreak="0">
    <w:nsid w:val="42F856AA"/>
    <w:multiLevelType w:val="multilevel"/>
    <w:tmpl w:val="009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5779A"/>
    <w:multiLevelType w:val="hybridMultilevel"/>
    <w:tmpl w:val="2C725582"/>
    <w:lvl w:ilvl="0" w:tplc="F84E6306">
      <w:start w:val="1"/>
      <w:numFmt w:val="bullet"/>
      <w:lvlText w:val=""/>
      <w:lvlJc w:val="left"/>
      <w:pPr>
        <w:tabs>
          <w:tab w:val="num" w:pos="720"/>
        </w:tabs>
        <w:ind w:left="720" w:hanging="360"/>
      </w:pPr>
      <w:rPr>
        <w:rFonts w:ascii="Wingdings" w:hAnsi="Wingdings" w:hint="default"/>
      </w:rPr>
    </w:lvl>
    <w:lvl w:ilvl="1" w:tplc="5148BC2C" w:tentative="1">
      <w:start w:val="1"/>
      <w:numFmt w:val="bullet"/>
      <w:lvlText w:val=""/>
      <w:lvlJc w:val="left"/>
      <w:pPr>
        <w:tabs>
          <w:tab w:val="num" w:pos="1440"/>
        </w:tabs>
        <w:ind w:left="1440" w:hanging="360"/>
      </w:pPr>
      <w:rPr>
        <w:rFonts w:ascii="Wingdings" w:hAnsi="Wingdings" w:hint="default"/>
      </w:rPr>
    </w:lvl>
    <w:lvl w:ilvl="2" w:tplc="5A6EB1AC" w:tentative="1">
      <w:start w:val="1"/>
      <w:numFmt w:val="bullet"/>
      <w:lvlText w:val=""/>
      <w:lvlJc w:val="left"/>
      <w:pPr>
        <w:tabs>
          <w:tab w:val="num" w:pos="2160"/>
        </w:tabs>
        <w:ind w:left="2160" w:hanging="360"/>
      </w:pPr>
      <w:rPr>
        <w:rFonts w:ascii="Wingdings" w:hAnsi="Wingdings" w:hint="default"/>
      </w:rPr>
    </w:lvl>
    <w:lvl w:ilvl="3" w:tplc="88744FBA" w:tentative="1">
      <w:start w:val="1"/>
      <w:numFmt w:val="bullet"/>
      <w:lvlText w:val=""/>
      <w:lvlJc w:val="left"/>
      <w:pPr>
        <w:tabs>
          <w:tab w:val="num" w:pos="2880"/>
        </w:tabs>
        <w:ind w:left="2880" w:hanging="360"/>
      </w:pPr>
      <w:rPr>
        <w:rFonts w:ascii="Wingdings" w:hAnsi="Wingdings" w:hint="default"/>
      </w:rPr>
    </w:lvl>
    <w:lvl w:ilvl="4" w:tplc="017A0FDE" w:tentative="1">
      <w:start w:val="1"/>
      <w:numFmt w:val="bullet"/>
      <w:lvlText w:val=""/>
      <w:lvlJc w:val="left"/>
      <w:pPr>
        <w:tabs>
          <w:tab w:val="num" w:pos="3600"/>
        </w:tabs>
        <w:ind w:left="3600" w:hanging="360"/>
      </w:pPr>
      <w:rPr>
        <w:rFonts w:ascii="Wingdings" w:hAnsi="Wingdings" w:hint="default"/>
      </w:rPr>
    </w:lvl>
    <w:lvl w:ilvl="5" w:tplc="11E4B984" w:tentative="1">
      <w:start w:val="1"/>
      <w:numFmt w:val="bullet"/>
      <w:lvlText w:val=""/>
      <w:lvlJc w:val="left"/>
      <w:pPr>
        <w:tabs>
          <w:tab w:val="num" w:pos="4320"/>
        </w:tabs>
        <w:ind w:left="4320" w:hanging="360"/>
      </w:pPr>
      <w:rPr>
        <w:rFonts w:ascii="Wingdings" w:hAnsi="Wingdings" w:hint="default"/>
      </w:rPr>
    </w:lvl>
    <w:lvl w:ilvl="6" w:tplc="B73A9BA4" w:tentative="1">
      <w:start w:val="1"/>
      <w:numFmt w:val="bullet"/>
      <w:lvlText w:val=""/>
      <w:lvlJc w:val="left"/>
      <w:pPr>
        <w:tabs>
          <w:tab w:val="num" w:pos="5040"/>
        </w:tabs>
        <w:ind w:left="5040" w:hanging="360"/>
      </w:pPr>
      <w:rPr>
        <w:rFonts w:ascii="Wingdings" w:hAnsi="Wingdings" w:hint="default"/>
      </w:rPr>
    </w:lvl>
    <w:lvl w:ilvl="7" w:tplc="781A0D48" w:tentative="1">
      <w:start w:val="1"/>
      <w:numFmt w:val="bullet"/>
      <w:lvlText w:val=""/>
      <w:lvlJc w:val="left"/>
      <w:pPr>
        <w:tabs>
          <w:tab w:val="num" w:pos="5760"/>
        </w:tabs>
        <w:ind w:left="5760" w:hanging="360"/>
      </w:pPr>
      <w:rPr>
        <w:rFonts w:ascii="Wingdings" w:hAnsi="Wingdings" w:hint="default"/>
      </w:rPr>
    </w:lvl>
    <w:lvl w:ilvl="8" w:tplc="E27A20D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5251DA"/>
    <w:multiLevelType w:val="hybridMultilevel"/>
    <w:tmpl w:val="AD121060"/>
    <w:lvl w:ilvl="0" w:tplc="81E80EB6">
      <w:start w:val="1"/>
      <w:numFmt w:val="decimal"/>
      <w:lvlText w:val="%1."/>
      <w:lvlJc w:val="left"/>
      <w:pPr>
        <w:ind w:left="1020" w:hanging="360"/>
      </w:pPr>
    </w:lvl>
    <w:lvl w:ilvl="1" w:tplc="BFA48076">
      <w:start w:val="1"/>
      <w:numFmt w:val="decimal"/>
      <w:lvlText w:val="%2."/>
      <w:lvlJc w:val="left"/>
      <w:pPr>
        <w:ind w:left="1020" w:hanging="360"/>
      </w:pPr>
    </w:lvl>
    <w:lvl w:ilvl="2" w:tplc="D19E37AE">
      <w:start w:val="1"/>
      <w:numFmt w:val="decimal"/>
      <w:lvlText w:val="%3."/>
      <w:lvlJc w:val="left"/>
      <w:pPr>
        <w:ind w:left="1020" w:hanging="360"/>
      </w:pPr>
    </w:lvl>
    <w:lvl w:ilvl="3" w:tplc="577C898A">
      <w:start w:val="1"/>
      <w:numFmt w:val="decimal"/>
      <w:lvlText w:val="%4."/>
      <w:lvlJc w:val="left"/>
      <w:pPr>
        <w:ind w:left="1020" w:hanging="360"/>
      </w:pPr>
    </w:lvl>
    <w:lvl w:ilvl="4" w:tplc="10BC6DE8">
      <w:start w:val="1"/>
      <w:numFmt w:val="decimal"/>
      <w:lvlText w:val="%5."/>
      <w:lvlJc w:val="left"/>
      <w:pPr>
        <w:ind w:left="1020" w:hanging="360"/>
      </w:pPr>
    </w:lvl>
    <w:lvl w:ilvl="5" w:tplc="EC9CD520">
      <w:start w:val="1"/>
      <w:numFmt w:val="decimal"/>
      <w:lvlText w:val="%6."/>
      <w:lvlJc w:val="left"/>
      <w:pPr>
        <w:ind w:left="1020" w:hanging="360"/>
      </w:pPr>
    </w:lvl>
    <w:lvl w:ilvl="6" w:tplc="E622369C">
      <w:start w:val="1"/>
      <w:numFmt w:val="decimal"/>
      <w:lvlText w:val="%7."/>
      <w:lvlJc w:val="left"/>
      <w:pPr>
        <w:ind w:left="1020" w:hanging="360"/>
      </w:pPr>
    </w:lvl>
    <w:lvl w:ilvl="7" w:tplc="624EA514">
      <w:start w:val="1"/>
      <w:numFmt w:val="decimal"/>
      <w:lvlText w:val="%8."/>
      <w:lvlJc w:val="left"/>
      <w:pPr>
        <w:ind w:left="1020" w:hanging="360"/>
      </w:pPr>
    </w:lvl>
    <w:lvl w:ilvl="8" w:tplc="5B22B45A">
      <w:start w:val="1"/>
      <w:numFmt w:val="decimal"/>
      <w:lvlText w:val="%9."/>
      <w:lvlJc w:val="left"/>
      <w:pPr>
        <w:ind w:left="1020" w:hanging="360"/>
      </w:pPr>
    </w:lvl>
  </w:abstractNum>
  <w:abstractNum w:abstractNumId="11" w15:restartNumberingAfterBreak="0">
    <w:nsid w:val="51C95C21"/>
    <w:multiLevelType w:val="hybridMultilevel"/>
    <w:tmpl w:val="299CCBE0"/>
    <w:lvl w:ilvl="0" w:tplc="F4A6110E">
      <w:start w:val="1"/>
      <w:numFmt w:val="bullet"/>
      <w:lvlText w:val=""/>
      <w:lvlJc w:val="left"/>
      <w:pPr>
        <w:ind w:left="720" w:hanging="360"/>
      </w:pPr>
      <w:rPr>
        <w:rFonts w:ascii="Symbol" w:hAnsi="Symbol"/>
      </w:rPr>
    </w:lvl>
    <w:lvl w:ilvl="1" w:tplc="9CFE512E">
      <w:start w:val="1"/>
      <w:numFmt w:val="bullet"/>
      <w:lvlText w:val=""/>
      <w:lvlJc w:val="left"/>
      <w:pPr>
        <w:ind w:left="720" w:hanging="360"/>
      </w:pPr>
      <w:rPr>
        <w:rFonts w:ascii="Symbol" w:hAnsi="Symbol"/>
      </w:rPr>
    </w:lvl>
    <w:lvl w:ilvl="2" w:tplc="B0261B34">
      <w:start w:val="1"/>
      <w:numFmt w:val="bullet"/>
      <w:lvlText w:val=""/>
      <w:lvlJc w:val="left"/>
      <w:pPr>
        <w:ind w:left="720" w:hanging="360"/>
      </w:pPr>
      <w:rPr>
        <w:rFonts w:ascii="Symbol" w:hAnsi="Symbol"/>
      </w:rPr>
    </w:lvl>
    <w:lvl w:ilvl="3" w:tplc="1F660D2C">
      <w:start w:val="1"/>
      <w:numFmt w:val="bullet"/>
      <w:lvlText w:val=""/>
      <w:lvlJc w:val="left"/>
      <w:pPr>
        <w:ind w:left="720" w:hanging="360"/>
      </w:pPr>
      <w:rPr>
        <w:rFonts w:ascii="Symbol" w:hAnsi="Symbol"/>
      </w:rPr>
    </w:lvl>
    <w:lvl w:ilvl="4" w:tplc="CCCEB078">
      <w:start w:val="1"/>
      <w:numFmt w:val="bullet"/>
      <w:lvlText w:val=""/>
      <w:lvlJc w:val="left"/>
      <w:pPr>
        <w:ind w:left="720" w:hanging="360"/>
      </w:pPr>
      <w:rPr>
        <w:rFonts w:ascii="Symbol" w:hAnsi="Symbol"/>
      </w:rPr>
    </w:lvl>
    <w:lvl w:ilvl="5" w:tplc="584CC0A8">
      <w:start w:val="1"/>
      <w:numFmt w:val="bullet"/>
      <w:lvlText w:val=""/>
      <w:lvlJc w:val="left"/>
      <w:pPr>
        <w:ind w:left="720" w:hanging="360"/>
      </w:pPr>
      <w:rPr>
        <w:rFonts w:ascii="Symbol" w:hAnsi="Symbol"/>
      </w:rPr>
    </w:lvl>
    <w:lvl w:ilvl="6" w:tplc="75A26784">
      <w:start w:val="1"/>
      <w:numFmt w:val="bullet"/>
      <w:lvlText w:val=""/>
      <w:lvlJc w:val="left"/>
      <w:pPr>
        <w:ind w:left="720" w:hanging="360"/>
      </w:pPr>
      <w:rPr>
        <w:rFonts w:ascii="Symbol" w:hAnsi="Symbol"/>
      </w:rPr>
    </w:lvl>
    <w:lvl w:ilvl="7" w:tplc="B40CBED8">
      <w:start w:val="1"/>
      <w:numFmt w:val="bullet"/>
      <w:lvlText w:val=""/>
      <w:lvlJc w:val="left"/>
      <w:pPr>
        <w:ind w:left="720" w:hanging="360"/>
      </w:pPr>
      <w:rPr>
        <w:rFonts w:ascii="Symbol" w:hAnsi="Symbol"/>
      </w:rPr>
    </w:lvl>
    <w:lvl w:ilvl="8" w:tplc="D7989934">
      <w:start w:val="1"/>
      <w:numFmt w:val="bullet"/>
      <w:lvlText w:val=""/>
      <w:lvlJc w:val="left"/>
      <w:pPr>
        <w:ind w:left="720" w:hanging="360"/>
      </w:pPr>
      <w:rPr>
        <w:rFonts w:ascii="Symbol" w:hAnsi="Symbol"/>
      </w:rPr>
    </w:lvl>
  </w:abstractNum>
  <w:abstractNum w:abstractNumId="12" w15:restartNumberingAfterBreak="0">
    <w:nsid w:val="545A381D"/>
    <w:multiLevelType w:val="hybridMultilevel"/>
    <w:tmpl w:val="CB32C52E"/>
    <w:lvl w:ilvl="0" w:tplc="F7EE1582">
      <w:start w:val="1"/>
      <w:numFmt w:val="bullet"/>
      <w:lvlText w:val=""/>
      <w:lvlJc w:val="left"/>
      <w:pPr>
        <w:tabs>
          <w:tab w:val="num" w:pos="720"/>
        </w:tabs>
        <w:ind w:left="720" w:hanging="360"/>
      </w:pPr>
      <w:rPr>
        <w:rFonts w:ascii="Wingdings" w:hAnsi="Wingdings" w:hint="default"/>
      </w:rPr>
    </w:lvl>
    <w:lvl w:ilvl="1" w:tplc="953CCB94" w:tentative="1">
      <w:start w:val="1"/>
      <w:numFmt w:val="bullet"/>
      <w:lvlText w:val=""/>
      <w:lvlJc w:val="left"/>
      <w:pPr>
        <w:tabs>
          <w:tab w:val="num" w:pos="1440"/>
        </w:tabs>
        <w:ind w:left="1440" w:hanging="360"/>
      </w:pPr>
      <w:rPr>
        <w:rFonts w:ascii="Wingdings" w:hAnsi="Wingdings" w:hint="default"/>
      </w:rPr>
    </w:lvl>
    <w:lvl w:ilvl="2" w:tplc="9768F53A" w:tentative="1">
      <w:start w:val="1"/>
      <w:numFmt w:val="bullet"/>
      <w:lvlText w:val=""/>
      <w:lvlJc w:val="left"/>
      <w:pPr>
        <w:tabs>
          <w:tab w:val="num" w:pos="2160"/>
        </w:tabs>
        <w:ind w:left="2160" w:hanging="360"/>
      </w:pPr>
      <w:rPr>
        <w:rFonts w:ascii="Wingdings" w:hAnsi="Wingdings" w:hint="default"/>
      </w:rPr>
    </w:lvl>
    <w:lvl w:ilvl="3" w:tplc="7C1844A0" w:tentative="1">
      <w:start w:val="1"/>
      <w:numFmt w:val="bullet"/>
      <w:lvlText w:val=""/>
      <w:lvlJc w:val="left"/>
      <w:pPr>
        <w:tabs>
          <w:tab w:val="num" w:pos="2880"/>
        </w:tabs>
        <w:ind w:left="2880" w:hanging="360"/>
      </w:pPr>
      <w:rPr>
        <w:rFonts w:ascii="Wingdings" w:hAnsi="Wingdings" w:hint="default"/>
      </w:rPr>
    </w:lvl>
    <w:lvl w:ilvl="4" w:tplc="1CD2E896" w:tentative="1">
      <w:start w:val="1"/>
      <w:numFmt w:val="bullet"/>
      <w:lvlText w:val=""/>
      <w:lvlJc w:val="left"/>
      <w:pPr>
        <w:tabs>
          <w:tab w:val="num" w:pos="3600"/>
        </w:tabs>
        <w:ind w:left="3600" w:hanging="360"/>
      </w:pPr>
      <w:rPr>
        <w:rFonts w:ascii="Wingdings" w:hAnsi="Wingdings" w:hint="default"/>
      </w:rPr>
    </w:lvl>
    <w:lvl w:ilvl="5" w:tplc="83526BF0" w:tentative="1">
      <w:start w:val="1"/>
      <w:numFmt w:val="bullet"/>
      <w:lvlText w:val=""/>
      <w:lvlJc w:val="left"/>
      <w:pPr>
        <w:tabs>
          <w:tab w:val="num" w:pos="4320"/>
        </w:tabs>
        <w:ind w:left="4320" w:hanging="360"/>
      </w:pPr>
      <w:rPr>
        <w:rFonts w:ascii="Wingdings" w:hAnsi="Wingdings" w:hint="default"/>
      </w:rPr>
    </w:lvl>
    <w:lvl w:ilvl="6" w:tplc="387684A0" w:tentative="1">
      <w:start w:val="1"/>
      <w:numFmt w:val="bullet"/>
      <w:lvlText w:val=""/>
      <w:lvlJc w:val="left"/>
      <w:pPr>
        <w:tabs>
          <w:tab w:val="num" w:pos="5040"/>
        </w:tabs>
        <w:ind w:left="5040" w:hanging="360"/>
      </w:pPr>
      <w:rPr>
        <w:rFonts w:ascii="Wingdings" w:hAnsi="Wingdings" w:hint="default"/>
      </w:rPr>
    </w:lvl>
    <w:lvl w:ilvl="7" w:tplc="8BAA6516" w:tentative="1">
      <w:start w:val="1"/>
      <w:numFmt w:val="bullet"/>
      <w:lvlText w:val=""/>
      <w:lvlJc w:val="left"/>
      <w:pPr>
        <w:tabs>
          <w:tab w:val="num" w:pos="5760"/>
        </w:tabs>
        <w:ind w:left="5760" w:hanging="360"/>
      </w:pPr>
      <w:rPr>
        <w:rFonts w:ascii="Wingdings" w:hAnsi="Wingdings" w:hint="default"/>
      </w:rPr>
    </w:lvl>
    <w:lvl w:ilvl="8" w:tplc="86B6581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8E16FC"/>
    <w:multiLevelType w:val="hybridMultilevel"/>
    <w:tmpl w:val="0E2C0ED6"/>
    <w:lvl w:ilvl="0" w:tplc="6770B68C">
      <w:start w:val="1"/>
      <w:numFmt w:val="bullet"/>
      <w:lvlText w:val=""/>
      <w:lvlJc w:val="left"/>
      <w:pPr>
        <w:ind w:left="720" w:hanging="360"/>
      </w:pPr>
      <w:rPr>
        <w:rFonts w:ascii="Symbol" w:hAnsi="Symbol"/>
      </w:rPr>
    </w:lvl>
    <w:lvl w:ilvl="1" w:tplc="ADFE97E4">
      <w:start w:val="1"/>
      <w:numFmt w:val="bullet"/>
      <w:lvlText w:val=""/>
      <w:lvlJc w:val="left"/>
      <w:pPr>
        <w:ind w:left="720" w:hanging="360"/>
      </w:pPr>
      <w:rPr>
        <w:rFonts w:ascii="Symbol" w:hAnsi="Symbol"/>
      </w:rPr>
    </w:lvl>
    <w:lvl w:ilvl="2" w:tplc="B0821734">
      <w:start w:val="1"/>
      <w:numFmt w:val="bullet"/>
      <w:lvlText w:val=""/>
      <w:lvlJc w:val="left"/>
      <w:pPr>
        <w:ind w:left="720" w:hanging="360"/>
      </w:pPr>
      <w:rPr>
        <w:rFonts w:ascii="Symbol" w:hAnsi="Symbol"/>
      </w:rPr>
    </w:lvl>
    <w:lvl w:ilvl="3" w:tplc="AB50C616">
      <w:start w:val="1"/>
      <w:numFmt w:val="bullet"/>
      <w:lvlText w:val=""/>
      <w:lvlJc w:val="left"/>
      <w:pPr>
        <w:ind w:left="720" w:hanging="360"/>
      </w:pPr>
      <w:rPr>
        <w:rFonts w:ascii="Symbol" w:hAnsi="Symbol"/>
      </w:rPr>
    </w:lvl>
    <w:lvl w:ilvl="4" w:tplc="C472FDD8">
      <w:start w:val="1"/>
      <w:numFmt w:val="bullet"/>
      <w:lvlText w:val=""/>
      <w:lvlJc w:val="left"/>
      <w:pPr>
        <w:ind w:left="720" w:hanging="360"/>
      </w:pPr>
      <w:rPr>
        <w:rFonts w:ascii="Symbol" w:hAnsi="Symbol"/>
      </w:rPr>
    </w:lvl>
    <w:lvl w:ilvl="5" w:tplc="D0003298">
      <w:start w:val="1"/>
      <w:numFmt w:val="bullet"/>
      <w:lvlText w:val=""/>
      <w:lvlJc w:val="left"/>
      <w:pPr>
        <w:ind w:left="720" w:hanging="360"/>
      </w:pPr>
      <w:rPr>
        <w:rFonts w:ascii="Symbol" w:hAnsi="Symbol"/>
      </w:rPr>
    </w:lvl>
    <w:lvl w:ilvl="6" w:tplc="6652CB28">
      <w:start w:val="1"/>
      <w:numFmt w:val="bullet"/>
      <w:lvlText w:val=""/>
      <w:lvlJc w:val="left"/>
      <w:pPr>
        <w:ind w:left="720" w:hanging="360"/>
      </w:pPr>
      <w:rPr>
        <w:rFonts w:ascii="Symbol" w:hAnsi="Symbol"/>
      </w:rPr>
    </w:lvl>
    <w:lvl w:ilvl="7" w:tplc="3B3CEF5E">
      <w:start w:val="1"/>
      <w:numFmt w:val="bullet"/>
      <w:lvlText w:val=""/>
      <w:lvlJc w:val="left"/>
      <w:pPr>
        <w:ind w:left="720" w:hanging="360"/>
      </w:pPr>
      <w:rPr>
        <w:rFonts w:ascii="Symbol" w:hAnsi="Symbol"/>
      </w:rPr>
    </w:lvl>
    <w:lvl w:ilvl="8" w:tplc="6D8ABB54">
      <w:start w:val="1"/>
      <w:numFmt w:val="bullet"/>
      <w:lvlText w:val=""/>
      <w:lvlJc w:val="left"/>
      <w:pPr>
        <w:ind w:left="720" w:hanging="360"/>
      </w:pPr>
      <w:rPr>
        <w:rFonts w:ascii="Symbol" w:hAnsi="Symbol"/>
      </w:rPr>
    </w:lvl>
  </w:abstractNum>
  <w:abstractNum w:abstractNumId="14" w15:restartNumberingAfterBreak="0">
    <w:nsid w:val="62761A10"/>
    <w:multiLevelType w:val="hybridMultilevel"/>
    <w:tmpl w:val="1D163B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7B4942"/>
    <w:multiLevelType w:val="hybridMultilevel"/>
    <w:tmpl w:val="C90083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B7A7EA3"/>
    <w:multiLevelType w:val="hybridMultilevel"/>
    <w:tmpl w:val="00843462"/>
    <w:lvl w:ilvl="0" w:tplc="F7F4CE86">
      <w:start w:val="1"/>
      <w:numFmt w:val="bullet"/>
      <w:lvlText w:val=""/>
      <w:lvlJc w:val="left"/>
      <w:pPr>
        <w:ind w:left="720" w:hanging="360"/>
      </w:pPr>
      <w:rPr>
        <w:rFonts w:ascii="Symbol" w:hAnsi="Symbol"/>
      </w:rPr>
    </w:lvl>
    <w:lvl w:ilvl="1" w:tplc="A13CE47C">
      <w:start w:val="1"/>
      <w:numFmt w:val="bullet"/>
      <w:lvlText w:val=""/>
      <w:lvlJc w:val="left"/>
      <w:pPr>
        <w:ind w:left="720" w:hanging="360"/>
      </w:pPr>
      <w:rPr>
        <w:rFonts w:ascii="Symbol" w:hAnsi="Symbol"/>
      </w:rPr>
    </w:lvl>
    <w:lvl w:ilvl="2" w:tplc="2FF06564">
      <w:start w:val="1"/>
      <w:numFmt w:val="bullet"/>
      <w:lvlText w:val=""/>
      <w:lvlJc w:val="left"/>
      <w:pPr>
        <w:ind w:left="720" w:hanging="360"/>
      </w:pPr>
      <w:rPr>
        <w:rFonts w:ascii="Symbol" w:hAnsi="Symbol"/>
      </w:rPr>
    </w:lvl>
    <w:lvl w:ilvl="3" w:tplc="29088B04">
      <w:start w:val="1"/>
      <w:numFmt w:val="bullet"/>
      <w:lvlText w:val=""/>
      <w:lvlJc w:val="left"/>
      <w:pPr>
        <w:ind w:left="720" w:hanging="360"/>
      </w:pPr>
      <w:rPr>
        <w:rFonts w:ascii="Symbol" w:hAnsi="Symbol"/>
      </w:rPr>
    </w:lvl>
    <w:lvl w:ilvl="4" w:tplc="BF907BE8">
      <w:start w:val="1"/>
      <w:numFmt w:val="bullet"/>
      <w:lvlText w:val=""/>
      <w:lvlJc w:val="left"/>
      <w:pPr>
        <w:ind w:left="720" w:hanging="360"/>
      </w:pPr>
      <w:rPr>
        <w:rFonts w:ascii="Symbol" w:hAnsi="Symbol"/>
      </w:rPr>
    </w:lvl>
    <w:lvl w:ilvl="5" w:tplc="056EA6E8">
      <w:start w:val="1"/>
      <w:numFmt w:val="bullet"/>
      <w:lvlText w:val=""/>
      <w:lvlJc w:val="left"/>
      <w:pPr>
        <w:ind w:left="720" w:hanging="360"/>
      </w:pPr>
      <w:rPr>
        <w:rFonts w:ascii="Symbol" w:hAnsi="Symbol"/>
      </w:rPr>
    </w:lvl>
    <w:lvl w:ilvl="6" w:tplc="82464922">
      <w:start w:val="1"/>
      <w:numFmt w:val="bullet"/>
      <w:lvlText w:val=""/>
      <w:lvlJc w:val="left"/>
      <w:pPr>
        <w:ind w:left="720" w:hanging="360"/>
      </w:pPr>
      <w:rPr>
        <w:rFonts w:ascii="Symbol" w:hAnsi="Symbol"/>
      </w:rPr>
    </w:lvl>
    <w:lvl w:ilvl="7" w:tplc="F1807924">
      <w:start w:val="1"/>
      <w:numFmt w:val="bullet"/>
      <w:lvlText w:val=""/>
      <w:lvlJc w:val="left"/>
      <w:pPr>
        <w:ind w:left="720" w:hanging="360"/>
      </w:pPr>
      <w:rPr>
        <w:rFonts w:ascii="Symbol" w:hAnsi="Symbol"/>
      </w:rPr>
    </w:lvl>
    <w:lvl w:ilvl="8" w:tplc="C0F4DAF6">
      <w:start w:val="1"/>
      <w:numFmt w:val="bullet"/>
      <w:lvlText w:val=""/>
      <w:lvlJc w:val="left"/>
      <w:pPr>
        <w:ind w:left="720" w:hanging="360"/>
      </w:pPr>
      <w:rPr>
        <w:rFonts w:ascii="Symbol" w:hAnsi="Symbol"/>
      </w:rPr>
    </w:lvl>
  </w:abstractNum>
  <w:abstractNum w:abstractNumId="17" w15:restartNumberingAfterBreak="0">
    <w:nsid w:val="6BAA30F0"/>
    <w:multiLevelType w:val="hybridMultilevel"/>
    <w:tmpl w:val="C3CAC3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EFA376E"/>
    <w:multiLevelType w:val="hybridMultilevel"/>
    <w:tmpl w:val="48F8C4B8"/>
    <w:lvl w:ilvl="0" w:tplc="7182FDFE">
      <w:start w:val="1"/>
      <w:numFmt w:val="decimal"/>
      <w:lvlText w:val="%1."/>
      <w:lvlJc w:val="left"/>
      <w:pPr>
        <w:ind w:left="1020" w:hanging="360"/>
      </w:pPr>
    </w:lvl>
    <w:lvl w:ilvl="1" w:tplc="A89E6820">
      <w:start w:val="1"/>
      <w:numFmt w:val="decimal"/>
      <w:lvlText w:val="%2."/>
      <w:lvlJc w:val="left"/>
      <w:pPr>
        <w:ind w:left="1020" w:hanging="360"/>
      </w:pPr>
    </w:lvl>
    <w:lvl w:ilvl="2" w:tplc="1D382F84">
      <w:start w:val="1"/>
      <w:numFmt w:val="decimal"/>
      <w:lvlText w:val="%3."/>
      <w:lvlJc w:val="left"/>
      <w:pPr>
        <w:ind w:left="1020" w:hanging="360"/>
      </w:pPr>
    </w:lvl>
    <w:lvl w:ilvl="3" w:tplc="4AECBABE">
      <w:start w:val="1"/>
      <w:numFmt w:val="decimal"/>
      <w:lvlText w:val="%4."/>
      <w:lvlJc w:val="left"/>
      <w:pPr>
        <w:ind w:left="1020" w:hanging="360"/>
      </w:pPr>
    </w:lvl>
    <w:lvl w:ilvl="4" w:tplc="B376266E">
      <w:start w:val="1"/>
      <w:numFmt w:val="decimal"/>
      <w:lvlText w:val="%5."/>
      <w:lvlJc w:val="left"/>
      <w:pPr>
        <w:ind w:left="1020" w:hanging="360"/>
      </w:pPr>
    </w:lvl>
    <w:lvl w:ilvl="5" w:tplc="CB5628A2">
      <w:start w:val="1"/>
      <w:numFmt w:val="decimal"/>
      <w:lvlText w:val="%6."/>
      <w:lvlJc w:val="left"/>
      <w:pPr>
        <w:ind w:left="1020" w:hanging="360"/>
      </w:pPr>
    </w:lvl>
    <w:lvl w:ilvl="6" w:tplc="15968620">
      <w:start w:val="1"/>
      <w:numFmt w:val="decimal"/>
      <w:lvlText w:val="%7."/>
      <w:lvlJc w:val="left"/>
      <w:pPr>
        <w:ind w:left="1020" w:hanging="360"/>
      </w:pPr>
    </w:lvl>
    <w:lvl w:ilvl="7" w:tplc="F5B01930">
      <w:start w:val="1"/>
      <w:numFmt w:val="decimal"/>
      <w:lvlText w:val="%8."/>
      <w:lvlJc w:val="left"/>
      <w:pPr>
        <w:ind w:left="1020" w:hanging="360"/>
      </w:pPr>
    </w:lvl>
    <w:lvl w:ilvl="8" w:tplc="9168B54E">
      <w:start w:val="1"/>
      <w:numFmt w:val="decimal"/>
      <w:lvlText w:val="%9."/>
      <w:lvlJc w:val="left"/>
      <w:pPr>
        <w:ind w:left="1020" w:hanging="360"/>
      </w:pPr>
    </w:lvl>
  </w:abstractNum>
  <w:abstractNum w:abstractNumId="19" w15:restartNumberingAfterBreak="0">
    <w:nsid w:val="7AE86320"/>
    <w:multiLevelType w:val="hybridMultilevel"/>
    <w:tmpl w:val="21982E30"/>
    <w:lvl w:ilvl="0" w:tplc="5E6476D0">
      <w:start w:val="1"/>
      <w:numFmt w:val="decimal"/>
      <w:lvlText w:val="%1."/>
      <w:lvlJc w:val="left"/>
      <w:pPr>
        <w:ind w:left="1020" w:hanging="360"/>
      </w:pPr>
    </w:lvl>
    <w:lvl w:ilvl="1" w:tplc="74C4FE26">
      <w:start w:val="1"/>
      <w:numFmt w:val="decimal"/>
      <w:lvlText w:val="%2."/>
      <w:lvlJc w:val="left"/>
      <w:pPr>
        <w:ind w:left="1020" w:hanging="360"/>
      </w:pPr>
    </w:lvl>
    <w:lvl w:ilvl="2" w:tplc="9EFA70C8">
      <w:start w:val="1"/>
      <w:numFmt w:val="decimal"/>
      <w:lvlText w:val="%3."/>
      <w:lvlJc w:val="left"/>
      <w:pPr>
        <w:ind w:left="1020" w:hanging="360"/>
      </w:pPr>
    </w:lvl>
    <w:lvl w:ilvl="3" w:tplc="257415E2">
      <w:start w:val="1"/>
      <w:numFmt w:val="decimal"/>
      <w:lvlText w:val="%4."/>
      <w:lvlJc w:val="left"/>
      <w:pPr>
        <w:ind w:left="1020" w:hanging="360"/>
      </w:pPr>
    </w:lvl>
    <w:lvl w:ilvl="4" w:tplc="E8BC33F6">
      <w:start w:val="1"/>
      <w:numFmt w:val="decimal"/>
      <w:lvlText w:val="%5."/>
      <w:lvlJc w:val="left"/>
      <w:pPr>
        <w:ind w:left="1020" w:hanging="360"/>
      </w:pPr>
    </w:lvl>
    <w:lvl w:ilvl="5" w:tplc="BF26A7EA">
      <w:start w:val="1"/>
      <w:numFmt w:val="decimal"/>
      <w:lvlText w:val="%6."/>
      <w:lvlJc w:val="left"/>
      <w:pPr>
        <w:ind w:left="1020" w:hanging="360"/>
      </w:pPr>
    </w:lvl>
    <w:lvl w:ilvl="6" w:tplc="4FE67FA0">
      <w:start w:val="1"/>
      <w:numFmt w:val="decimal"/>
      <w:lvlText w:val="%7."/>
      <w:lvlJc w:val="left"/>
      <w:pPr>
        <w:ind w:left="1020" w:hanging="360"/>
      </w:pPr>
    </w:lvl>
    <w:lvl w:ilvl="7" w:tplc="BA34E586">
      <w:start w:val="1"/>
      <w:numFmt w:val="decimal"/>
      <w:lvlText w:val="%8."/>
      <w:lvlJc w:val="left"/>
      <w:pPr>
        <w:ind w:left="1020" w:hanging="360"/>
      </w:pPr>
    </w:lvl>
    <w:lvl w:ilvl="8" w:tplc="D4EAC368">
      <w:start w:val="1"/>
      <w:numFmt w:val="decimal"/>
      <w:lvlText w:val="%9."/>
      <w:lvlJc w:val="left"/>
      <w:pPr>
        <w:ind w:left="1020" w:hanging="360"/>
      </w:pPr>
    </w:lvl>
  </w:abstractNum>
  <w:num w:numId="1" w16cid:durableId="1042828578">
    <w:abstractNumId w:val="14"/>
  </w:num>
  <w:num w:numId="2" w16cid:durableId="865749708">
    <w:abstractNumId w:val="0"/>
  </w:num>
  <w:num w:numId="3" w16cid:durableId="1682390485">
    <w:abstractNumId w:val="18"/>
  </w:num>
  <w:num w:numId="4" w16cid:durableId="573004537">
    <w:abstractNumId w:val="2"/>
  </w:num>
  <w:num w:numId="5" w16cid:durableId="365452661">
    <w:abstractNumId w:val="6"/>
  </w:num>
  <w:num w:numId="6" w16cid:durableId="1135098007">
    <w:abstractNumId w:val="10"/>
  </w:num>
  <w:num w:numId="7" w16cid:durableId="91165340">
    <w:abstractNumId w:val="7"/>
  </w:num>
  <w:num w:numId="8" w16cid:durableId="846872972">
    <w:abstractNumId w:val="13"/>
  </w:num>
  <w:num w:numId="9" w16cid:durableId="1671523612">
    <w:abstractNumId w:val="11"/>
  </w:num>
  <w:num w:numId="10" w16cid:durableId="1354651915">
    <w:abstractNumId w:val="16"/>
  </w:num>
  <w:num w:numId="11" w16cid:durableId="1810246541">
    <w:abstractNumId w:val="3"/>
  </w:num>
  <w:num w:numId="12" w16cid:durableId="1156995875">
    <w:abstractNumId w:val="5"/>
  </w:num>
  <w:num w:numId="13" w16cid:durableId="1491942917">
    <w:abstractNumId w:val="4"/>
  </w:num>
  <w:num w:numId="14" w16cid:durableId="117384928">
    <w:abstractNumId w:val="1"/>
  </w:num>
  <w:num w:numId="15" w16cid:durableId="1118447738">
    <w:abstractNumId w:val="12"/>
  </w:num>
  <w:num w:numId="16" w16cid:durableId="1988044456">
    <w:abstractNumId w:val="9"/>
  </w:num>
  <w:num w:numId="17" w16cid:durableId="1035816680">
    <w:abstractNumId w:val="15"/>
  </w:num>
  <w:num w:numId="18" w16cid:durableId="201207363">
    <w:abstractNumId w:val="19"/>
  </w:num>
  <w:num w:numId="19" w16cid:durableId="315695808">
    <w:abstractNumId w:val="17"/>
  </w:num>
  <w:num w:numId="20" w16cid:durableId="72318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yNzY3N7U0MTc0MLJQ0lEKTi0uzszPAykwNKsFAMijuOItAAAA"/>
  </w:docVars>
  <w:rsids>
    <w:rsidRoot w:val="00C73B3E"/>
    <w:rsid w:val="00000D3F"/>
    <w:rsid w:val="0001442F"/>
    <w:rsid w:val="00014A24"/>
    <w:rsid w:val="00014C96"/>
    <w:rsid w:val="00020356"/>
    <w:rsid w:val="000222D4"/>
    <w:rsid w:val="00027C5C"/>
    <w:rsid w:val="00031CE8"/>
    <w:rsid w:val="00032814"/>
    <w:rsid w:val="00036D5C"/>
    <w:rsid w:val="00037341"/>
    <w:rsid w:val="0004044E"/>
    <w:rsid w:val="000425EB"/>
    <w:rsid w:val="00043813"/>
    <w:rsid w:val="00046DE4"/>
    <w:rsid w:val="00050A63"/>
    <w:rsid w:val="00051F7D"/>
    <w:rsid w:val="0005318B"/>
    <w:rsid w:val="000544C1"/>
    <w:rsid w:val="00056080"/>
    <w:rsid w:val="00063CAE"/>
    <w:rsid w:val="00066F0D"/>
    <w:rsid w:val="0007243B"/>
    <w:rsid w:val="000732F2"/>
    <w:rsid w:val="000733FE"/>
    <w:rsid w:val="000735D1"/>
    <w:rsid w:val="0007648F"/>
    <w:rsid w:val="00077285"/>
    <w:rsid w:val="00077A4B"/>
    <w:rsid w:val="000802C0"/>
    <w:rsid w:val="00082328"/>
    <w:rsid w:val="000848CA"/>
    <w:rsid w:val="000853E2"/>
    <w:rsid w:val="00085F54"/>
    <w:rsid w:val="00087D4E"/>
    <w:rsid w:val="00090626"/>
    <w:rsid w:val="000A18D6"/>
    <w:rsid w:val="000A6409"/>
    <w:rsid w:val="000B1FF6"/>
    <w:rsid w:val="000B28EC"/>
    <w:rsid w:val="000B589A"/>
    <w:rsid w:val="000B5ED3"/>
    <w:rsid w:val="000C220E"/>
    <w:rsid w:val="000D117D"/>
    <w:rsid w:val="000D160D"/>
    <w:rsid w:val="000D3787"/>
    <w:rsid w:val="000E3545"/>
    <w:rsid w:val="000E4114"/>
    <w:rsid w:val="000E7480"/>
    <w:rsid w:val="000F0D0D"/>
    <w:rsid w:val="000F22BB"/>
    <w:rsid w:val="000F4411"/>
    <w:rsid w:val="000F580C"/>
    <w:rsid w:val="000F5AF1"/>
    <w:rsid w:val="00104464"/>
    <w:rsid w:val="0010561B"/>
    <w:rsid w:val="001058DE"/>
    <w:rsid w:val="00111DE0"/>
    <w:rsid w:val="0011603B"/>
    <w:rsid w:val="00120116"/>
    <w:rsid w:val="00122E55"/>
    <w:rsid w:val="001235C6"/>
    <w:rsid w:val="00123EA5"/>
    <w:rsid w:val="001255CF"/>
    <w:rsid w:val="00125EDD"/>
    <w:rsid w:val="00127BBB"/>
    <w:rsid w:val="00134015"/>
    <w:rsid w:val="0013405A"/>
    <w:rsid w:val="00134660"/>
    <w:rsid w:val="001355B5"/>
    <w:rsid w:val="0013689F"/>
    <w:rsid w:val="00143D41"/>
    <w:rsid w:val="0014768D"/>
    <w:rsid w:val="00151538"/>
    <w:rsid w:val="00161E75"/>
    <w:rsid w:val="00166F68"/>
    <w:rsid w:val="0018737A"/>
    <w:rsid w:val="0019507F"/>
    <w:rsid w:val="001A05FD"/>
    <w:rsid w:val="001A7539"/>
    <w:rsid w:val="001A7E8C"/>
    <w:rsid w:val="001B125C"/>
    <w:rsid w:val="001B2BC0"/>
    <w:rsid w:val="001C36FE"/>
    <w:rsid w:val="001C52CA"/>
    <w:rsid w:val="001C6685"/>
    <w:rsid w:val="001D38B4"/>
    <w:rsid w:val="001D7E18"/>
    <w:rsid w:val="001E0DBB"/>
    <w:rsid w:val="001E2F0A"/>
    <w:rsid w:val="001F24C7"/>
    <w:rsid w:val="001F2E53"/>
    <w:rsid w:val="001F3185"/>
    <w:rsid w:val="001F33A7"/>
    <w:rsid w:val="001F67C4"/>
    <w:rsid w:val="001F792C"/>
    <w:rsid w:val="001F7E95"/>
    <w:rsid w:val="0020178A"/>
    <w:rsid w:val="002128E5"/>
    <w:rsid w:val="00213170"/>
    <w:rsid w:val="00221082"/>
    <w:rsid w:val="002225CA"/>
    <w:rsid w:val="00226B76"/>
    <w:rsid w:val="002312D8"/>
    <w:rsid w:val="00235AEF"/>
    <w:rsid w:val="002401DC"/>
    <w:rsid w:val="002414CC"/>
    <w:rsid w:val="00245F9D"/>
    <w:rsid w:val="0025195B"/>
    <w:rsid w:val="00256519"/>
    <w:rsid w:val="00260BEF"/>
    <w:rsid w:val="00260CEF"/>
    <w:rsid w:val="00262A79"/>
    <w:rsid w:val="002649C2"/>
    <w:rsid w:val="00270102"/>
    <w:rsid w:val="00273EA2"/>
    <w:rsid w:val="002753C7"/>
    <w:rsid w:val="002764B7"/>
    <w:rsid w:val="002868B1"/>
    <w:rsid w:val="002912C5"/>
    <w:rsid w:val="0029145A"/>
    <w:rsid w:val="0029381A"/>
    <w:rsid w:val="00297B23"/>
    <w:rsid w:val="002A0215"/>
    <w:rsid w:val="002A6409"/>
    <w:rsid w:val="002C0A0C"/>
    <w:rsid w:val="002C36D9"/>
    <w:rsid w:val="002C7E62"/>
    <w:rsid w:val="002D217E"/>
    <w:rsid w:val="002D23A2"/>
    <w:rsid w:val="002D7027"/>
    <w:rsid w:val="002F5C49"/>
    <w:rsid w:val="003065F5"/>
    <w:rsid w:val="003141BA"/>
    <w:rsid w:val="00315DC4"/>
    <w:rsid w:val="00316055"/>
    <w:rsid w:val="00317233"/>
    <w:rsid w:val="00322136"/>
    <w:rsid w:val="003240B3"/>
    <w:rsid w:val="00334D12"/>
    <w:rsid w:val="003351AE"/>
    <w:rsid w:val="00336FB4"/>
    <w:rsid w:val="003413AF"/>
    <w:rsid w:val="003415DE"/>
    <w:rsid w:val="003504A8"/>
    <w:rsid w:val="00352232"/>
    <w:rsid w:val="00352BC4"/>
    <w:rsid w:val="00362FD4"/>
    <w:rsid w:val="00364614"/>
    <w:rsid w:val="00366143"/>
    <w:rsid w:val="0036743B"/>
    <w:rsid w:val="00372EC5"/>
    <w:rsid w:val="00377346"/>
    <w:rsid w:val="003824A0"/>
    <w:rsid w:val="00390862"/>
    <w:rsid w:val="00390EB1"/>
    <w:rsid w:val="0039271A"/>
    <w:rsid w:val="00392BC6"/>
    <w:rsid w:val="003935A0"/>
    <w:rsid w:val="00395384"/>
    <w:rsid w:val="00395B4E"/>
    <w:rsid w:val="0039794C"/>
    <w:rsid w:val="003A086A"/>
    <w:rsid w:val="003A1209"/>
    <w:rsid w:val="003A65E4"/>
    <w:rsid w:val="003A7039"/>
    <w:rsid w:val="003B496E"/>
    <w:rsid w:val="003B6188"/>
    <w:rsid w:val="003D55D7"/>
    <w:rsid w:val="003E18BB"/>
    <w:rsid w:val="003E474F"/>
    <w:rsid w:val="003E6194"/>
    <w:rsid w:val="003E7501"/>
    <w:rsid w:val="003F082C"/>
    <w:rsid w:val="003F6160"/>
    <w:rsid w:val="00401943"/>
    <w:rsid w:val="00401FA2"/>
    <w:rsid w:val="0040351D"/>
    <w:rsid w:val="00404C5B"/>
    <w:rsid w:val="00405B87"/>
    <w:rsid w:val="00406FCA"/>
    <w:rsid w:val="00407A88"/>
    <w:rsid w:val="004113A4"/>
    <w:rsid w:val="004129BC"/>
    <w:rsid w:val="004227B8"/>
    <w:rsid w:val="00425135"/>
    <w:rsid w:val="00426780"/>
    <w:rsid w:val="00427D1A"/>
    <w:rsid w:val="00436CF3"/>
    <w:rsid w:val="0044194D"/>
    <w:rsid w:val="0044335A"/>
    <w:rsid w:val="00445EE3"/>
    <w:rsid w:val="00447E55"/>
    <w:rsid w:val="004500FA"/>
    <w:rsid w:val="0045434A"/>
    <w:rsid w:val="00454C94"/>
    <w:rsid w:val="00455305"/>
    <w:rsid w:val="00465BB2"/>
    <w:rsid w:val="004736AC"/>
    <w:rsid w:val="0048142A"/>
    <w:rsid w:val="00491E6D"/>
    <w:rsid w:val="00492035"/>
    <w:rsid w:val="004B07AF"/>
    <w:rsid w:val="004C282E"/>
    <w:rsid w:val="004C733D"/>
    <w:rsid w:val="004C7A22"/>
    <w:rsid w:val="004D2625"/>
    <w:rsid w:val="004D4094"/>
    <w:rsid w:val="004D41D5"/>
    <w:rsid w:val="004D4532"/>
    <w:rsid w:val="004D5A1E"/>
    <w:rsid w:val="004E01E8"/>
    <w:rsid w:val="004E2FA6"/>
    <w:rsid w:val="004E54FE"/>
    <w:rsid w:val="004F4528"/>
    <w:rsid w:val="004F4BFF"/>
    <w:rsid w:val="004F52FB"/>
    <w:rsid w:val="004F565F"/>
    <w:rsid w:val="004F5B27"/>
    <w:rsid w:val="00504D7B"/>
    <w:rsid w:val="00515D76"/>
    <w:rsid w:val="00520B82"/>
    <w:rsid w:val="005311B9"/>
    <w:rsid w:val="005334FB"/>
    <w:rsid w:val="005401A4"/>
    <w:rsid w:val="00540DE4"/>
    <w:rsid w:val="00542B3E"/>
    <w:rsid w:val="005541CE"/>
    <w:rsid w:val="00556B6B"/>
    <w:rsid w:val="005611AC"/>
    <w:rsid w:val="00566A15"/>
    <w:rsid w:val="0057220B"/>
    <w:rsid w:val="00573083"/>
    <w:rsid w:val="0057334F"/>
    <w:rsid w:val="005749CB"/>
    <w:rsid w:val="005778DA"/>
    <w:rsid w:val="0059215C"/>
    <w:rsid w:val="00592BF4"/>
    <w:rsid w:val="00594B79"/>
    <w:rsid w:val="005A1C19"/>
    <w:rsid w:val="005A658C"/>
    <w:rsid w:val="005A6FF4"/>
    <w:rsid w:val="005B6BBD"/>
    <w:rsid w:val="005C2099"/>
    <w:rsid w:val="005C45BC"/>
    <w:rsid w:val="005D1272"/>
    <w:rsid w:val="005D49F5"/>
    <w:rsid w:val="005D7C71"/>
    <w:rsid w:val="005E0BA2"/>
    <w:rsid w:val="005E1E36"/>
    <w:rsid w:val="005E2A31"/>
    <w:rsid w:val="005F182E"/>
    <w:rsid w:val="005F22B7"/>
    <w:rsid w:val="005F4F8A"/>
    <w:rsid w:val="005F67A6"/>
    <w:rsid w:val="005F7B9E"/>
    <w:rsid w:val="00601D4F"/>
    <w:rsid w:val="006020C7"/>
    <w:rsid w:val="006030C1"/>
    <w:rsid w:val="00606162"/>
    <w:rsid w:val="00617446"/>
    <w:rsid w:val="00625732"/>
    <w:rsid w:val="00625905"/>
    <w:rsid w:val="0062727E"/>
    <w:rsid w:val="006276EE"/>
    <w:rsid w:val="006370D7"/>
    <w:rsid w:val="006465A1"/>
    <w:rsid w:val="00646DAA"/>
    <w:rsid w:val="00647010"/>
    <w:rsid w:val="00657A54"/>
    <w:rsid w:val="00661C24"/>
    <w:rsid w:val="006642AD"/>
    <w:rsid w:val="00673ECB"/>
    <w:rsid w:val="00674C6F"/>
    <w:rsid w:val="00684F6C"/>
    <w:rsid w:val="00685412"/>
    <w:rsid w:val="006863D5"/>
    <w:rsid w:val="0068734E"/>
    <w:rsid w:val="00692025"/>
    <w:rsid w:val="00697A3A"/>
    <w:rsid w:val="00697B7D"/>
    <w:rsid w:val="006A03D5"/>
    <w:rsid w:val="006A1F13"/>
    <w:rsid w:val="006A20C5"/>
    <w:rsid w:val="006A3C32"/>
    <w:rsid w:val="006A5E17"/>
    <w:rsid w:val="006B067B"/>
    <w:rsid w:val="006B36E5"/>
    <w:rsid w:val="006B3D2B"/>
    <w:rsid w:val="006C030B"/>
    <w:rsid w:val="006C34B8"/>
    <w:rsid w:val="006C53DD"/>
    <w:rsid w:val="006C6E53"/>
    <w:rsid w:val="006D41D5"/>
    <w:rsid w:val="006D5759"/>
    <w:rsid w:val="006D5C93"/>
    <w:rsid w:val="006E251F"/>
    <w:rsid w:val="006E391A"/>
    <w:rsid w:val="006E4417"/>
    <w:rsid w:val="006E5E23"/>
    <w:rsid w:val="006F3441"/>
    <w:rsid w:val="006F5BEB"/>
    <w:rsid w:val="007019DA"/>
    <w:rsid w:val="007070E5"/>
    <w:rsid w:val="00710E13"/>
    <w:rsid w:val="0071299A"/>
    <w:rsid w:val="007220EC"/>
    <w:rsid w:val="00724578"/>
    <w:rsid w:val="00727620"/>
    <w:rsid w:val="007310EC"/>
    <w:rsid w:val="00731245"/>
    <w:rsid w:val="00742453"/>
    <w:rsid w:val="00743C54"/>
    <w:rsid w:val="00743FFC"/>
    <w:rsid w:val="007471BD"/>
    <w:rsid w:val="0075175C"/>
    <w:rsid w:val="007537A7"/>
    <w:rsid w:val="00764B84"/>
    <w:rsid w:val="00767B95"/>
    <w:rsid w:val="007718D2"/>
    <w:rsid w:val="007720CC"/>
    <w:rsid w:val="00772786"/>
    <w:rsid w:val="0078710D"/>
    <w:rsid w:val="00790368"/>
    <w:rsid w:val="00797D18"/>
    <w:rsid w:val="007A0478"/>
    <w:rsid w:val="007A3F6F"/>
    <w:rsid w:val="007B02B5"/>
    <w:rsid w:val="007B0798"/>
    <w:rsid w:val="007B117C"/>
    <w:rsid w:val="007B3272"/>
    <w:rsid w:val="007B6791"/>
    <w:rsid w:val="007C3DA4"/>
    <w:rsid w:val="007D0BDD"/>
    <w:rsid w:val="007D4A70"/>
    <w:rsid w:val="007D6E9E"/>
    <w:rsid w:val="007D7095"/>
    <w:rsid w:val="007E3DAD"/>
    <w:rsid w:val="007F064F"/>
    <w:rsid w:val="007F4FCE"/>
    <w:rsid w:val="007F520D"/>
    <w:rsid w:val="007F591F"/>
    <w:rsid w:val="00807958"/>
    <w:rsid w:val="0081003F"/>
    <w:rsid w:val="00812288"/>
    <w:rsid w:val="0081329A"/>
    <w:rsid w:val="0081368C"/>
    <w:rsid w:val="00816F45"/>
    <w:rsid w:val="008205E7"/>
    <w:rsid w:val="00822251"/>
    <w:rsid w:val="00822315"/>
    <w:rsid w:val="00825A37"/>
    <w:rsid w:val="008263D5"/>
    <w:rsid w:val="00836575"/>
    <w:rsid w:val="00836F2C"/>
    <w:rsid w:val="008371B4"/>
    <w:rsid w:val="00852B85"/>
    <w:rsid w:val="00853610"/>
    <w:rsid w:val="008554AB"/>
    <w:rsid w:val="008603F3"/>
    <w:rsid w:val="0086052A"/>
    <w:rsid w:val="00861226"/>
    <w:rsid w:val="008614D7"/>
    <w:rsid w:val="00863CC1"/>
    <w:rsid w:val="00864A4C"/>
    <w:rsid w:val="00866BBB"/>
    <w:rsid w:val="008727A7"/>
    <w:rsid w:val="00872AF5"/>
    <w:rsid w:val="00873CF8"/>
    <w:rsid w:val="00875A30"/>
    <w:rsid w:val="00880EDA"/>
    <w:rsid w:val="00881CD8"/>
    <w:rsid w:val="00885B81"/>
    <w:rsid w:val="00892B76"/>
    <w:rsid w:val="008A272F"/>
    <w:rsid w:val="008A3749"/>
    <w:rsid w:val="008B03A2"/>
    <w:rsid w:val="008C010F"/>
    <w:rsid w:val="008C0E6A"/>
    <w:rsid w:val="008C1F3B"/>
    <w:rsid w:val="008C2F4E"/>
    <w:rsid w:val="008C4A4B"/>
    <w:rsid w:val="008C6887"/>
    <w:rsid w:val="008D21FD"/>
    <w:rsid w:val="008D329B"/>
    <w:rsid w:val="008D5DC0"/>
    <w:rsid w:val="008D6748"/>
    <w:rsid w:val="008D6850"/>
    <w:rsid w:val="008D6EBD"/>
    <w:rsid w:val="008E09EE"/>
    <w:rsid w:val="008E11A3"/>
    <w:rsid w:val="008E1721"/>
    <w:rsid w:val="008E389C"/>
    <w:rsid w:val="008E4B29"/>
    <w:rsid w:val="008F71B4"/>
    <w:rsid w:val="00900C96"/>
    <w:rsid w:val="0090783C"/>
    <w:rsid w:val="009107A5"/>
    <w:rsid w:val="00911786"/>
    <w:rsid w:val="009124ED"/>
    <w:rsid w:val="00921811"/>
    <w:rsid w:val="009231B0"/>
    <w:rsid w:val="00925839"/>
    <w:rsid w:val="00932735"/>
    <w:rsid w:val="0093335D"/>
    <w:rsid w:val="00935000"/>
    <w:rsid w:val="00940E36"/>
    <w:rsid w:val="00943D25"/>
    <w:rsid w:val="009453B3"/>
    <w:rsid w:val="00947B56"/>
    <w:rsid w:val="00951A7A"/>
    <w:rsid w:val="0095750C"/>
    <w:rsid w:val="00961D19"/>
    <w:rsid w:val="009645AF"/>
    <w:rsid w:val="00965A26"/>
    <w:rsid w:val="00976F9D"/>
    <w:rsid w:val="00976FD2"/>
    <w:rsid w:val="00980C4E"/>
    <w:rsid w:val="00982A9E"/>
    <w:rsid w:val="00983B03"/>
    <w:rsid w:val="00984D22"/>
    <w:rsid w:val="0099252C"/>
    <w:rsid w:val="009966C5"/>
    <w:rsid w:val="009A0145"/>
    <w:rsid w:val="009A1C9E"/>
    <w:rsid w:val="009A326A"/>
    <w:rsid w:val="009A3A0C"/>
    <w:rsid w:val="009A49B3"/>
    <w:rsid w:val="009A5216"/>
    <w:rsid w:val="009A5F9A"/>
    <w:rsid w:val="009A619B"/>
    <w:rsid w:val="009C45EC"/>
    <w:rsid w:val="009C5E69"/>
    <w:rsid w:val="009C7FE2"/>
    <w:rsid w:val="009D13CF"/>
    <w:rsid w:val="009D4225"/>
    <w:rsid w:val="009D53C9"/>
    <w:rsid w:val="009D6442"/>
    <w:rsid w:val="009F0F56"/>
    <w:rsid w:val="009F463C"/>
    <w:rsid w:val="009F483E"/>
    <w:rsid w:val="009F5E43"/>
    <w:rsid w:val="009F7FCC"/>
    <w:rsid w:val="00A01357"/>
    <w:rsid w:val="00A01E63"/>
    <w:rsid w:val="00A06CE6"/>
    <w:rsid w:val="00A07667"/>
    <w:rsid w:val="00A12CFA"/>
    <w:rsid w:val="00A15AAE"/>
    <w:rsid w:val="00A17CBF"/>
    <w:rsid w:val="00A22A1B"/>
    <w:rsid w:val="00A23E27"/>
    <w:rsid w:val="00A3223D"/>
    <w:rsid w:val="00A330FE"/>
    <w:rsid w:val="00A379DC"/>
    <w:rsid w:val="00A43CE5"/>
    <w:rsid w:val="00A448AC"/>
    <w:rsid w:val="00A46F3A"/>
    <w:rsid w:val="00A52736"/>
    <w:rsid w:val="00A54985"/>
    <w:rsid w:val="00A62499"/>
    <w:rsid w:val="00A6744A"/>
    <w:rsid w:val="00A70C7F"/>
    <w:rsid w:val="00A71B6B"/>
    <w:rsid w:val="00A72260"/>
    <w:rsid w:val="00A72C49"/>
    <w:rsid w:val="00A73E7B"/>
    <w:rsid w:val="00A77A33"/>
    <w:rsid w:val="00A807A7"/>
    <w:rsid w:val="00A831CF"/>
    <w:rsid w:val="00A844C0"/>
    <w:rsid w:val="00A8467E"/>
    <w:rsid w:val="00A917F7"/>
    <w:rsid w:val="00A9433A"/>
    <w:rsid w:val="00A963B2"/>
    <w:rsid w:val="00A96963"/>
    <w:rsid w:val="00A9696A"/>
    <w:rsid w:val="00AA6BA8"/>
    <w:rsid w:val="00AA7AF6"/>
    <w:rsid w:val="00AB07B4"/>
    <w:rsid w:val="00AB32BC"/>
    <w:rsid w:val="00AB3F95"/>
    <w:rsid w:val="00AB729F"/>
    <w:rsid w:val="00AB73A4"/>
    <w:rsid w:val="00AD592E"/>
    <w:rsid w:val="00AE48A1"/>
    <w:rsid w:val="00AE64EC"/>
    <w:rsid w:val="00AF0036"/>
    <w:rsid w:val="00AF6AE0"/>
    <w:rsid w:val="00B13AF2"/>
    <w:rsid w:val="00B221BC"/>
    <w:rsid w:val="00B23914"/>
    <w:rsid w:val="00B23ABD"/>
    <w:rsid w:val="00B27957"/>
    <w:rsid w:val="00B32B41"/>
    <w:rsid w:val="00B32C86"/>
    <w:rsid w:val="00B33875"/>
    <w:rsid w:val="00B415E5"/>
    <w:rsid w:val="00B41CA0"/>
    <w:rsid w:val="00B46FCA"/>
    <w:rsid w:val="00B54A0B"/>
    <w:rsid w:val="00B55900"/>
    <w:rsid w:val="00B55AF3"/>
    <w:rsid w:val="00B60D28"/>
    <w:rsid w:val="00B61CD0"/>
    <w:rsid w:val="00B77319"/>
    <w:rsid w:val="00B80B54"/>
    <w:rsid w:val="00B82C13"/>
    <w:rsid w:val="00B85401"/>
    <w:rsid w:val="00B86433"/>
    <w:rsid w:val="00B86980"/>
    <w:rsid w:val="00B92A2C"/>
    <w:rsid w:val="00B92C3E"/>
    <w:rsid w:val="00B945AC"/>
    <w:rsid w:val="00B94C6A"/>
    <w:rsid w:val="00B953CD"/>
    <w:rsid w:val="00B965F0"/>
    <w:rsid w:val="00B97DA4"/>
    <w:rsid w:val="00BA05E5"/>
    <w:rsid w:val="00BA4D9F"/>
    <w:rsid w:val="00BB0E49"/>
    <w:rsid w:val="00BB3AC3"/>
    <w:rsid w:val="00BB3BB8"/>
    <w:rsid w:val="00BB5AA7"/>
    <w:rsid w:val="00BC5A84"/>
    <w:rsid w:val="00BD363A"/>
    <w:rsid w:val="00BF3C77"/>
    <w:rsid w:val="00BF51EF"/>
    <w:rsid w:val="00C030D1"/>
    <w:rsid w:val="00C103D6"/>
    <w:rsid w:val="00C16EAE"/>
    <w:rsid w:val="00C214E3"/>
    <w:rsid w:val="00C231D4"/>
    <w:rsid w:val="00C26A99"/>
    <w:rsid w:val="00C27F3E"/>
    <w:rsid w:val="00C32551"/>
    <w:rsid w:val="00C35E87"/>
    <w:rsid w:val="00C4069A"/>
    <w:rsid w:val="00C43BC5"/>
    <w:rsid w:val="00C47B28"/>
    <w:rsid w:val="00C4C8F0"/>
    <w:rsid w:val="00C5144C"/>
    <w:rsid w:val="00C5437D"/>
    <w:rsid w:val="00C56660"/>
    <w:rsid w:val="00C63AAD"/>
    <w:rsid w:val="00C65EA1"/>
    <w:rsid w:val="00C6712E"/>
    <w:rsid w:val="00C73B3E"/>
    <w:rsid w:val="00C74BAF"/>
    <w:rsid w:val="00C75500"/>
    <w:rsid w:val="00C924E0"/>
    <w:rsid w:val="00C92E63"/>
    <w:rsid w:val="00C960EE"/>
    <w:rsid w:val="00CA1186"/>
    <w:rsid w:val="00CA3AB2"/>
    <w:rsid w:val="00CA4258"/>
    <w:rsid w:val="00CA4480"/>
    <w:rsid w:val="00CA62C2"/>
    <w:rsid w:val="00CB2441"/>
    <w:rsid w:val="00CB32B4"/>
    <w:rsid w:val="00CC228C"/>
    <w:rsid w:val="00CC25B6"/>
    <w:rsid w:val="00CC35C3"/>
    <w:rsid w:val="00CC40A3"/>
    <w:rsid w:val="00CD452D"/>
    <w:rsid w:val="00CD6C87"/>
    <w:rsid w:val="00CE2658"/>
    <w:rsid w:val="00CF422E"/>
    <w:rsid w:val="00CF679C"/>
    <w:rsid w:val="00D00550"/>
    <w:rsid w:val="00D01526"/>
    <w:rsid w:val="00D034BE"/>
    <w:rsid w:val="00D07601"/>
    <w:rsid w:val="00D10516"/>
    <w:rsid w:val="00D12AC6"/>
    <w:rsid w:val="00D14896"/>
    <w:rsid w:val="00D25A6A"/>
    <w:rsid w:val="00D331D3"/>
    <w:rsid w:val="00D335C2"/>
    <w:rsid w:val="00D33753"/>
    <w:rsid w:val="00D34EDC"/>
    <w:rsid w:val="00D374DE"/>
    <w:rsid w:val="00D47ED4"/>
    <w:rsid w:val="00D47F76"/>
    <w:rsid w:val="00D50E40"/>
    <w:rsid w:val="00D5105F"/>
    <w:rsid w:val="00D550E9"/>
    <w:rsid w:val="00D60A57"/>
    <w:rsid w:val="00D67470"/>
    <w:rsid w:val="00D710D2"/>
    <w:rsid w:val="00D721AF"/>
    <w:rsid w:val="00D7252D"/>
    <w:rsid w:val="00D85A05"/>
    <w:rsid w:val="00D8620E"/>
    <w:rsid w:val="00D9170E"/>
    <w:rsid w:val="00D9389F"/>
    <w:rsid w:val="00DA2707"/>
    <w:rsid w:val="00DA5094"/>
    <w:rsid w:val="00DA62BD"/>
    <w:rsid w:val="00DC0038"/>
    <w:rsid w:val="00DC1877"/>
    <w:rsid w:val="00DD0456"/>
    <w:rsid w:val="00DD1DD2"/>
    <w:rsid w:val="00DD2261"/>
    <w:rsid w:val="00DD6AB1"/>
    <w:rsid w:val="00DD6BFF"/>
    <w:rsid w:val="00DE00F5"/>
    <w:rsid w:val="00DE37DB"/>
    <w:rsid w:val="00DE6B6E"/>
    <w:rsid w:val="00DE7786"/>
    <w:rsid w:val="00DF345C"/>
    <w:rsid w:val="00E04CAD"/>
    <w:rsid w:val="00E05C1C"/>
    <w:rsid w:val="00E13261"/>
    <w:rsid w:val="00E20A6F"/>
    <w:rsid w:val="00E24389"/>
    <w:rsid w:val="00E3156C"/>
    <w:rsid w:val="00E35FBD"/>
    <w:rsid w:val="00E36EBA"/>
    <w:rsid w:val="00E43A14"/>
    <w:rsid w:val="00E52825"/>
    <w:rsid w:val="00E540D7"/>
    <w:rsid w:val="00E55FBC"/>
    <w:rsid w:val="00E64D1F"/>
    <w:rsid w:val="00E73CDD"/>
    <w:rsid w:val="00E82D31"/>
    <w:rsid w:val="00E83DD6"/>
    <w:rsid w:val="00E843D0"/>
    <w:rsid w:val="00E90117"/>
    <w:rsid w:val="00E923F1"/>
    <w:rsid w:val="00EA2678"/>
    <w:rsid w:val="00EA43F5"/>
    <w:rsid w:val="00EA4D3C"/>
    <w:rsid w:val="00EA528F"/>
    <w:rsid w:val="00EA55D1"/>
    <w:rsid w:val="00EB2F5F"/>
    <w:rsid w:val="00EB355A"/>
    <w:rsid w:val="00EB37D2"/>
    <w:rsid w:val="00EC1D15"/>
    <w:rsid w:val="00ED7F99"/>
    <w:rsid w:val="00EE3C55"/>
    <w:rsid w:val="00EE52D9"/>
    <w:rsid w:val="00EE5E74"/>
    <w:rsid w:val="00EE7235"/>
    <w:rsid w:val="00EF16D3"/>
    <w:rsid w:val="00EF3392"/>
    <w:rsid w:val="00F00913"/>
    <w:rsid w:val="00F04466"/>
    <w:rsid w:val="00F05D51"/>
    <w:rsid w:val="00F15894"/>
    <w:rsid w:val="00F20E6F"/>
    <w:rsid w:val="00F3396C"/>
    <w:rsid w:val="00F427CE"/>
    <w:rsid w:val="00F465F5"/>
    <w:rsid w:val="00F52898"/>
    <w:rsid w:val="00F52B99"/>
    <w:rsid w:val="00F53575"/>
    <w:rsid w:val="00F53D7B"/>
    <w:rsid w:val="00F56734"/>
    <w:rsid w:val="00F6287F"/>
    <w:rsid w:val="00F66144"/>
    <w:rsid w:val="00F70EB3"/>
    <w:rsid w:val="00F75512"/>
    <w:rsid w:val="00F82F08"/>
    <w:rsid w:val="00F847FF"/>
    <w:rsid w:val="00F92F09"/>
    <w:rsid w:val="00F93700"/>
    <w:rsid w:val="00F9403D"/>
    <w:rsid w:val="00F9524D"/>
    <w:rsid w:val="00FA150F"/>
    <w:rsid w:val="00FA4229"/>
    <w:rsid w:val="00FA6CEE"/>
    <w:rsid w:val="00FB59FA"/>
    <w:rsid w:val="00FB5B65"/>
    <w:rsid w:val="00FB66AA"/>
    <w:rsid w:val="00FB7337"/>
    <w:rsid w:val="00FB7EE6"/>
    <w:rsid w:val="00FC412E"/>
    <w:rsid w:val="00FD0168"/>
    <w:rsid w:val="00FD5AD5"/>
    <w:rsid w:val="00FE0942"/>
    <w:rsid w:val="00FE0C8A"/>
    <w:rsid w:val="00FE1974"/>
    <w:rsid w:val="00FE7466"/>
    <w:rsid w:val="00FE7721"/>
    <w:rsid w:val="00FE7754"/>
    <w:rsid w:val="00FF705E"/>
    <w:rsid w:val="01840BCD"/>
    <w:rsid w:val="0321733F"/>
    <w:rsid w:val="03782B53"/>
    <w:rsid w:val="03F197D5"/>
    <w:rsid w:val="0516D912"/>
    <w:rsid w:val="059F24A0"/>
    <w:rsid w:val="06A7F937"/>
    <w:rsid w:val="0728F23D"/>
    <w:rsid w:val="0796CF99"/>
    <w:rsid w:val="0974F844"/>
    <w:rsid w:val="0AECB1D8"/>
    <w:rsid w:val="0CAD6A47"/>
    <w:rsid w:val="0CF8BA25"/>
    <w:rsid w:val="0E57AD8D"/>
    <w:rsid w:val="100CE21D"/>
    <w:rsid w:val="11F073CA"/>
    <w:rsid w:val="11FA3CED"/>
    <w:rsid w:val="146AD67A"/>
    <w:rsid w:val="147E5119"/>
    <w:rsid w:val="169D78C7"/>
    <w:rsid w:val="179A3C66"/>
    <w:rsid w:val="17EB940E"/>
    <w:rsid w:val="188440B0"/>
    <w:rsid w:val="19B5A797"/>
    <w:rsid w:val="1B487FFD"/>
    <w:rsid w:val="1B55B9D0"/>
    <w:rsid w:val="1B5BA8EC"/>
    <w:rsid w:val="1C4A29DE"/>
    <w:rsid w:val="1D41BC64"/>
    <w:rsid w:val="1F68B251"/>
    <w:rsid w:val="1F7C1F78"/>
    <w:rsid w:val="20B4FDDF"/>
    <w:rsid w:val="21254D63"/>
    <w:rsid w:val="226B9331"/>
    <w:rsid w:val="22EE3921"/>
    <w:rsid w:val="23450033"/>
    <w:rsid w:val="236E6450"/>
    <w:rsid w:val="2509CED7"/>
    <w:rsid w:val="250FECC3"/>
    <w:rsid w:val="25E1D016"/>
    <w:rsid w:val="28865817"/>
    <w:rsid w:val="297619F8"/>
    <w:rsid w:val="29B4CF12"/>
    <w:rsid w:val="2A014152"/>
    <w:rsid w:val="2A667E86"/>
    <w:rsid w:val="2AA7256D"/>
    <w:rsid w:val="2ABF2D3E"/>
    <w:rsid w:val="2CFB2809"/>
    <w:rsid w:val="2FCF1299"/>
    <w:rsid w:val="2FDDC448"/>
    <w:rsid w:val="3021F3C2"/>
    <w:rsid w:val="3337FB7D"/>
    <w:rsid w:val="344C0C41"/>
    <w:rsid w:val="37C6F34C"/>
    <w:rsid w:val="383373AD"/>
    <w:rsid w:val="3885AAA9"/>
    <w:rsid w:val="3B35F279"/>
    <w:rsid w:val="3D33DB59"/>
    <w:rsid w:val="3F291DF1"/>
    <w:rsid w:val="40CCEC1F"/>
    <w:rsid w:val="411224C1"/>
    <w:rsid w:val="414BA956"/>
    <w:rsid w:val="42C03796"/>
    <w:rsid w:val="4315E80A"/>
    <w:rsid w:val="43D8F630"/>
    <w:rsid w:val="445D2A3D"/>
    <w:rsid w:val="4497B670"/>
    <w:rsid w:val="44AD43FD"/>
    <w:rsid w:val="44FBD2FD"/>
    <w:rsid w:val="45637152"/>
    <w:rsid w:val="4649E5B8"/>
    <w:rsid w:val="466E8C0D"/>
    <w:rsid w:val="47B8AC6B"/>
    <w:rsid w:val="4846971D"/>
    <w:rsid w:val="49E3A422"/>
    <w:rsid w:val="4A8BE531"/>
    <w:rsid w:val="4AC8F089"/>
    <w:rsid w:val="4C30B609"/>
    <w:rsid w:val="4CDB1806"/>
    <w:rsid w:val="4DEBBC75"/>
    <w:rsid w:val="4E9A539B"/>
    <w:rsid w:val="4F354B3E"/>
    <w:rsid w:val="513C129B"/>
    <w:rsid w:val="51582DDE"/>
    <w:rsid w:val="52EAEE30"/>
    <w:rsid w:val="54110E29"/>
    <w:rsid w:val="5530F6EE"/>
    <w:rsid w:val="59CC4EF2"/>
    <w:rsid w:val="5A357E92"/>
    <w:rsid w:val="5C65CCD2"/>
    <w:rsid w:val="5CEDF169"/>
    <w:rsid w:val="5DD18CD7"/>
    <w:rsid w:val="5E6431F0"/>
    <w:rsid w:val="5E6A3D3A"/>
    <w:rsid w:val="5F271213"/>
    <w:rsid w:val="5F3A97AD"/>
    <w:rsid w:val="63293A37"/>
    <w:rsid w:val="63A16E35"/>
    <w:rsid w:val="646F6DDB"/>
    <w:rsid w:val="666B3F64"/>
    <w:rsid w:val="66ABEB4D"/>
    <w:rsid w:val="678AB369"/>
    <w:rsid w:val="67E96434"/>
    <w:rsid w:val="69DC7E9D"/>
    <w:rsid w:val="6A2ECC54"/>
    <w:rsid w:val="6C719D78"/>
    <w:rsid w:val="6C791B29"/>
    <w:rsid w:val="6C82C6A7"/>
    <w:rsid w:val="6D1CA0A5"/>
    <w:rsid w:val="6DD4EAC3"/>
    <w:rsid w:val="6FA9DD26"/>
    <w:rsid w:val="70026C46"/>
    <w:rsid w:val="73C4B293"/>
    <w:rsid w:val="75193A35"/>
    <w:rsid w:val="77BE5726"/>
    <w:rsid w:val="7A227DE2"/>
    <w:rsid w:val="7C65DFA2"/>
    <w:rsid w:val="7DF5145F"/>
    <w:rsid w:val="7E65EF85"/>
    <w:rsid w:val="7E8AE1F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6300A"/>
  <w15:chartTrackingRefBased/>
  <w15:docId w15:val="{382B39A0-7806-4007-AE39-D8BD52A3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DC"/>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E36"/>
    <w:pPr>
      <w:tabs>
        <w:tab w:val="center" w:pos="4513"/>
        <w:tab w:val="right" w:pos="9026"/>
      </w:tabs>
    </w:pPr>
  </w:style>
  <w:style w:type="character" w:customStyle="1" w:styleId="HeaderChar">
    <w:name w:val="Header Char"/>
    <w:basedOn w:val="DefaultParagraphFont"/>
    <w:link w:val="Header"/>
    <w:uiPriority w:val="99"/>
    <w:rsid w:val="005E1E36"/>
    <w:rPr>
      <w:sz w:val="24"/>
      <w:szCs w:val="24"/>
      <w:lang w:val="en-US"/>
    </w:rPr>
  </w:style>
  <w:style w:type="paragraph" w:styleId="Footer">
    <w:name w:val="footer"/>
    <w:basedOn w:val="Normal"/>
    <w:link w:val="FooterChar"/>
    <w:uiPriority w:val="99"/>
    <w:unhideWhenUsed/>
    <w:rsid w:val="005E1E36"/>
    <w:pPr>
      <w:tabs>
        <w:tab w:val="center" w:pos="4513"/>
        <w:tab w:val="right" w:pos="9026"/>
      </w:tabs>
    </w:pPr>
  </w:style>
  <w:style w:type="character" w:customStyle="1" w:styleId="FooterChar">
    <w:name w:val="Footer Char"/>
    <w:basedOn w:val="DefaultParagraphFont"/>
    <w:link w:val="Footer"/>
    <w:uiPriority w:val="99"/>
    <w:rsid w:val="005E1E36"/>
    <w:rPr>
      <w:sz w:val="24"/>
      <w:szCs w:val="24"/>
      <w:lang w:val="en-US"/>
    </w:rPr>
  </w:style>
  <w:style w:type="character" w:styleId="PageNumber">
    <w:name w:val="page number"/>
    <w:basedOn w:val="DefaultParagraphFont"/>
    <w:uiPriority w:val="99"/>
    <w:semiHidden/>
    <w:unhideWhenUsed/>
    <w:rsid w:val="005E1E36"/>
  </w:style>
  <w:style w:type="character" w:styleId="Strong">
    <w:name w:val="Strong"/>
    <w:basedOn w:val="DefaultParagraphFont"/>
    <w:uiPriority w:val="22"/>
    <w:qFormat/>
    <w:rsid w:val="005E1E36"/>
    <w:rPr>
      <w:b/>
      <w:bCs/>
    </w:rPr>
  </w:style>
  <w:style w:type="paragraph" w:styleId="ListParagraph">
    <w:name w:val="List Paragraph"/>
    <w:basedOn w:val="Normal"/>
    <w:uiPriority w:val="34"/>
    <w:qFormat/>
    <w:rsid w:val="005E1E36"/>
    <w:pPr>
      <w:ind w:left="720"/>
      <w:contextualSpacing/>
    </w:pPr>
  </w:style>
  <w:style w:type="character" w:styleId="Hyperlink">
    <w:name w:val="Hyperlink"/>
    <w:basedOn w:val="DefaultParagraphFont"/>
    <w:uiPriority w:val="99"/>
    <w:unhideWhenUsed/>
    <w:rsid w:val="005E1E36"/>
    <w:rPr>
      <w:color w:val="0000FF"/>
      <w:u w:val="single"/>
    </w:rPr>
  </w:style>
  <w:style w:type="character" w:styleId="CommentReference">
    <w:name w:val="annotation reference"/>
    <w:basedOn w:val="DefaultParagraphFont"/>
    <w:uiPriority w:val="99"/>
    <w:semiHidden/>
    <w:unhideWhenUsed/>
    <w:rsid w:val="005E1E36"/>
    <w:rPr>
      <w:sz w:val="16"/>
      <w:szCs w:val="16"/>
    </w:rPr>
  </w:style>
  <w:style w:type="paragraph" w:styleId="CommentText">
    <w:name w:val="annotation text"/>
    <w:basedOn w:val="Normal"/>
    <w:link w:val="CommentTextChar"/>
    <w:uiPriority w:val="99"/>
    <w:unhideWhenUsed/>
    <w:rsid w:val="005E1E36"/>
    <w:rPr>
      <w:sz w:val="20"/>
      <w:szCs w:val="20"/>
    </w:rPr>
  </w:style>
  <w:style w:type="character" w:customStyle="1" w:styleId="CommentTextChar">
    <w:name w:val="Comment Text Char"/>
    <w:basedOn w:val="DefaultParagraphFont"/>
    <w:link w:val="CommentText"/>
    <w:uiPriority w:val="99"/>
    <w:rsid w:val="005E1E36"/>
    <w:rPr>
      <w:sz w:val="20"/>
      <w:szCs w:val="20"/>
      <w:lang w:val="en-US"/>
    </w:rPr>
  </w:style>
  <w:style w:type="paragraph" w:styleId="FootnoteText">
    <w:name w:val="footnote text"/>
    <w:basedOn w:val="Normal"/>
    <w:link w:val="FootnoteTextChar"/>
    <w:uiPriority w:val="99"/>
    <w:semiHidden/>
    <w:unhideWhenUsed/>
    <w:rsid w:val="005E1E36"/>
    <w:rPr>
      <w:sz w:val="20"/>
      <w:szCs w:val="20"/>
    </w:rPr>
  </w:style>
  <w:style w:type="character" w:customStyle="1" w:styleId="FootnoteTextChar">
    <w:name w:val="Footnote Text Char"/>
    <w:basedOn w:val="DefaultParagraphFont"/>
    <w:link w:val="FootnoteText"/>
    <w:uiPriority w:val="99"/>
    <w:semiHidden/>
    <w:rsid w:val="005E1E36"/>
    <w:rPr>
      <w:sz w:val="20"/>
      <w:szCs w:val="20"/>
      <w:lang w:val="en-US"/>
    </w:rPr>
  </w:style>
  <w:style w:type="character" w:styleId="FootnoteReference">
    <w:name w:val="footnote reference"/>
    <w:basedOn w:val="DefaultParagraphFont"/>
    <w:uiPriority w:val="99"/>
    <w:semiHidden/>
    <w:unhideWhenUsed/>
    <w:rsid w:val="005E1E36"/>
    <w:rPr>
      <w:vertAlign w:val="superscript"/>
    </w:rPr>
  </w:style>
  <w:style w:type="character" w:styleId="FollowedHyperlink">
    <w:name w:val="FollowedHyperlink"/>
    <w:basedOn w:val="DefaultParagraphFont"/>
    <w:uiPriority w:val="99"/>
    <w:semiHidden/>
    <w:unhideWhenUsed/>
    <w:rsid w:val="005E1E36"/>
    <w:rPr>
      <w:color w:val="954F72" w:themeColor="followedHyperlink"/>
      <w:u w:val="single"/>
    </w:rPr>
  </w:style>
  <w:style w:type="paragraph" w:styleId="NormalWeb">
    <w:name w:val="Normal (Web)"/>
    <w:basedOn w:val="Normal"/>
    <w:uiPriority w:val="99"/>
    <w:unhideWhenUsed/>
    <w:rsid w:val="005E1E36"/>
    <w:pPr>
      <w:spacing w:before="100" w:beforeAutospacing="1" w:after="100" w:afterAutospacing="1"/>
    </w:pPr>
    <w:rPr>
      <w:rFonts w:ascii="Times New Roman" w:eastAsiaTheme="minorEastAsia" w:hAnsi="Times New Roman" w:cs="Times New Roman"/>
      <w:lang w:eastAsia="en-GB"/>
    </w:rPr>
  </w:style>
  <w:style w:type="character" w:styleId="UnresolvedMention">
    <w:name w:val="Unresolved Mention"/>
    <w:basedOn w:val="DefaultParagraphFont"/>
    <w:uiPriority w:val="99"/>
    <w:semiHidden/>
    <w:unhideWhenUsed/>
    <w:rsid w:val="00BD363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4044E"/>
    <w:rPr>
      <w:b/>
      <w:bCs/>
    </w:rPr>
  </w:style>
  <w:style w:type="character" w:customStyle="1" w:styleId="CommentSubjectChar">
    <w:name w:val="Comment Subject Char"/>
    <w:basedOn w:val="CommentTextChar"/>
    <w:link w:val="CommentSubject"/>
    <w:uiPriority w:val="99"/>
    <w:semiHidden/>
    <w:rsid w:val="0004044E"/>
    <w:rPr>
      <w:b/>
      <w:bCs/>
      <w:sz w:val="20"/>
      <w:szCs w:val="20"/>
      <w:lang w:val="en-US"/>
    </w:rPr>
  </w:style>
  <w:style w:type="character" w:styleId="Emphasis">
    <w:name w:val="Emphasis"/>
    <w:basedOn w:val="DefaultParagraphFont"/>
    <w:uiPriority w:val="20"/>
    <w:qFormat/>
    <w:rsid w:val="0071299A"/>
    <w:rPr>
      <w:i/>
      <w:iCs/>
    </w:rPr>
  </w:style>
  <w:style w:type="character" w:customStyle="1" w:styleId="citation-1">
    <w:name w:val="citation-1"/>
    <w:basedOn w:val="DefaultParagraphFont"/>
    <w:rsid w:val="008E09EE"/>
  </w:style>
  <w:style w:type="paragraph" w:styleId="Revision">
    <w:name w:val="Revision"/>
    <w:hidden/>
    <w:uiPriority w:val="99"/>
    <w:semiHidden/>
    <w:rsid w:val="00A807A7"/>
    <w:pPr>
      <w:spacing w:after="0" w:line="240" w:lineRule="auto"/>
    </w:pPr>
    <w:rPr>
      <w:sz w:val="24"/>
      <w:szCs w:val="24"/>
      <w:lang w:val="en-US"/>
    </w:rPr>
  </w:style>
  <w:style w:type="character" w:customStyle="1" w:styleId="cf01">
    <w:name w:val="cf01"/>
    <w:basedOn w:val="DefaultParagraphFont"/>
    <w:rsid w:val="00983B03"/>
    <w:rPr>
      <w:rFonts w:ascii="Segoe UI" w:hAnsi="Segoe UI" w:cs="Segoe UI" w:hint="default"/>
      <w:sz w:val="18"/>
      <w:szCs w:val="18"/>
    </w:rPr>
  </w:style>
  <w:style w:type="paragraph" w:customStyle="1" w:styleId="pf0">
    <w:name w:val="pf0"/>
    <w:basedOn w:val="Normal"/>
    <w:rsid w:val="00983B03"/>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C56660"/>
    <w:pPr>
      <w:spacing w:after="200"/>
      <w:ind w:left="-567"/>
      <w:jc w:val="both"/>
    </w:pPr>
    <w:rPr>
      <w:rFonts w:ascii="Trebuchet MS" w:hAnsi="Trebuchet MS"/>
      <w:color w:val="4A4A4A"/>
      <w:sz w:val="18"/>
      <w:szCs w:val="18"/>
    </w:rPr>
  </w:style>
  <w:style w:type="paragraph" w:customStyle="1" w:styleId="H1">
    <w:name w:val="H1"/>
    <w:basedOn w:val="Normal"/>
    <w:qFormat/>
    <w:rsid w:val="003413AF"/>
    <w:pPr>
      <w:spacing w:before="120" w:after="120" w:line="276" w:lineRule="auto"/>
      <w:ind w:left="-567" w:right="-279"/>
      <w:jc w:val="both"/>
    </w:pPr>
    <w:rPr>
      <w:rFonts w:ascii="Trebuchet MS" w:hAnsi="Trebuchet MS"/>
      <w:b/>
      <w:bCs/>
      <w:color w:val="027F02"/>
      <w:sz w:val="40"/>
      <w:szCs w:val="40"/>
    </w:rPr>
  </w:style>
  <w:style w:type="paragraph" w:customStyle="1" w:styleId="Para">
    <w:name w:val="Para"/>
    <w:basedOn w:val="Normal"/>
    <w:qFormat/>
    <w:rsid w:val="003413AF"/>
    <w:pPr>
      <w:spacing w:before="120" w:after="120" w:line="276" w:lineRule="auto"/>
      <w:ind w:left="-567" w:right="-279"/>
      <w:jc w:val="both"/>
    </w:pPr>
    <w:rPr>
      <w:rFonts w:ascii="Trebuchet MS" w:eastAsia="Times New Roman" w:hAnsi="Trebuchet MS" w:cs="Times New Roman"/>
      <w:color w:val="4A4A4A"/>
      <w:sz w:val="22"/>
      <w:szCs w:val="22"/>
      <w:lang w:eastAsia="en-IN"/>
    </w:rPr>
  </w:style>
  <w:style w:type="paragraph" w:customStyle="1" w:styleId="paragraph">
    <w:name w:val="paragraph"/>
    <w:basedOn w:val="Normal"/>
    <w:rsid w:val="009D4225"/>
    <w:pPr>
      <w:spacing w:before="120" w:after="120" w:line="276" w:lineRule="auto"/>
      <w:ind w:left="-573" w:right="-278"/>
      <w:jc w:val="both"/>
      <w:textAlignment w:val="baseline"/>
    </w:pPr>
    <w:rPr>
      <w:rFonts w:ascii="Trebuchet MS" w:hAnsi="Trebuchet MS"/>
      <w:color w:val="595959" w:themeColor="text1"/>
      <w:sz w:val="22"/>
      <w:szCs w:val="22"/>
      <w:lang w:val="en-GB"/>
    </w:rPr>
  </w:style>
  <w:style w:type="character" w:customStyle="1" w:styleId="eop">
    <w:name w:val="eop"/>
    <w:basedOn w:val="DefaultParagraphFont"/>
    <w:rsid w:val="00DF345C"/>
  </w:style>
  <w:style w:type="paragraph" w:customStyle="1" w:styleId="H2">
    <w:name w:val="H2"/>
    <w:basedOn w:val="paragraph"/>
    <w:qFormat/>
    <w:rsid w:val="00984D22"/>
    <w:pPr>
      <w:spacing w:before="24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89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gf.org"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ublicfinance@ngf.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MSC Colors">
      <a:dk1>
        <a:srgbClr val="595959"/>
      </a:dk1>
      <a:lt1>
        <a:srgbClr val="FFFFFF"/>
      </a:lt1>
      <a:dk2>
        <a:srgbClr val="284181"/>
      </a:dk2>
      <a:lt2>
        <a:srgbClr val="E7E6E6"/>
      </a:lt2>
      <a:accent1>
        <a:srgbClr val="284181"/>
      </a:accent1>
      <a:accent2>
        <a:srgbClr val="00BFDF"/>
      </a:accent2>
      <a:accent3>
        <a:srgbClr val="F79333"/>
      </a:accent3>
      <a:accent4>
        <a:srgbClr val="58595B"/>
      </a:accent4>
      <a:accent5>
        <a:srgbClr val="4668C5"/>
      </a:accent5>
      <a:accent6>
        <a:srgbClr val="6DCFF6"/>
      </a:accent6>
      <a:hlink>
        <a:srgbClr val="28418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C3B0F-8A2D-4C98-8749-C4C4E118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842</Words>
  <Characters>5129</Characters>
  <Application>Microsoft Office Word</Application>
  <DocSecurity>0</DocSecurity>
  <Lines>100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Links>
    <vt:vector size="180" baseType="variant">
      <vt:variant>
        <vt:i4>2818155</vt:i4>
      </vt:variant>
      <vt:variant>
        <vt:i4>90</vt:i4>
      </vt:variant>
      <vt:variant>
        <vt:i4>0</vt:i4>
      </vt:variant>
      <vt:variant>
        <vt:i4>5</vt:i4>
      </vt:variant>
      <vt:variant>
        <vt:lpwstr>http://www.ngf.org/</vt:lpwstr>
      </vt:variant>
      <vt:variant>
        <vt:lpwstr/>
      </vt:variant>
      <vt:variant>
        <vt:i4>1703968</vt:i4>
      </vt:variant>
      <vt:variant>
        <vt:i4>87</vt:i4>
      </vt:variant>
      <vt:variant>
        <vt:i4>0</vt:i4>
      </vt:variant>
      <vt:variant>
        <vt:i4>5</vt:i4>
      </vt:variant>
      <vt:variant>
        <vt:lpwstr>mailto:publicfinance@ngf.org</vt:lpwstr>
      </vt:variant>
      <vt:variant>
        <vt:lpwstr/>
      </vt:variant>
      <vt:variant>
        <vt:i4>6881333</vt:i4>
      </vt:variant>
      <vt:variant>
        <vt:i4>84</vt:i4>
      </vt:variant>
      <vt:variant>
        <vt:i4>0</vt:i4>
      </vt:variant>
      <vt:variant>
        <vt:i4>5</vt:i4>
      </vt:variant>
      <vt:variant>
        <vt:lpwstr>https://ngfrepository.org.ng:8443/handle/123456789/7104</vt:lpwstr>
      </vt:variant>
      <vt:variant>
        <vt:lpwstr/>
      </vt:variant>
      <vt:variant>
        <vt:i4>7602288</vt:i4>
      </vt:variant>
      <vt:variant>
        <vt:i4>81</vt:i4>
      </vt:variant>
      <vt:variant>
        <vt:i4>0</vt:i4>
      </vt:variant>
      <vt:variant>
        <vt:i4>5</vt:i4>
      </vt:variant>
      <vt:variant>
        <vt:lpwstr>https://www.microsave.net/2024/04/15/smart-payments-the-future-of-government-digital-payments-in-india/</vt:lpwstr>
      </vt:variant>
      <vt:variant>
        <vt:lpwstr/>
      </vt:variant>
      <vt:variant>
        <vt:i4>6881333</vt:i4>
      </vt:variant>
      <vt:variant>
        <vt:i4>78</vt:i4>
      </vt:variant>
      <vt:variant>
        <vt:i4>0</vt:i4>
      </vt:variant>
      <vt:variant>
        <vt:i4>5</vt:i4>
      </vt:variant>
      <vt:variant>
        <vt:lpwstr>https://ngfrepository.org.ng:8443/handle/123456789/7106</vt:lpwstr>
      </vt:variant>
      <vt:variant>
        <vt:lpwstr/>
      </vt:variant>
      <vt:variant>
        <vt:i4>3276863</vt:i4>
      </vt:variant>
      <vt:variant>
        <vt:i4>75</vt:i4>
      </vt:variant>
      <vt:variant>
        <vt:i4>0</vt:i4>
      </vt:variant>
      <vt:variant>
        <vt:i4>5</vt:i4>
      </vt:variant>
      <vt:variant>
        <vt:lpwstr>https://www.microsave.net/</vt:lpwstr>
      </vt:variant>
      <vt:variant>
        <vt:lpwstr/>
      </vt:variant>
      <vt:variant>
        <vt:i4>6553717</vt:i4>
      </vt:variant>
      <vt:variant>
        <vt:i4>72</vt:i4>
      </vt:variant>
      <vt:variant>
        <vt:i4>0</vt:i4>
      </vt:variant>
      <vt:variant>
        <vt:i4>5</vt:i4>
      </vt:variant>
      <vt:variant>
        <vt:lpwstr>https://nggovernorsforum.org/index.php</vt:lpwstr>
      </vt:variant>
      <vt:variant>
        <vt:lpwstr/>
      </vt:variant>
      <vt:variant>
        <vt:i4>4128878</vt:i4>
      </vt:variant>
      <vt:variant>
        <vt:i4>69</vt:i4>
      </vt:variant>
      <vt:variant>
        <vt:i4>0</vt:i4>
      </vt:variant>
      <vt:variant>
        <vt:i4>5</vt:i4>
      </vt:variant>
      <vt:variant>
        <vt:lpwstr>https://www.youtube.com/watch?v=2eIzRQMTeZ0</vt:lpwstr>
      </vt:variant>
      <vt:variant>
        <vt:lpwstr/>
      </vt:variant>
      <vt:variant>
        <vt:i4>720920</vt:i4>
      </vt:variant>
      <vt:variant>
        <vt:i4>66</vt:i4>
      </vt:variant>
      <vt:variant>
        <vt:i4>0</vt:i4>
      </vt:variant>
      <vt:variant>
        <vt:i4>5</vt:i4>
      </vt:variant>
      <vt:variant>
        <vt:lpwstr>https://fiscalreforms.ng/wp-content/uploads/2024/12/HB.-1758-The-Joint-Revenue-Board-Establishment-Bill-2024.pdf</vt:lpwstr>
      </vt:variant>
      <vt:variant>
        <vt:lpwstr/>
      </vt:variant>
      <vt:variant>
        <vt:i4>196625</vt:i4>
      </vt:variant>
      <vt:variant>
        <vt:i4>63</vt:i4>
      </vt:variant>
      <vt:variant>
        <vt:i4>0</vt:i4>
      </vt:variant>
      <vt:variant>
        <vt:i4>5</vt:i4>
      </vt:variant>
      <vt:variant>
        <vt:lpwstr>https://fiscalreforms.ng/wp-content/uploads/2024/12/HB.-1757-The-Nigeria-Revenue-Service-Establishment-Bill-2024.pdf</vt:lpwstr>
      </vt:variant>
      <vt:variant>
        <vt:lpwstr/>
      </vt:variant>
      <vt:variant>
        <vt:i4>4456469</vt:i4>
      </vt:variant>
      <vt:variant>
        <vt:i4>60</vt:i4>
      </vt:variant>
      <vt:variant>
        <vt:i4>0</vt:i4>
      </vt:variant>
      <vt:variant>
        <vt:i4>5</vt:i4>
      </vt:variant>
      <vt:variant>
        <vt:lpwstr>https://fiscalreforms.ng/wp-content/uploads/2024/12/HB.-1756-The-Nigeria-Tax-Administration-Bill-2024.pdf</vt:lpwstr>
      </vt:variant>
      <vt:variant>
        <vt:lpwstr/>
      </vt:variant>
      <vt:variant>
        <vt:i4>6291579</vt:i4>
      </vt:variant>
      <vt:variant>
        <vt:i4>57</vt:i4>
      </vt:variant>
      <vt:variant>
        <vt:i4>0</vt:i4>
      </vt:variant>
      <vt:variant>
        <vt:i4>5</vt:i4>
      </vt:variant>
      <vt:variant>
        <vt:lpwstr>https://fiscalreforms.ng/wp-content/uploads/2024/12/HB.-1759-The-Nigeria-Tax-Bill-2024.pdf</vt:lpwstr>
      </vt:variant>
      <vt:variant>
        <vt:lpwstr/>
      </vt:variant>
      <vt:variant>
        <vt:i4>5177413</vt:i4>
      </vt:variant>
      <vt:variant>
        <vt:i4>54</vt:i4>
      </vt:variant>
      <vt:variant>
        <vt:i4>0</vt:i4>
      </vt:variant>
      <vt:variant>
        <vt:i4>5</vt:i4>
      </vt:variant>
      <vt:variant>
        <vt:lpwstr>https://statehouse.gov.ng/news/president-tinubu-sets-up-committee-on-tax-reforms/</vt:lpwstr>
      </vt:variant>
      <vt:variant>
        <vt:lpwstr>:~:text=In%20consonance%20with%20his%20promise,Fiscal%20Policy%20and%20Tax%20Reforms.</vt:lpwstr>
      </vt:variant>
      <vt:variant>
        <vt:i4>7667770</vt:i4>
      </vt:variant>
      <vt:variant>
        <vt:i4>51</vt:i4>
      </vt:variant>
      <vt:variant>
        <vt:i4>0</vt:i4>
      </vt:variant>
      <vt:variant>
        <vt:i4>5</vt:i4>
      </vt:variant>
      <vt:variant>
        <vt:lpwstr>https://www.cnbcafrica.com/media/6337560265112/innovating-nigerias-tax-systems/</vt:lpwstr>
      </vt:variant>
      <vt:variant>
        <vt:lpwstr>:~:text=Nigeria%20aims%20to%20increase%20tax,tools%20like%20BVN%20and%20NIN.</vt:lpwstr>
      </vt:variant>
      <vt:variant>
        <vt:i4>4390924</vt:i4>
      </vt:variant>
      <vt:variant>
        <vt:i4>48</vt:i4>
      </vt:variant>
      <vt:variant>
        <vt:i4>0</vt:i4>
      </vt:variant>
      <vt:variant>
        <vt:i4>5</vt:i4>
      </vt:variant>
      <vt:variant>
        <vt:lpwstr>https://www.ilo.org/media/67751/download</vt:lpwstr>
      </vt:variant>
      <vt:variant>
        <vt:lpwstr>:~:text=3%20Roughly%2050%25%20of%20informal,social%20wellbeing%20of%20its%20population%2C</vt:lpwstr>
      </vt:variant>
      <vt:variant>
        <vt:i4>75</vt:i4>
      </vt:variant>
      <vt:variant>
        <vt:i4>45</vt:i4>
      </vt:variant>
      <vt:variant>
        <vt:i4>0</vt:i4>
      </vt:variant>
      <vt:variant>
        <vt:i4>5</vt:i4>
      </vt:variant>
      <vt:variant>
        <vt:lpwstr>https://www.globalvatcompliance.com/globalvatnews/world-countries-vat-rates-2020/</vt:lpwstr>
      </vt:variant>
      <vt:variant>
        <vt:lpwstr/>
      </vt:variant>
      <vt:variant>
        <vt:i4>6422615</vt:i4>
      </vt:variant>
      <vt:variant>
        <vt:i4>42</vt:i4>
      </vt:variant>
      <vt:variant>
        <vt:i4>0</vt:i4>
      </vt:variant>
      <vt:variant>
        <vt:i4>5</vt:i4>
      </vt:variant>
      <vt:variant>
        <vt:lpwstr>https://dailypost.ng/2024/09/09/vat-remains-7-5-in-nigeria-finance-minister-edun/?utm_source=chatgpt.com</vt:lpwstr>
      </vt:variant>
      <vt:variant>
        <vt:lpwstr/>
      </vt:variant>
      <vt:variant>
        <vt:i4>3342454</vt:i4>
      </vt:variant>
      <vt:variant>
        <vt:i4>39</vt:i4>
      </vt:variant>
      <vt:variant>
        <vt:i4>0</vt:i4>
      </vt:variant>
      <vt:variant>
        <vt:i4>5</vt:i4>
      </vt:variant>
      <vt:variant>
        <vt:lpwstr>https://intelpoint.co/insights/nigerias-tax-to-gdp-ratio-has-consistently-lagged-behind-compared-to-regional-averages/</vt:lpwstr>
      </vt:variant>
      <vt:variant>
        <vt:lpwstr/>
      </vt:variant>
      <vt:variant>
        <vt:i4>3014717</vt:i4>
      </vt:variant>
      <vt:variant>
        <vt:i4>36</vt:i4>
      </vt:variant>
      <vt:variant>
        <vt:i4>0</vt:i4>
      </vt:variant>
      <vt:variant>
        <vt:i4>5</vt:i4>
      </vt:variant>
      <vt:variant>
        <vt:lpwstr>https://www.elibrary.imf.org/view/journals/018/2023/019/article-A001-en.xml</vt:lpwstr>
      </vt:variant>
      <vt:variant>
        <vt:lpwstr/>
      </vt:variant>
      <vt:variant>
        <vt:i4>3014699</vt:i4>
      </vt:variant>
      <vt:variant>
        <vt:i4>33</vt:i4>
      </vt:variant>
      <vt:variant>
        <vt:i4>0</vt:i4>
      </vt:variant>
      <vt:variant>
        <vt:i4>5</vt:i4>
      </vt:variant>
      <vt:variant>
        <vt:lpwstr>https://ngfrepository.org.ng:8443/bitstream/123456789/2776/1/final EDITED VERSION OF NIIMP - 12th Jan. 2021.pdf</vt:lpwstr>
      </vt:variant>
      <vt:variant>
        <vt:lpwstr/>
      </vt:variant>
      <vt:variant>
        <vt:i4>2555997</vt:i4>
      </vt:variant>
      <vt:variant>
        <vt:i4>30</vt:i4>
      </vt:variant>
      <vt:variant>
        <vt:i4>0</vt:i4>
      </vt:variant>
      <vt:variant>
        <vt:i4>5</vt:i4>
      </vt:variant>
      <vt:variant>
        <vt:lpwstr>https://blogs.worldbank.org/en/governance/getting-15-percent-addressing-largest-tax-gaps?utm_source=chatgpt.com</vt:lpwstr>
      </vt:variant>
      <vt:variant>
        <vt:lpwstr/>
      </vt:variant>
      <vt:variant>
        <vt:i4>2818159</vt:i4>
      </vt:variant>
      <vt:variant>
        <vt:i4>27</vt:i4>
      </vt:variant>
      <vt:variant>
        <vt:i4>0</vt:i4>
      </vt:variant>
      <vt:variant>
        <vt:i4>5</vt:i4>
      </vt:variant>
      <vt:variant>
        <vt:lpwstr>https://www.oecd.org/content/dam/oecd/en/topics/policy-sub-issues/global-tax-revenues/revenue-statistics-africa-nigeria.pdf</vt:lpwstr>
      </vt:variant>
      <vt:variant>
        <vt:lpwstr>:~:text=Over%20the%20same%20period%2C%20the%20tax%2Dto%2DGDP%20ratio,0.4%20percentage%20points%2C%20from%208.3%%20to%207.9%.&amp;text=Nigeria's%20tax%2Dto%2DGDP%20ratio%20in%202022%20(7.9%)%20was,in%202024%20(16.0%)%20by%208.1%20percentage%20points.</vt:lpwstr>
      </vt:variant>
      <vt:variant>
        <vt:i4>3014717</vt:i4>
      </vt:variant>
      <vt:variant>
        <vt:i4>24</vt:i4>
      </vt:variant>
      <vt:variant>
        <vt:i4>0</vt:i4>
      </vt:variant>
      <vt:variant>
        <vt:i4>5</vt:i4>
      </vt:variant>
      <vt:variant>
        <vt:lpwstr>https://www.elibrary.imf.org/view/journals/018/2023/019/article-A001-en.xml</vt:lpwstr>
      </vt:variant>
      <vt:variant>
        <vt:lpwstr/>
      </vt:variant>
      <vt:variant>
        <vt:i4>8192052</vt:i4>
      </vt:variant>
      <vt:variant>
        <vt:i4>18</vt:i4>
      </vt:variant>
      <vt:variant>
        <vt:i4>0</vt:i4>
      </vt:variant>
      <vt:variant>
        <vt:i4>5</vt:i4>
      </vt:variant>
      <vt:variant>
        <vt:lpwstr>https://publicadministration.un.org/egovkb/en-us/About/Overview/-E-Government-Development-Index</vt:lpwstr>
      </vt:variant>
      <vt:variant>
        <vt:lpwstr/>
      </vt:variant>
      <vt:variant>
        <vt:i4>3538987</vt:i4>
      </vt:variant>
      <vt:variant>
        <vt:i4>15</vt:i4>
      </vt:variant>
      <vt:variant>
        <vt:i4>0</vt:i4>
      </vt:variant>
      <vt:variant>
        <vt:i4>5</vt:i4>
      </vt:variant>
      <vt:variant>
        <vt:lpwstr>https://worldpopulationreview.com/countries/nigeria</vt:lpwstr>
      </vt:variant>
      <vt:variant>
        <vt:lpwstr/>
      </vt:variant>
      <vt:variant>
        <vt:i4>3538987</vt:i4>
      </vt:variant>
      <vt:variant>
        <vt:i4>12</vt:i4>
      </vt:variant>
      <vt:variant>
        <vt:i4>0</vt:i4>
      </vt:variant>
      <vt:variant>
        <vt:i4>5</vt:i4>
      </vt:variant>
      <vt:variant>
        <vt:lpwstr>https://worldpopulationreview.com/countries/nigeria</vt:lpwstr>
      </vt:variant>
      <vt:variant>
        <vt:lpwstr/>
      </vt:variant>
      <vt:variant>
        <vt:i4>7929970</vt:i4>
      </vt:variant>
      <vt:variant>
        <vt:i4>9</vt:i4>
      </vt:variant>
      <vt:variant>
        <vt:i4>0</vt:i4>
      </vt:variant>
      <vt:variant>
        <vt:i4>5</vt:i4>
      </vt:variant>
      <vt:variant>
        <vt:lpwstr>https://www.worldbank.org/en/news/feature/2022/11/21/nigeria-needs-to-spend-more-and-better</vt:lpwstr>
      </vt:variant>
      <vt:variant>
        <vt:lpwstr/>
      </vt:variant>
      <vt:variant>
        <vt:i4>5898259</vt:i4>
      </vt:variant>
      <vt:variant>
        <vt:i4>6</vt:i4>
      </vt:variant>
      <vt:variant>
        <vt:i4>0</vt:i4>
      </vt:variant>
      <vt:variant>
        <vt:i4>5</vt:i4>
      </vt:variant>
      <vt:variant>
        <vt:lpwstr>https://www.imf.org/external/datamapper/GGX_GDP@AFRREO/SSA/OEXP/OIMP</vt:lpwstr>
      </vt:variant>
      <vt:variant>
        <vt:lpwstr/>
      </vt:variant>
      <vt:variant>
        <vt:i4>5898259</vt:i4>
      </vt:variant>
      <vt:variant>
        <vt:i4>3</vt:i4>
      </vt:variant>
      <vt:variant>
        <vt:i4>0</vt:i4>
      </vt:variant>
      <vt:variant>
        <vt:i4>5</vt:i4>
      </vt:variant>
      <vt:variant>
        <vt:lpwstr>https://www.imf.org/external/datamapper/GGX_GDP@AFRREO/SSA/OEXP/OIMP</vt:lpwstr>
      </vt:variant>
      <vt:variant>
        <vt:lpwstr/>
      </vt:variant>
      <vt:variant>
        <vt:i4>7929970</vt:i4>
      </vt:variant>
      <vt:variant>
        <vt:i4>0</vt:i4>
      </vt:variant>
      <vt:variant>
        <vt:i4>0</vt:i4>
      </vt:variant>
      <vt:variant>
        <vt:i4>5</vt:i4>
      </vt:variant>
      <vt:variant>
        <vt:lpwstr>https://www.worldbank.org/en/news/feature/2022/11/21/nigeria-needs-to-spend-more-and-better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dnabena@live.com</dc:creator>
  <cp:keywords/>
  <dc:description/>
  <cp:lastModifiedBy>David Nabena</cp:lastModifiedBy>
  <cp:revision>3</cp:revision>
  <cp:lastPrinted>2026-03-25T16:04:00Z</cp:lastPrinted>
  <dcterms:created xsi:type="dcterms:W3CDTF">2026-04-09T05:27:00Z</dcterms:created>
  <dcterms:modified xsi:type="dcterms:W3CDTF">2026-07-28T17:33:00Z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410663994d9356b1fa34c161358a23728704312cf497b6aa24135aacca6943a7</vt:lpwstr>
  </property>
</Properties>
</file>