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4DF6" w14:textId="2794EFFF" w:rsidR="00C41EFB" w:rsidRPr="003B5DE7" w:rsidRDefault="00C41EFB" w:rsidP="00C41EFB">
      <w:pPr>
        <w:jc w:val="both"/>
        <w:rPr>
          <w:b/>
          <w:color w:val="000000" w:themeColor="text1"/>
          <w:szCs w:val="24"/>
          <w:u w:val="single"/>
        </w:rPr>
      </w:pPr>
      <w:r w:rsidRPr="003B5DE7">
        <w:rPr>
          <w:b/>
          <w:color w:val="000000" w:themeColor="text1"/>
          <w:szCs w:val="24"/>
          <w:u w:val="single"/>
        </w:rPr>
        <w:t xml:space="preserve">Update I-V relationship to improve SOFC-MP accuracy </w:t>
      </w:r>
    </w:p>
    <w:p w14:paraId="25696E00" w14:textId="77777777" w:rsidR="00C41EFB" w:rsidRPr="003B5DE7" w:rsidRDefault="00C41EFB" w:rsidP="00C41EFB">
      <w:pPr>
        <w:tabs>
          <w:tab w:val="left" w:pos="1980"/>
        </w:tabs>
        <w:rPr>
          <w:color w:val="000000" w:themeColor="text1"/>
        </w:rPr>
      </w:pPr>
    </w:p>
    <w:p w14:paraId="58ADBB62" w14:textId="77777777" w:rsidR="00C41EFB" w:rsidRPr="003B5DE7" w:rsidRDefault="00C41EFB" w:rsidP="00C41EFB">
      <w:pPr>
        <w:jc w:val="both"/>
        <w:rPr>
          <w:color w:val="000000" w:themeColor="text1"/>
          <w:szCs w:val="24"/>
        </w:rPr>
      </w:pPr>
      <w:r w:rsidRPr="003B5DE7">
        <w:rPr>
          <w:b/>
          <w:i/>
          <w:color w:val="000000" w:themeColor="text1"/>
        </w:rPr>
        <w:t xml:space="preserve">Summary: </w:t>
      </w:r>
      <w:r w:rsidRPr="003B5DE7">
        <w:rPr>
          <w:color w:val="000000" w:themeColor="text1"/>
          <w:szCs w:val="24"/>
        </w:rPr>
        <w:t>Binary diffusion is presently considered in the I-V curve, but gas phase diffusion in the thin porous structures has a great impact on the actual mass transfer process in modern SOFC electrodes and hence affects the cell performance. SOFC-MP has been updated to better simulate real-world SOFC operation by adding gas diffusion in porous media to the solution procedure.</w:t>
      </w:r>
    </w:p>
    <w:p w14:paraId="1BFA8016" w14:textId="645CA1F2" w:rsidR="00C41EFB" w:rsidRDefault="00C41EFB" w:rsidP="00C41EFB">
      <w:pPr>
        <w:jc w:val="both"/>
        <w:rPr>
          <w:color w:val="000000" w:themeColor="text1"/>
          <w:szCs w:val="24"/>
        </w:rPr>
      </w:pPr>
    </w:p>
    <w:p w14:paraId="74108B87" w14:textId="77777777" w:rsidR="00C41EFB" w:rsidRPr="003B5DE7" w:rsidRDefault="00C41EFB" w:rsidP="00C41EFB">
      <w:pPr>
        <w:jc w:val="both"/>
        <w:rPr>
          <w:rFonts w:eastAsiaTheme="minorEastAsia"/>
          <w:color w:val="000000" w:themeColor="text1"/>
          <w:szCs w:val="24"/>
          <w:lang w:eastAsia="zh-CN"/>
        </w:rPr>
      </w:pPr>
      <w:r w:rsidRPr="003B5DE7">
        <w:rPr>
          <w:color w:val="000000" w:themeColor="text1"/>
          <w:szCs w:val="24"/>
        </w:rPr>
        <w:t>Diffusion processes within a porous structure can be distinguished as two types.  First is normal diffusion in which one gas diffuses through another, with negligible influence of the pore size on the rate of diffusion.  This has been considered in the original SOFC-MP to determine the current-voltage (I-V) curve.  This type of diffusion applies when the mean free path of the molecules is much less than the pore diameter.  The other type of diffusion applies when the mean free path of the molecules is greater than the pore dimeter, which is referred as Knudsen Diffusion.  For SOFC-MP, the Knudsen diffusion should not be neglected [1].</w:t>
      </w:r>
    </w:p>
    <w:p w14:paraId="39C5BB72" w14:textId="77777777" w:rsidR="00C41EFB" w:rsidRPr="003B5DE7" w:rsidRDefault="00C41EFB" w:rsidP="00C41EFB">
      <w:pPr>
        <w:jc w:val="both"/>
        <w:rPr>
          <w:color w:val="000000" w:themeColor="text1"/>
          <w:szCs w:val="24"/>
        </w:rPr>
      </w:pPr>
    </w:p>
    <w:p w14:paraId="71B4D290" w14:textId="30981543" w:rsidR="00C41EFB" w:rsidRPr="003B5DE7" w:rsidRDefault="00C41EFB" w:rsidP="00C41EFB">
      <w:pPr>
        <w:jc w:val="both"/>
        <w:rPr>
          <w:color w:val="000000" w:themeColor="text1"/>
          <w:szCs w:val="24"/>
        </w:rPr>
      </w:pPr>
      <w:r w:rsidRPr="003B5DE7">
        <w:rPr>
          <w:color w:val="000000" w:themeColor="text1"/>
          <w:szCs w:val="24"/>
        </w:rPr>
        <w:t xml:space="preserve">For each gas species, the Knudsen diffusion depends on three fuel cell properties: the diameter of electrically conducting particles </w:t>
      </w:r>
      <w:r w:rsidRPr="003B5DE7">
        <w:rPr>
          <w:i/>
          <w:iCs/>
          <w:color w:val="000000" w:themeColor="text1"/>
          <w:szCs w:val="24"/>
        </w:rPr>
        <w:t>d</w:t>
      </w:r>
      <w:r w:rsidRPr="003B5DE7">
        <w:rPr>
          <w:i/>
          <w:iCs/>
          <w:color w:val="000000" w:themeColor="text1"/>
          <w:szCs w:val="24"/>
          <w:vertAlign w:val="subscript"/>
        </w:rPr>
        <w:t>e</w:t>
      </w:r>
      <w:r w:rsidRPr="003B5DE7">
        <w:rPr>
          <w:color w:val="000000" w:themeColor="text1"/>
          <w:szCs w:val="24"/>
        </w:rPr>
        <w:t xml:space="preserve">, the number fraction of electrically conducting particles </w:t>
      </w:r>
      <w:r w:rsidRPr="003B5DE7">
        <w:rPr>
          <w:i/>
          <w:iCs/>
          <w:color w:val="000000" w:themeColor="text1"/>
          <w:szCs w:val="24"/>
        </w:rPr>
        <w:t>n</w:t>
      </w:r>
      <w:r w:rsidRPr="003B5DE7">
        <w:rPr>
          <w:i/>
          <w:iCs/>
          <w:color w:val="000000" w:themeColor="text1"/>
          <w:szCs w:val="24"/>
          <w:vertAlign w:val="subscript"/>
        </w:rPr>
        <w:t>e</w:t>
      </w:r>
      <w:r w:rsidRPr="003B5DE7">
        <w:rPr>
          <w:color w:val="000000" w:themeColor="text1"/>
          <w:szCs w:val="24"/>
        </w:rPr>
        <w:t xml:space="preserve"> and the particle size ratio of ionic to electronic conducting particles </w:t>
      </w:r>
      <w:r w:rsidRPr="003B5DE7">
        <w:rPr>
          <w:i/>
          <w:iCs/>
          <w:color w:val="000000" w:themeColor="text1"/>
          <w:szCs w:val="24"/>
        </w:rPr>
        <w:t>α</w:t>
      </w:r>
      <w:r w:rsidRPr="003B5DE7">
        <w:rPr>
          <w:color w:val="000000" w:themeColor="text1"/>
          <w:szCs w:val="24"/>
        </w:rPr>
        <w:t>.  Considering Knudsen diffusion in I-V curve, sensitivity studies have been conducted to evaluate what’s the influence of Knudsen diffusion in voltage output.  Fuel composition, CH</w:t>
      </w:r>
      <w:r w:rsidRPr="003B5DE7">
        <w:rPr>
          <w:color w:val="000000" w:themeColor="text1"/>
          <w:szCs w:val="24"/>
          <w:vertAlign w:val="subscript"/>
        </w:rPr>
        <w:t>4</w:t>
      </w:r>
      <w:r w:rsidRPr="003B5DE7">
        <w:rPr>
          <w:color w:val="000000" w:themeColor="text1"/>
          <w:szCs w:val="24"/>
        </w:rPr>
        <w:t xml:space="preserve"> reforming and SOFC properties refer to published studies [2-3].  Figure 1 shows the influence of the diameter of electrically conductor in I-V curves for current density from 0.01 to 1.0 A/cm</w:t>
      </w:r>
      <w:r w:rsidRPr="003B5DE7">
        <w:rPr>
          <w:color w:val="000000" w:themeColor="text1"/>
          <w:szCs w:val="24"/>
          <w:vertAlign w:val="superscript"/>
        </w:rPr>
        <w:t>2</w:t>
      </w:r>
      <w:r w:rsidRPr="003B5DE7">
        <w:rPr>
          <w:color w:val="000000" w:themeColor="text1"/>
          <w:szCs w:val="24"/>
        </w:rPr>
        <w:t>.  As one can see, voltage output comes down as considering Knudsen diffusion.  Smaller diameter of electrically conductor yields more significant decrease.</w:t>
      </w:r>
    </w:p>
    <w:p w14:paraId="40FEC976" w14:textId="77777777" w:rsidR="00C41EFB" w:rsidRPr="003B5DE7" w:rsidRDefault="00C41EFB" w:rsidP="00C41EFB">
      <w:pPr>
        <w:jc w:val="both"/>
        <w:rPr>
          <w:color w:val="000000" w:themeColor="text1"/>
          <w:szCs w:val="24"/>
        </w:rPr>
      </w:pPr>
    </w:p>
    <w:p w14:paraId="0983841E" w14:textId="77777777" w:rsidR="00C41EFB" w:rsidRPr="003B5DE7" w:rsidRDefault="00C41EFB" w:rsidP="00C41EFB">
      <w:pPr>
        <w:jc w:val="center"/>
        <w:rPr>
          <w:color w:val="000000" w:themeColor="text1"/>
          <w:szCs w:val="24"/>
        </w:rPr>
      </w:pPr>
      <w:r w:rsidRPr="003B5DE7">
        <w:rPr>
          <w:rFonts w:eastAsiaTheme="minorEastAsia" w:hint="eastAsia"/>
          <w:noProof/>
          <w:color w:val="000000" w:themeColor="text1"/>
        </w:rPr>
        <w:drawing>
          <wp:inline distT="0" distB="0" distL="0" distR="0" wp14:anchorId="533CB04A" wp14:editId="5A43D8B4">
            <wp:extent cx="4572000" cy="1754554"/>
            <wp:effectExtent l="0" t="0" r="0" b="0"/>
            <wp:docPr id="16" name="Picture 16" descr="C:\Users\wang109\AppData\Local\Microsoft\Windows\INetCache\Content.MSO\2E7D4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109\AppData\Local\Microsoft\Windows\INetCache\Content.MSO\2E7D480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754554"/>
                    </a:xfrm>
                    <a:prstGeom prst="rect">
                      <a:avLst/>
                    </a:prstGeom>
                    <a:noFill/>
                    <a:ln>
                      <a:noFill/>
                    </a:ln>
                  </pic:spPr>
                </pic:pic>
              </a:graphicData>
            </a:graphic>
          </wp:inline>
        </w:drawing>
      </w:r>
    </w:p>
    <w:p w14:paraId="15703AFB" w14:textId="18D0BB55" w:rsidR="00C41EFB" w:rsidRPr="003B5DE7" w:rsidRDefault="00C41EFB" w:rsidP="00C41EFB">
      <w:pPr>
        <w:jc w:val="center"/>
        <w:rPr>
          <w:color w:val="000000" w:themeColor="text1"/>
          <w:szCs w:val="24"/>
        </w:rPr>
      </w:pPr>
      <w:r w:rsidRPr="003B5DE7">
        <w:rPr>
          <w:b/>
          <w:color w:val="000000" w:themeColor="text1"/>
          <w:szCs w:val="24"/>
        </w:rPr>
        <w:t>Figure 1.</w:t>
      </w:r>
      <w:r w:rsidRPr="003B5DE7">
        <w:rPr>
          <w:color w:val="000000" w:themeColor="text1"/>
          <w:szCs w:val="24"/>
        </w:rPr>
        <w:t xml:space="preserve"> I-V curve with different electrically conducting particle size.</w:t>
      </w:r>
    </w:p>
    <w:p w14:paraId="0D937EFC" w14:textId="45CB716E" w:rsidR="00C41EFB" w:rsidRDefault="00C41EFB" w:rsidP="00C41EFB">
      <w:pPr>
        <w:jc w:val="both"/>
        <w:rPr>
          <w:color w:val="000000" w:themeColor="text1"/>
          <w:szCs w:val="24"/>
        </w:rPr>
      </w:pPr>
    </w:p>
    <w:p w14:paraId="28CB6520" w14:textId="51739538" w:rsidR="00191A5A" w:rsidRDefault="00191A5A" w:rsidP="00C41EFB">
      <w:pPr>
        <w:jc w:val="both"/>
        <w:rPr>
          <w:color w:val="000000" w:themeColor="text1"/>
          <w:szCs w:val="24"/>
        </w:rPr>
      </w:pPr>
      <w:r w:rsidRPr="003B5DE7">
        <w:rPr>
          <w:color w:val="000000" w:themeColor="text1"/>
          <w:szCs w:val="24"/>
        </w:rPr>
        <w:t>Similar studies have been conducted on the other two properties</w:t>
      </w:r>
      <w:r>
        <w:rPr>
          <w:color w:val="000000" w:themeColor="text1"/>
          <w:szCs w:val="24"/>
        </w:rPr>
        <w:t xml:space="preserve">: the number fraction of electrically conducting particles and the particle size ratio of ionic to electrically conducting particle, </w:t>
      </w:r>
      <w:r>
        <w:rPr>
          <w:color w:val="000000" w:themeColor="text1"/>
          <w:szCs w:val="24"/>
        </w:rPr>
        <w:t>as shown in Figure 2 and Figure 3</w:t>
      </w:r>
      <w:r w:rsidRPr="003B5DE7">
        <w:rPr>
          <w:color w:val="000000" w:themeColor="text1"/>
          <w:szCs w:val="24"/>
        </w:rPr>
        <w:t>.  It reveals that smaller diameter of electrically conductor, lower number fraction of electrically conductor and particle size ratio of ionic to electrically conducting particle = 0.5 yields</w:t>
      </w:r>
      <w:r>
        <w:rPr>
          <w:color w:val="000000" w:themeColor="text1"/>
          <w:szCs w:val="24"/>
        </w:rPr>
        <w:t xml:space="preserve"> the maximum decrease of the voltage output.  The voltage output in this limit case is shown in Figure 4.  </w:t>
      </w:r>
      <w:r w:rsidRPr="003B5DE7">
        <w:rPr>
          <w:color w:val="000000" w:themeColor="text1"/>
          <w:szCs w:val="24"/>
        </w:rPr>
        <w:t>As can be seen, the relative difference of voltage between with and without considering Knudsen diffusion can be up to 8%.</w:t>
      </w:r>
    </w:p>
    <w:p w14:paraId="275CA0CA" w14:textId="77777777" w:rsidR="00191A5A" w:rsidRDefault="00191A5A" w:rsidP="00C41EFB">
      <w:pPr>
        <w:jc w:val="both"/>
        <w:rPr>
          <w:color w:val="000000" w:themeColor="text1"/>
          <w:szCs w:val="24"/>
        </w:rPr>
      </w:pPr>
    </w:p>
    <w:p w14:paraId="6E3C6FE2" w14:textId="1507A345" w:rsidR="00191A5A" w:rsidRDefault="00191A5A" w:rsidP="00191A5A">
      <w:pPr>
        <w:jc w:val="center"/>
        <w:rPr>
          <w:color w:val="000000" w:themeColor="text1"/>
          <w:szCs w:val="24"/>
        </w:rPr>
      </w:pPr>
      <w:r w:rsidRPr="00191A5A">
        <w:rPr>
          <w:color w:val="000000" w:themeColor="text1"/>
          <w:szCs w:val="24"/>
        </w:rPr>
        <w:lastRenderedPageBreak/>
        <w:drawing>
          <wp:inline distT="0" distB="0" distL="0" distR="0" wp14:anchorId="610F42BD" wp14:editId="79D793CF">
            <wp:extent cx="4572000" cy="1754065"/>
            <wp:effectExtent l="0" t="0" r="0" b="0"/>
            <wp:docPr id="2050" name="Picture 2">
              <a:extLst xmlns:a="http://schemas.openxmlformats.org/drawingml/2006/main">
                <a:ext uri="{FF2B5EF4-FFF2-40B4-BE49-F238E27FC236}">
                  <a16:creationId xmlns:a16="http://schemas.microsoft.com/office/drawing/2014/main" id="{A720D627-7D92-4F0F-9DBD-2EAD4603E9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720D627-7D92-4F0F-9DBD-2EAD4603E9E4}"/>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754065"/>
                    </a:xfrm>
                    <a:prstGeom prst="rect">
                      <a:avLst/>
                    </a:prstGeom>
                    <a:noFill/>
                  </pic:spPr>
                </pic:pic>
              </a:graphicData>
            </a:graphic>
          </wp:inline>
        </w:drawing>
      </w:r>
    </w:p>
    <w:p w14:paraId="420EBB68" w14:textId="194B82F5" w:rsidR="00C41EFB" w:rsidRPr="003B5DE7" w:rsidRDefault="00C41EFB" w:rsidP="00C41EFB">
      <w:pPr>
        <w:jc w:val="center"/>
        <w:rPr>
          <w:color w:val="000000" w:themeColor="text1"/>
          <w:szCs w:val="24"/>
        </w:rPr>
      </w:pPr>
      <w:r w:rsidRPr="003B5DE7">
        <w:rPr>
          <w:b/>
          <w:color w:val="000000" w:themeColor="text1"/>
          <w:szCs w:val="24"/>
        </w:rPr>
        <w:t xml:space="preserve">Figure </w:t>
      </w:r>
      <w:r>
        <w:rPr>
          <w:b/>
          <w:color w:val="000000" w:themeColor="text1"/>
          <w:szCs w:val="24"/>
        </w:rPr>
        <w:t>2</w:t>
      </w:r>
      <w:r w:rsidRPr="003B5DE7">
        <w:rPr>
          <w:b/>
          <w:color w:val="000000" w:themeColor="text1"/>
          <w:szCs w:val="24"/>
        </w:rPr>
        <w:t>.</w:t>
      </w:r>
      <w:r w:rsidRPr="003B5DE7">
        <w:rPr>
          <w:color w:val="000000" w:themeColor="text1"/>
          <w:szCs w:val="24"/>
        </w:rPr>
        <w:t xml:space="preserve"> I-V curve with different </w:t>
      </w:r>
      <w:r>
        <w:rPr>
          <w:color w:val="000000" w:themeColor="text1"/>
          <w:szCs w:val="24"/>
        </w:rPr>
        <w:t>number fraction of electrically conduct</w:t>
      </w:r>
      <w:r w:rsidR="00191A5A">
        <w:rPr>
          <w:color w:val="000000" w:themeColor="text1"/>
          <w:szCs w:val="24"/>
        </w:rPr>
        <w:t>ing particles</w:t>
      </w:r>
      <w:r w:rsidRPr="003B5DE7">
        <w:rPr>
          <w:color w:val="000000" w:themeColor="text1"/>
          <w:szCs w:val="24"/>
        </w:rPr>
        <w:t>.</w:t>
      </w:r>
    </w:p>
    <w:p w14:paraId="40601B93" w14:textId="5E4E6DE6" w:rsidR="00C41EFB" w:rsidRDefault="00C41EFB" w:rsidP="00C41EFB">
      <w:pPr>
        <w:jc w:val="both"/>
        <w:rPr>
          <w:color w:val="000000" w:themeColor="text1"/>
          <w:szCs w:val="24"/>
        </w:rPr>
      </w:pPr>
    </w:p>
    <w:p w14:paraId="01DAFA95" w14:textId="7488556D" w:rsidR="00191A5A" w:rsidRDefault="00191A5A" w:rsidP="00191A5A">
      <w:pPr>
        <w:jc w:val="center"/>
        <w:rPr>
          <w:color w:val="000000" w:themeColor="text1"/>
          <w:szCs w:val="24"/>
        </w:rPr>
      </w:pPr>
      <w:r w:rsidRPr="00191A5A">
        <w:rPr>
          <w:color w:val="000000" w:themeColor="text1"/>
          <w:szCs w:val="24"/>
        </w:rPr>
        <w:drawing>
          <wp:inline distT="0" distB="0" distL="0" distR="0" wp14:anchorId="479CB619" wp14:editId="35EAD7E5">
            <wp:extent cx="4572000" cy="1754065"/>
            <wp:effectExtent l="0" t="0" r="0" b="0"/>
            <wp:docPr id="3" name="Content Placeholder 2">
              <a:extLst xmlns:a="http://schemas.openxmlformats.org/drawingml/2006/main">
                <a:ext uri="{FF2B5EF4-FFF2-40B4-BE49-F238E27FC236}">
                  <a16:creationId xmlns:a16="http://schemas.microsoft.com/office/drawing/2014/main" id="{F09A769F-63FD-4091-9A3D-DFBB216881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F09A769F-63FD-4091-9A3D-DFBB21688122}"/>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754065"/>
                    </a:xfrm>
                    <a:prstGeom prst="rect">
                      <a:avLst/>
                    </a:prstGeom>
                    <a:noFill/>
                  </pic:spPr>
                </pic:pic>
              </a:graphicData>
            </a:graphic>
          </wp:inline>
        </w:drawing>
      </w:r>
      <w:r w:rsidRPr="00191A5A">
        <w:rPr>
          <w:noProof/>
        </w:rPr>
        <w:t xml:space="preserve"> </w:t>
      </w:r>
      <w:r w:rsidRPr="00191A5A">
        <w:rPr>
          <w:color w:val="000000" w:themeColor="text1"/>
          <w:szCs w:val="24"/>
        </w:rPr>
        <w:drawing>
          <wp:inline distT="0" distB="0" distL="0" distR="0" wp14:anchorId="54E56A16" wp14:editId="0779BD37">
            <wp:extent cx="2147258" cy="1755648"/>
            <wp:effectExtent l="0" t="0" r="5715" b="0"/>
            <wp:docPr id="1" name="Picture 4">
              <a:extLst xmlns:a="http://schemas.openxmlformats.org/drawingml/2006/main">
                <a:ext uri="{FF2B5EF4-FFF2-40B4-BE49-F238E27FC236}">
                  <a16:creationId xmlns:a16="http://schemas.microsoft.com/office/drawing/2014/main" id="{A919A64B-29E1-46E5-88DF-4B03271BC2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A919A64B-29E1-46E5-88DF-4B03271BC2D4}"/>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258" cy="1755648"/>
                    </a:xfrm>
                    <a:prstGeom prst="rect">
                      <a:avLst/>
                    </a:prstGeom>
                    <a:noFill/>
                  </pic:spPr>
                </pic:pic>
              </a:graphicData>
            </a:graphic>
          </wp:inline>
        </w:drawing>
      </w:r>
    </w:p>
    <w:p w14:paraId="30ABCB06" w14:textId="44126444" w:rsidR="00C41EFB" w:rsidRPr="003B5DE7" w:rsidRDefault="00C41EFB" w:rsidP="00C41EFB">
      <w:pPr>
        <w:jc w:val="center"/>
        <w:rPr>
          <w:color w:val="000000" w:themeColor="text1"/>
          <w:szCs w:val="24"/>
        </w:rPr>
      </w:pPr>
      <w:r w:rsidRPr="003B5DE7">
        <w:rPr>
          <w:b/>
          <w:color w:val="000000" w:themeColor="text1"/>
          <w:szCs w:val="24"/>
        </w:rPr>
        <w:t xml:space="preserve">Figure </w:t>
      </w:r>
      <w:r>
        <w:rPr>
          <w:b/>
          <w:color w:val="000000" w:themeColor="text1"/>
          <w:szCs w:val="24"/>
        </w:rPr>
        <w:t>3</w:t>
      </w:r>
      <w:r w:rsidRPr="003B5DE7">
        <w:rPr>
          <w:b/>
          <w:color w:val="000000" w:themeColor="text1"/>
          <w:szCs w:val="24"/>
        </w:rPr>
        <w:t>.</w:t>
      </w:r>
      <w:r w:rsidRPr="003B5DE7">
        <w:rPr>
          <w:color w:val="000000" w:themeColor="text1"/>
          <w:szCs w:val="24"/>
        </w:rPr>
        <w:t xml:space="preserve"> I-V curve with different </w:t>
      </w:r>
      <w:r w:rsidR="00191A5A" w:rsidRPr="003B5DE7">
        <w:rPr>
          <w:color w:val="000000" w:themeColor="text1"/>
          <w:szCs w:val="24"/>
        </w:rPr>
        <w:t>particle size ratio</w:t>
      </w:r>
      <w:r w:rsidRPr="003B5DE7">
        <w:rPr>
          <w:color w:val="000000" w:themeColor="text1"/>
          <w:szCs w:val="24"/>
        </w:rPr>
        <w:t>.</w:t>
      </w:r>
    </w:p>
    <w:p w14:paraId="6EB85543" w14:textId="77777777" w:rsidR="00C41EFB" w:rsidRPr="003B5DE7" w:rsidRDefault="00C41EFB" w:rsidP="00C41EFB">
      <w:pPr>
        <w:jc w:val="both"/>
        <w:rPr>
          <w:color w:val="000000" w:themeColor="text1"/>
          <w:szCs w:val="24"/>
        </w:rPr>
      </w:pPr>
    </w:p>
    <w:p w14:paraId="5B1B9D9F" w14:textId="77777777" w:rsidR="00C41EFB" w:rsidRPr="003B5DE7" w:rsidRDefault="00C41EFB" w:rsidP="00C41EFB">
      <w:pPr>
        <w:jc w:val="center"/>
        <w:rPr>
          <w:color w:val="000000" w:themeColor="text1"/>
          <w:szCs w:val="24"/>
        </w:rPr>
      </w:pPr>
      <w:r w:rsidRPr="003B5DE7">
        <w:rPr>
          <w:noProof/>
          <w:color w:val="000000" w:themeColor="text1"/>
        </w:rPr>
        <w:drawing>
          <wp:inline distT="0" distB="0" distL="0" distR="0" wp14:anchorId="77DD58B7" wp14:editId="01A150D5">
            <wp:extent cx="4572000" cy="1754554"/>
            <wp:effectExtent l="0" t="0" r="0" b="0"/>
            <wp:docPr id="2" name="Picture 2" descr="C:\Users\wang109\AppData\Local\Microsoft\Windows\INetCache\Content.MSO\DA7C4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109\AppData\Local\Microsoft\Windows\INetCache\Content.MSO\DA7C4F8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754554"/>
                    </a:xfrm>
                    <a:prstGeom prst="rect">
                      <a:avLst/>
                    </a:prstGeom>
                    <a:noFill/>
                    <a:ln>
                      <a:noFill/>
                    </a:ln>
                  </pic:spPr>
                </pic:pic>
              </a:graphicData>
            </a:graphic>
          </wp:inline>
        </w:drawing>
      </w:r>
    </w:p>
    <w:p w14:paraId="4D7ABB05" w14:textId="421A6BC8" w:rsidR="00C41EFB" w:rsidRPr="003B5DE7" w:rsidRDefault="00C41EFB" w:rsidP="00C41EFB">
      <w:pPr>
        <w:jc w:val="center"/>
        <w:rPr>
          <w:color w:val="000000" w:themeColor="text1"/>
          <w:szCs w:val="24"/>
        </w:rPr>
      </w:pPr>
      <w:r w:rsidRPr="003B5DE7">
        <w:rPr>
          <w:b/>
          <w:color w:val="000000" w:themeColor="text1"/>
          <w:szCs w:val="24"/>
        </w:rPr>
        <w:t xml:space="preserve">Figure </w:t>
      </w:r>
      <w:r w:rsidR="00191A5A">
        <w:rPr>
          <w:b/>
          <w:color w:val="000000" w:themeColor="text1"/>
          <w:szCs w:val="24"/>
        </w:rPr>
        <w:t>4</w:t>
      </w:r>
      <w:r w:rsidRPr="003B5DE7">
        <w:rPr>
          <w:b/>
          <w:color w:val="000000" w:themeColor="text1"/>
          <w:szCs w:val="24"/>
        </w:rPr>
        <w:t>.</w:t>
      </w:r>
      <w:r w:rsidRPr="003B5DE7">
        <w:rPr>
          <w:color w:val="000000" w:themeColor="text1"/>
          <w:szCs w:val="24"/>
        </w:rPr>
        <w:t xml:space="preserve"> I-V curve of the limit case.</w:t>
      </w:r>
    </w:p>
    <w:p w14:paraId="78659BFC" w14:textId="5A3056F0" w:rsidR="00C41EFB" w:rsidRDefault="00C41EFB" w:rsidP="00C41EFB">
      <w:pPr>
        <w:jc w:val="both"/>
        <w:rPr>
          <w:color w:val="000000" w:themeColor="text1"/>
          <w:szCs w:val="24"/>
        </w:rPr>
      </w:pPr>
    </w:p>
    <w:p w14:paraId="0B842DFA" w14:textId="0B6365FA" w:rsidR="00191A5A" w:rsidRDefault="00A95BFB" w:rsidP="00C41EFB">
      <w:pPr>
        <w:jc w:val="both"/>
        <w:rPr>
          <w:color w:val="000000" w:themeColor="text1"/>
          <w:szCs w:val="24"/>
        </w:rPr>
      </w:pPr>
      <w:r>
        <w:rPr>
          <w:color w:val="000000" w:themeColor="text1"/>
          <w:szCs w:val="24"/>
        </w:rPr>
        <w:lastRenderedPageBreak/>
        <w:t>Currently, as a subroutine of the SOFC_MP, the I-V relationship is revealed as a script written by the script language LUA, as shown in Figure 5.</w:t>
      </w:r>
      <w:r w:rsidR="00B95C90">
        <w:rPr>
          <w:color w:val="000000" w:themeColor="text1"/>
          <w:szCs w:val="24"/>
        </w:rPr>
        <w:t xml:space="preserve">  Updating the I-V curve by considering the Knudsen diffusion and sending it for actual simulations, the voltage outputs are compared with the original I-V curve.  Two examples are given in Figure 6.  For the first case in Figure 6(a), it shows the influence of Knudsen diffusion can be minimal, here within 0.3%.  But with a different case as shown in Figure 6(b), the decrease of voltage output caused by the Knudsen diffusion can be up to 4.5%. </w:t>
      </w:r>
    </w:p>
    <w:p w14:paraId="030FDF80" w14:textId="12FDE02F" w:rsidR="00A95BFB" w:rsidRDefault="00A95BFB" w:rsidP="00C41EFB">
      <w:pPr>
        <w:jc w:val="both"/>
        <w:rPr>
          <w:color w:val="000000" w:themeColor="text1"/>
          <w:szCs w:val="24"/>
        </w:rPr>
      </w:pPr>
    </w:p>
    <w:p w14:paraId="308E24C6" w14:textId="03BB23CA" w:rsidR="00A95BFB" w:rsidRDefault="00A95BFB" w:rsidP="00A95BFB">
      <w:pPr>
        <w:jc w:val="center"/>
        <w:rPr>
          <w:color w:val="000000" w:themeColor="text1"/>
          <w:szCs w:val="24"/>
        </w:rPr>
      </w:pPr>
      <w:r w:rsidRPr="00A95BFB">
        <w:rPr>
          <w:color w:val="000000" w:themeColor="text1"/>
          <w:szCs w:val="24"/>
        </w:rPr>
        <w:drawing>
          <wp:inline distT="0" distB="0" distL="0" distR="0" wp14:anchorId="6AC41BE6" wp14:editId="529582D4">
            <wp:extent cx="3657600" cy="2614246"/>
            <wp:effectExtent l="0" t="0" r="0" b="0"/>
            <wp:docPr id="10" name="Content Placeholder 9">
              <a:extLst xmlns:a="http://schemas.openxmlformats.org/drawingml/2006/main">
                <a:ext uri="{FF2B5EF4-FFF2-40B4-BE49-F238E27FC236}">
                  <a16:creationId xmlns:a16="http://schemas.microsoft.com/office/drawing/2014/main" id="{5A285D5D-8132-4E6A-B0E1-1BD69A41B5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5A285D5D-8132-4E6A-B0E1-1BD69A41B5E2}"/>
                        </a:ext>
                      </a:extLst>
                    </pic:cNvPr>
                    <pic:cNvPicPr>
                      <a:picLocks noGrp="1" noChangeAspect="1"/>
                    </pic:cNvPicPr>
                  </pic:nvPicPr>
                  <pic:blipFill>
                    <a:blip r:embed="rId10"/>
                    <a:stretch>
                      <a:fillRect/>
                    </a:stretch>
                  </pic:blipFill>
                  <pic:spPr>
                    <a:xfrm>
                      <a:off x="0" y="0"/>
                      <a:ext cx="3657600" cy="2614246"/>
                    </a:xfrm>
                    <a:prstGeom prst="rect">
                      <a:avLst/>
                    </a:prstGeom>
                  </pic:spPr>
                </pic:pic>
              </a:graphicData>
            </a:graphic>
          </wp:inline>
        </w:drawing>
      </w:r>
    </w:p>
    <w:p w14:paraId="2A71353A" w14:textId="3009AB26" w:rsidR="00A95BFB" w:rsidRPr="003B5DE7" w:rsidRDefault="00A95BFB" w:rsidP="00A95BFB">
      <w:pPr>
        <w:jc w:val="center"/>
        <w:rPr>
          <w:color w:val="000000" w:themeColor="text1"/>
          <w:szCs w:val="24"/>
        </w:rPr>
      </w:pPr>
      <w:r w:rsidRPr="003B5DE7">
        <w:rPr>
          <w:b/>
          <w:color w:val="000000" w:themeColor="text1"/>
          <w:szCs w:val="24"/>
        </w:rPr>
        <w:t xml:space="preserve">Figure </w:t>
      </w:r>
      <w:r>
        <w:rPr>
          <w:b/>
          <w:color w:val="000000" w:themeColor="text1"/>
          <w:szCs w:val="24"/>
        </w:rPr>
        <w:t>5</w:t>
      </w:r>
      <w:r w:rsidRPr="003B5DE7">
        <w:rPr>
          <w:b/>
          <w:color w:val="000000" w:themeColor="text1"/>
          <w:szCs w:val="24"/>
        </w:rPr>
        <w:t>.</w:t>
      </w:r>
      <w:r w:rsidRPr="003B5DE7">
        <w:rPr>
          <w:color w:val="000000" w:themeColor="text1"/>
          <w:szCs w:val="24"/>
        </w:rPr>
        <w:t xml:space="preserve"> </w:t>
      </w:r>
      <w:r>
        <w:rPr>
          <w:color w:val="000000" w:themeColor="text1"/>
          <w:szCs w:val="24"/>
        </w:rPr>
        <w:t xml:space="preserve">The </w:t>
      </w:r>
      <w:r w:rsidRPr="003B5DE7">
        <w:rPr>
          <w:color w:val="000000" w:themeColor="text1"/>
          <w:szCs w:val="24"/>
        </w:rPr>
        <w:t xml:space="preserve">I-V </w:t>
      </w:r>
      <w:r>
        <w:rPr>
          <w:color w:val="000000" w:themeColor="text1"/>
          <w:szCs w:val="24"/>
        </w:rPr>
        <w:t>subroutine written by LUA</w:t>
      </w:r>
      <w:r w:rsidRPr="003B5DE7">
        <w:rPr>
          <w:color w:val="000000" w:themeColor="text1"/>
          <w:szCs w:val="24"/>
        </w:rPr>
        <w:t>.</w:t>
      </w:r>
    </w:p>
    <w:p w14:paraId="15D45790" w14:textId="77777777" w:rsidR="00A95BFB" w:rsidRDefault="00A95BFB" w:rsidP="00C41EFB">
      <w:pPr>
        <w:jc w:val="both"/>
        <w:rPr>
          <w:color w:val="000000" w:themeColor="text1"/>
          <w:szCs w:val="24"/>
        </w:rPr>
      </w:pPr>
    </w:p>
    <w:p w14:paraId="09B92190" w14:textId="3E2C5090" w:rsidR="00A95BFB" w:rsidRDefault="00383CBC" w:rsidP="00A95BFB">
      <w:pPr>
        <w:jc w:val="center"/>
        <w:rPr>
          <w:color w:val="000000" w:themeColor="text1"/>
          <w:szCs w:val="24"/>
        </w:rPr>
      </w:pPr>
      <w:r w:rsidRPr="00383CBC">
        <w:drawing>
          <wp:inline distT="0" distB="0" distL="0" distR="0" wp14:anchorId="126BB3A0" wp14:editId="3AF38FC7">
            <wp:extent cx="5029200" cy="34581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458112"/>
                    </a:xfrm>
                    <a:prstGeom prst="rect">
                      <a:avLst/>
                    </a:prstGeom>
                    <a:noFill/>
                    <a:ln>
                      <a:noFill/>
                    </a:ln>
                  </pic:spPr>
                </pic:pic>
              </a:graphicData>
            </a:graphic>
          </wp:inline>
        </w:drawing>
      </w:r>
      <w:bookmarkStart w:id="0" w:name="_GoBack"/>
      <w:bookmarkEnd w:id="0"/>
    </w:p>
    <w:p w14:paraId="4EB41615" w14:textId="0743A2E8" w:rsidR="00A95BFB" w:rsidRDefault="004D67BB" w:rsidP="00A95BFB">
      <w:pPr>
        <w:jc w:val="center"/>
        <w:rPr>
          <w:color w:val="000000" w:themeColor="text1"/>
          <w:szCs w:val="24"/>
        </w:rPr>
      </w:pPr>
      <w:r w:rsidRPr="003B5DE7">
        <w:rPr>
          <w:b/>
          <w:color w:val="000000" w:themeColor="text1"/>
          <w:szCs w:val="24"/>
        </w:rPr>
        <w:t xml:space="preserve">Figure </w:t>
      </w:r>
      <w:r>
        <w:rPr>
          <w:b/>
          <w:color w:val="000000" w:themeColor="text1"/>
          <w:szCs w:val="24"/>
        </w:rPr>
        <w:t xml:space="preserve">6. </w:t>
      </w:r>
      <w:r>
        <w:rPr>
          <w:bCs/>
          <w:color w:val="000000" w:themeColor="text1"/>
          <w:szCs w:val="24"/>
        </w:rPr>
        <w:t xml:space="preserve">Actual </w:t>
      </w:r>
      <w:r w:rsidR="00A95BFB">
        <w:rPr>
          <w:color w:val="000000" w:themeColor="text1"/>
          <w:szCs w:val="24"/>
        </w:rPr>
        <w:t>simulation case</w:t>
      </w:r>
      <w:r>
        <w:rPr>
          <w:color w:val="000000" w:themeColor="text1"/>
          <w:szCs w:val="24"/>
        </w:rPr>
        <w:t xml:space="preserve">s, </w:t>
      </w:r>
      <w:r w:rsidR="00A95BFB">
        <w:rPr>
          <w:color w:val="000000" w:themeColor="text1"/>
          <w:szCs w:val="24"/>
        </w:rPr>
        <w:t xml:space="preserve">with the system pressure </w:t>
      </w:r>
      <w:r>
        <w:rPr>
          <w:color w:val="000000" w:themeColor="text1"/>
          <w:szCs w:val="24"/>
        </w:rPr>
        <w:t xml:space="preserve">(a) </w:t>
      </w:r>
      <w:r w:rsidR="00A95BFB">
        <w:rPr>
          <w:color w:val="000000" w:themeColor="text1"/>
          <w:szCs w:val="24"/>
        </w:rPr>
        <w:t xml:space="preserve">of </w:t>
      </w:r>
      <w:r w:rsidR="00A95BFB">
        <w:rPr>
          <w:color w:val="000000" w:themeColor="text1"/>
          <w:szCs w:val="24"/>
        </w:rPr>
        <w:t>1</w:t>
      </w:r>
      <w:r w:rsidR="00A95BFB">
        <w:rPr>
          <w:color w:val="000000" w:themeColor="text1"/>
          <w:szCs w:val="24"/>
        </w:rPr>
        <w:t xml:space="preserve"> atm</w:t>
      </w:r>
      <w:r>
        <w:rPr>
          <w:color w:val="000000" w:themeColor="text1"/>
          <w:szCs w:val="24"/>
        </w:rPr>
        <w:t>; (b) of 3 atm.</w:t>
      </w:r>
    </w:p>
    <w:p w14:paraId="0B0B2FB9" w14:textId="77777777" w:rsidR="00191A5A" w:rsidRPr="003B5DE7" w:rsidRDefault="00191A5A" w:rsidP="00C41EFB">
      <w:pPr>
        <w:jc w:val="both"/>
        <w:rPr>
          <w:color w:val="000000" w:themeColor="text1"/>
          <w:szCs w:val="24"/>
        </w:rPr>
      </w:pPr>
    </w:p>
    <w:p w14:paraId="6D1E0556" w14:textId="77777777" w:rsidR="00C41EFB" w:rsidRPr="003B5DE7" w:rsidRDefault="00C41EFB" w:rsidP="00C41EFB">
      <w:pPr>
        <w:spacing w:before="120" w:after="120"/>
        <w:jc w:val="both"/>
        <w:rPr>
          <w:b/>
          <w:color w:val="000000" w:themeColor="text1"/>
          <w:szCs w:val="24"/>
          <w:u w:val="single"/>
        </w:rPr>
      </w:pPr>
      <w:r w:rsidRPr="003B5DE7">
        <w:rPr>
          <w:b/>
          <w:color w:val="000000" w:themeColor="text1"/>
          <w:szCs w:val="24"/>
          <w:u w:val="single"/>
        </w:rPr>
        <w:lastRenderedPageBreak/>
        <w:t>References</w:t>
      </w:r>
    </w:p>
    <w:p w14:paraId="33BF9892" w14:textId="77777777" w:rsidR="00C41EFB" w:rsidRPr="003B5DE7" w:rsidRDefault="00C41EFB" w:rsidP="00C41EFB">
      <w:pPr>
        <w:pStyle w:val="ListParagraph"/>
        <w:numPr>
          <w:ilvl w:val="0"/>
          <w:numId w:val="1"/>
        </w:numPr>
        <w:ind w:left="360"/>
        <w:jc w:val="both"/>
        <w:rPr>
          <w:color w:val="000000" w:themeColor="text1"/>
          <w:szCs w:val="24"/>
        </w:rPr>
      </w:pPr>
      <w:r w:rsidRPr="003B5DE7">
        <w:rPr>
          <w:color w:val="000000" w:themeColor="text1"/>
          <w:szCs w:val="24"/>
        </w:rPr>
        <w:t>Wang, C. "Microscale correlations adoption in solid oxide fuel cell." </w:t>
      </w:r>
      <w:r w:rsidRPr="003B5DE7">
        <w:rPr>
          <w:i/>
          <w:iCs/>
          <w:color w:val="000000" w:themeColor="text1"/>
          <w:szCs w:val="24"/>
        </w:rPr>
        <w:t>Journal of Fuel Cell Science and Technology</w:t>
      </w:r>
      <w:r w:rsidRPr="003B5DE7">
        <w:rPr>
          <w:color w:val="000000" w:themeColor="text1"/>
          <w:szCs w:val="24"/>
        </w:rPr>
        <w:t> 12.4 (2015).</w:t>
      </w:r>
    </w:p>
    <w:p w14:paraId="584CFB45" w14:textId="77777777" w:rsidR="00C41EFB" w:rsidRPr="003B5DE7" w:rsidRDefault="00C41EFB" w:rsidP="00C41EFB">
      <w:pPr>
        <w:pStyle w:val="ListParagraph"/>
        <w:numPr>
          <w:ilvl w:val="0"/>
          <w:numId w:val="1"/>
        </w:numPr>
        <w:ind w:left="360"/>
        <w:jc w:val="both"/>
        <w:rPr>
          <w:color w:val="000000" w:themeColor="text1"/>
          <w:szCs w:val="24"/>
        </w:rPr>
      </w:pPr>
      <w:r w:rsidRPr="003B5DE7">
        <w:rPr>
          <w:color w:val="000000" w:themeColor="text1"/>
          <w:szCs w:val="24"/>
        </w:rPr>
        <w:t>Jiang, S. P., W. Wang, and Y. D. Zhen. "Performance and electrode behavior of nano-YSZ impregnated nickel anodes used in solid oxide fuel cells." </w:t>
      </w:r>
      <w:r w:rsidRPr="003B5DE7">
        <w:rPr>
          <w:i/>
          <w:iCs/>
          <w:color w:val="000000" w:themeColor="text1"/>
          <w:szCs w:val="24"/>
        </w:rPr>
        <w:t>Journal of power sources</w:t>
      </w:r>
      <w:r w:rsidRPr="003B5DE7">
        <w:rPr>
          <w:color w:val="000000" w:themeColor="text1"/>
          <w:szCs w:val="24"/>
        </w:rPr>
        <w:t> 147.1-2 (2005): 1-7.</w:t>
      </w:r>
    </w:p>
    <w:p w14:paraId="1C5064EE" w14:textId="77777777" w:rsidR="00C41EFB" w:rsidRPr="003B5DE7" w:rsidRDefault="00C41EFB" w:rsidP="00C41EFB">
      <w:pPr>
        <w:pStyle w:val="ListParagraph"/>
        <w:numPr>
          <w:ilvl w:val="0"/>
          <w:numId w:val="1"/>
        </w:numPr>
        <w:ind w:left="360"/>
        <w:jc w:val="both"/>
        <w:rPr>
          <w:color w:val="000000" w:themeColor="text1"/>
          <w:szCs w:val="24"/>
        </w:rPr>
      </w:pPr>
      <w:r w:rsidRPr="003B5DE7">
        <w:rPr>
          <w:color w:val="000000" w:themeColor="text1"/>
          <w:szCs w:val="24"/>
        </w:rPr>
        <w:t>Zhao, Qing, et al. "Steam reforming of CH4 at low temperature on Ni/ZrO2 catalyst: Effect of H2O/CH4 ratio on carbon deposition." </w:t>
      </w:r>
      <w:r w:rsidRPr="003B5DE7">
        <w:rPr>
          <w:i/>
          <w:iCs/>
          <w:color w:val="000000" w:themeColor="text1"/>
          <w:szCs w:val="24"/>
        </w:rPr>
        <w:t>International Journal of Hydrogen Energy</w:t>
      </w:r>
      <w:r w:rsidRPr="003B5DE7">
        <w:rPr>
          <w:color w:val="000000" w:themeColor="text1"/>
          <w:szCs w:val="24"/>
        </w:rPr>
        <w:t> (2020).</w:t>
      </w:r>
    </w:p>
    <w:p w14:paraId="5714CA30" w14:textId="77777777" w:rsidR="002F6E81" w:rsidRDefault="002F6E81"/>
    <w:sectPr w:rsidR="002F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011BA"/>
    <w:multiLevelType w:val="hybridMultilevel"/>
    <w:tmpl w:val="72CE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FF"/>
    <w:rsid w:val="000955A7"/>
    <w:rsid w:val="00191A5A"/>
    <w:rsid w:val="00206F2C"/>
    <w:rsid w:val="002F6E81"/>
    <w:rsid w:val="00383CBC"/>
    <w:rsid w:val="004D67BB"/>
    <w:rsid w:val="00684DBF"/>
    <w:rsid w:val="009C5AFF"/>
    <w:rsid w:val="00A95BFB"/>
    <w:rsid w:val="00AB1B0F"/>
    <w:rsid w:val="00B95C90"/>
    <w:rsid w:val="00C4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A1AB"/>
  <w15:chartTrackingRefBased/>
  <w15:docId w15:val="{E2C5D99D-C1A4-4EA4-A3D2-97A9B9B8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EFB"/>
    <w:pPr>
      <w:tabs>
        <w:tab w:val="left" w:pos="360"/>
        <w:tab w:val="left" w:pos="720"/>
        <w:tab w:val="left" w:pos="1080"/>
      </w:tabs>
      <w:spacing w:after="0" w:line="240" w:lineRule="auto"/>
    </w:pPr>
    <w:rPr>
      <w:rFonts w:ascii="Times New Roman" w:eastAsia="Times New Roman" w:hAnsi="Times New Roman" w:cs="Times New Roman"/>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1EFB"/>
    <w:pPr>
      <w:ind w:left="720"/>
      <w:contextualSpacing/>
    </w:pPr>
    <w:rPr>
      <w:rFonts w:eastAsia="MS Mincho"/>
      <w:lang w:eastAsia="ja-JP"/>
    </w:rPr>
  </w:style>
  <w:style w:type="character" w:customStyle="1" w:styleId="ListParagraphChar">
    <w:name w:val="List Paragraph Char"/>
    <w:link w:val="ListParagraph"/>
    <w:uiPriority w:val="34"/>
    <w:rsid w:val="00C41EFB"/>
    <w:rPr>
      <w:rFonts w:ascii="Times New Roman" w:eastAsia="MS Mincho" w:hAnsi="Times New Roman" w:cs="Times New Roman"/>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Dewei</dc:creator>
  <cp:keywords/>
  <dc:description/>
  <cp:lastModifiedBy>Wang, Dewei</cp:lastModifiedBy>
  <cp:revision>5</cp:revision>
  <dcterms:created xsi:type="dcterms:W3CDTF">2020-09-10T17:25:00Z</dcterms:created>
  <dcterms:modified xsi:type="dcterms:W3CDTF">2020-09-10T18:33:00Z</dcterms:modified>
</cp:coreProperties>
</file>