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ACME Corporation: Cybersecurity Policy</w:t>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of Policy: </w:t>
      </w:r>
      <w:r w:rsidDel="00000000" w:rsidR="00000000" w:rsidRPr="00000000">
        <w:rPr>
          <w:rFonts w:ascii="Times New Roman" w:cs="Times New Roman" w:eastAsia="Times New Roman" w:hAnsi="Times New Roman"/>
          <w:sz w:val="24"/>
          <w:szCs w:val="24"/>
          <w:rtl w:val="0"/>
        </w:rPr>
        <w:t xml:space="preserve">Administrative</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Date: </w:t>
      </w: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Last Revised: </w:t>
      </w:r>
      <w:r w:rsidDel="00000000" w:rsidR="00000000" w:rsidRPr="00000000">
        <w:rPr>
          <w:rFonts w:ascii="Times New Roman" w:cs="Times New Roman" w:eastAsia="Times New Roman" w:hAnsi="Times New Roman"/>
          <w:sz w:val="24"/>
          <w:szCs w:val="24"/>
          <w:rtl w:val="0"/>
        </w:rPr>
        <w:t xml:space="preserve">November 2025</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Date:</w:t>
      </w:r>
      <w:r w:rsidDel="00000000" w:rsidR="00000000" w:rsidRPr="00000000">
        <w:rPr>
          <w:rFonts w:ascii="Times New Roman" w:cs="Times New Roman" w:eastAsia="Times New Roman" w:hAnsi="Times New Roman"/>
          <w:sz w:val="24"/>
          <w:szCs w:val="24"/>
          <w:rtl w:val="0"/>
        </w:rPr>
        <w:t xml:space="preserve"> January 2026</w:t>
      </w: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Owner:</w:t>
      </w:r>
      <w:r w:rsidDel="00000000" w:rsidR="00000000" w:rsidRPr="00000000">
        <w:rPr>
          <w:rFonts w:ascii="Times New Roman" w:cs="Times New Roman" w:eastAsia="Times New Roman" w:hAnsi="Times New Roman"/>
          <w:sz w:val="24"/>
          <w:szCs w:val="24"/>
          <w:rtl w:val="0"/>
        </w:rPr>
        <w:t xml:space="preserve"> ACME Corporation Chief Information Security Officer</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Name: </w:t>
      </w:r>
      <w:r w:rsidDel="00000000" w:rsidR="00000000" w:rsidRPr="00000000">
        <w:rPr>
          <w:rFonts w:ascii="Times New Roman" w:cs="Times New Roman" w:eastAsia="Times New Roman" w:hAnsi="Times New Roman"/>
          <w:sz w:val="24"/>
          <w:szCs w:val="24"/>
          <w:rtl w:val="0"/>
        </w:rPr>
        <w:t xml:space="preserve">John Kasket</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Title: </w:t>
      </w:r>
      <w:r w:rsidDel="00000000" w:rsidR="00000000" w:rsidRPr="00000000">
        <w:rPr>
          <w:rFonts w:ascii="Times New Roman" w:cs="Times New Roman" w:eastAsia="Times New Roman" w:hAnsi="Times New Roman"/>
          <w:sz w:val="24"/>
          <w:szCs w:val="24"/>
          <w:rtl w:val="0"/>
        </w:rPr>
        <w:t xml:space="preserve">Chief Information Security Officer</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 Email: </w:t>
      </w:r>
      <w:hyperlink r:id="rId6">
        <w:r w:rsidDel="00000000" w:rsidR="00000000" w:rsidRPr="00000000">
          <w:rPr>
            <w:rFonts w:ascii="Times New Roman" w:cs="Times New Roman" w:eastAsia="Times New Roman" w:hAnsi="Times New Roman"/>
            <w:color w:val="1155cc"/>
            <w:sz w:val="24"/>
            <w:szCs w:val="24"/>
            <w:u w:val="single"/>
            <w:rtl w:val="0"/>
          </w:rPr>
          <w:t xml:space="preserve">johnkasket@acmecorp.com</w:t>
        </w:r>
      </w:hyperlink>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Cybersecurity Policy (CSP) establishes a comprehensive information security program to provide the guiding principles for protecting the confidentiality, integrity, and availability of corporate data and IT resources. This 2025 policy will replace the previous Cyber Security Policy (March 2020).</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ACME Corporation Cybersecurity Policy (CSP) applies to all ACME Corporation employees, contractors, vendors, third-party service providers, and any individual with access to ACME IT resources. The policy applies to both on-site and remote access.</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Governance</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security governance as the foundation of ACME’s cybersecurity strategy, the Chief Information Security Officer (CISO) is responsible for working with department leaders to consider emerging risks through protective measure implementations. All ACME personnel share responsibility for protecting company information. Employees must practice secure data handling, identify suspicious activities, and comply with relevant company policies.</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Management</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annual risk assessments or whenever new critical systems are introduced, these assessments help ACME identify vulnerabilities that must be categorized, prioritized, and assigned for remediation or acceptance. Following established guidelines in the Identity &amp; Access Management Policy, these new systems are required to have appropriate safeguards in place to ensure secure storage of sensitive or restricted data. </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Architecture</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ACME’s security architecture is built on principles such as Zero Trust and Least Privileged. These principles guide the configuration of ACME’s networks, systems, and cloud environments. As outlined in the Identity and Access Management Policy, all users are:</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to have verification of devices and users before granting access to IT resources</w:t>
      </w:r>
    </w:p>
    <w:p w:rsidR="00000000" w:rsidDel="00000000" w:rsidP="00000000" w:rsidRDefault="00000000" w:rsidRPr="00000000" w14:paraId="0000002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layers of security such as firewalls, endpoint protection, and secure authentication</w:t>
      </w:r>
    </w:p>
    <w:p w:rsidR="00000000" w:rsidDel="00000000" w:rsidP="00000000" w:rsidRDefault="00000000" w:rsidRPr="00000000" w14:paraId="0000002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Documenting any baselines for servers, workstations, cloud environments, and personal devices. </w:t>
      </w:r>
    </w:p>
    <w:p w:rsidR="00000000" w:rsidDel="00000000" w:rsidP="00000000" w:rsidRDefault="00000000" w:rsidRPr="00000000" w14:paraId="00000028">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and Network Security</w:t>
      </w:r>
    </w:p>
    <w:p w:rsidR="00000000" w:rsidDel="00000000" w:rsidP="00000000" w:rsidRDefault="00000000" w:rsidRPr="00000000" w14:paraId="0000002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Cloud-based security must follow ACME’s security standards through configurations that restrict unauthorized access, enforce encryption, and provide visible logs for ACME’s monitoring system. Network security must implement firewalls and continuous traffic monitoring, along with limiting any unauthorized devices without express approval from IT security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Identity &amp; Access Management</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authentication, password standards, account provisioning, and privileged access, as outlined in the Identity and Access Management Policy, are required. </w:t>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Monitoring and Incident Response</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activity must be collected and reviewed regularly in the system logs. Any unauthorized access attempts or malicious activity must be escalated to the security team according to the severity. All monitoring activities must comply with the Data Privacy and Acceptable Use Policy. All employees must report security incidents following procedures defined in Policy 4: Incident Response. </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and Patch Management</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requirements for scanning, prioritizing vulnerabilities, and deploying security patches are defined in the Vulnerability and Patch Management Policy.</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Protection and Privacy</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requirements for the collection, use, storage, and distribution of data are governed by the Vulnerability and Patch Management Policy.</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Chief Information Security Officer</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Chief Information Security Officer is responsible for creating and maintaining a cybersecurity program and leading the ACME Corporation Cyber Security Team. The purpose of the cybersecurity program is to maintain the confidentiality, integrity, and availability of corporate IT Resources and data. In addition, the Chief Information Security Officer, or a designee, is responsible for leading the investigation of and response to cybersecurity incidents. </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Enforcement</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Violations of this policy may result in the loss of ACME Corporation system and network usage privileges, and/or disciplinary action, up to and including termination, as outlined in applicable ACME Corporation policies. To report suspected instances of ethical violations, please visit ACME Corporation’s Ethics Hotline, a secure and confidential reporting system.</w:t>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Policy Review</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shall be reviewed annually and updated as necessary to address emerging threats, technological changes, and regulatory requirements. </w:t>
      </w:r>
      <w:r w:rsidDel="00000000" w:rsidR="00000000" w:rsidRPr="00000000">
        <w:rPr>
          <w:rtl w:val="0"/>
        </w:rPr>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&amp; Brown, L. (2024). </w:t>
      </w:r>
      <w:r w:rsidDel="00000000" w:rsidR="00000000" w:rsidRPr="00000000">
        <w:rPr>
          <w:rFonts w:ascii="Times New Roman" w:cs="Times New Roman" w:eastAsia="Times New Roman" w:hAnsi="Times New Roman"/>
          <w:i w:val="1"/>
          <w:iCs w:val="1"/>
          <w:sz w:val="24"/>
          <w:szCs w:val="24"/>
          <w:rtl w:val="0"/>
        </w:rPr>
        <w:t xml:space="preserve">Computer security: Principles and practice</w:t>
      </w:r>
      <w:r w:rsidDel="00000000" w:rsidR="00000000" w:rsidRPr="00000000">
        <w:rPr>
          <w:rFonts w:ascii="Times New Roman" w:cs="Times New Roman" w:eastAsia="Times New Roman" w:hAnsi="Times New Roman"/>
          <w:sz w:val="24"/>
          <w:szCs w:val="24"/>
          <w:rtl w:val="0"/>
        </w:rPr>
        <w:t xml:space="preserve">. Pearson</w:t>
      </w:r>
    </w:p>
    <w:p w:rsidR="00000000" w:rsidDel="00000000" w:rsidP="00000000" w:rsidRDefault="00000000" w:rsidRPr="00000000" w14:paraId="0000005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Limited. </w:t>
      </w:r>
    </w:p>
    <w:p w:rsidR="00000000" w:rsidDel="00000000" w:rsidP="00000000" w:rsidRDefault="00000000" w:rsidRPr="00000000" w14:paraId="00000052">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ohnkasket@acmecorp.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