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异常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在程序中，有时候完成一些Transact-SQL会出现错误、异常信息。如果我们想自己处理这些异常信息的话，需要手动捕捉这些信息。那么我们可以利用try catch完成。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TRY…CATCH 构造包括两部分：一个 TRY 块和一个 CATCH 块。如果在 TRY 块中所包含的 Transact-SQL 语句中检测到错误条件，控制将被传递到 CATCH 块（可在此块中处理该错误）。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CATCH 块处理该异常错误后，控制将被传递到 END CATCH 语句后面的第一个 Transact-SQL 语句。如果 END CATCH 语句是存储过程或触发器中的最后一条语句，控制将返回到调用该存储过程或触发器的代码。将不执行 TRY 块中生成错误的语句后面的 Transact-SQL 语句。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如果 TRY 块中没有错误，控制将传递到关联的 END CATCH 语句后紧跟的语句。如果 END CATCH 语句是存储过程或触发器中的最后一条语句，控制将传递到调用该存储过程或触发器的语句。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TRY 块以 BEGIN TRY 语句开头，以 END TRY 语句结尾。在 BEGIN TRY 和 END TRY 语句之间可以指定一个或多个 Transact-SQL 语句。CATCH 块必须紧跟 TRY 块。CATCH 块以 BEGIN CATCH 语句开头，以 END CATCH 语句结尾。在 Transact-SQL 中，每个 TRY 块仅与一个 CATCH 块相关联。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# 错误函数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TRY...CATCH 使用错误函数来捕获错误信息。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ERROR_NUMBER() 返回错误号。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ERROR_MESSAGE() 返回错误消息的完整文本。此文本包括为任何可替换参数（如长度、对象名称或时间）提供的值。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ERROR_SEVERITY() 返回错误严重性。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ERROR_STATE() 返回错误状态号。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ERROR_LINE() 返回导致错误的例程中的行号。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ERROR_PROCEDURE() 返回出现错误的存储过程或触发器的名称。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--错误消息存储过程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'proc_error_info'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procedure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error_number()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'错误编号'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error_message()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'错误消息'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error_severity()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'严重性'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error_state()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'状态好'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error_line()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'错误行号'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error_procedure()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'错误对象(存储过程或触发器)名称'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# 示例：用异常处理错误信息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--简单try catch示例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/ 0;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 --调用错误消息存储过程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# 示例：异常能处理的错误信息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--简单try catch示例，无法处理错误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--简单try catch示例，不处理错误(不存在的表对象)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--异常处理，能处理存储过程（触发器）中（不存在表对象）的错误信息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'proc_select'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procedure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proc_select;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异常不能处理编译期的错误，如语法错误。以及重编译造成部分名称对象得不到正确解析的时候所出现的错误。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# 示例：无法提交的事务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--创建临时用表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'temp_tab'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temp_tab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temp_tab(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(100000, 1),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(200)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--没有createTime字段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temp_tab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createTime;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commit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proc_error_info;--显示异常信息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-1)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'会话具有活动事务，但出现了致使事务被归类为无法提交的事务的错误。'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'会话无法提交事务或回滚到保存点；它只能请求完全回滚事务。'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'会话在回滚事务之前无法执行任何写操作。会话在回滚事务之前只能执行读操作。'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'事务回滚之后，会话便可执行读写操作并可开始新的事务。'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'会话没有活动事务。'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1)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'会话具有活动事务。会话可以执行任何操作，包括写入数据和提交事务。'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    # 示例：处理异常日志信息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---异常、错误信息表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'errorLog'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errorLog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errorLog(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errorLogID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(100, 1),    --ErrorLog 行的主键。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errorTime datetime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getDate(),            --发生错误的日期和时间。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userName sysname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current_user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           --执行发生错误的批处理的用户。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errorNumber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                               --发生的错误的错误号。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errorSeverity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                               --发生的错误的严重性。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errorState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                                   --发生的错误的状态号。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errorProcedure nvarchar(126),                    --发生错误的存储过程或触发器的名称。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errorLine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                                   --发生错误的行号。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errorMessage nvarchar(4000)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--存储过程：添加异常日志信息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'proc_add_exception_log'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'p'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proc_add_exception_log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proc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proc_add_exception_log(@logId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= 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output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nocount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@logId = 0;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(error_number()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-1)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'会话具有活动事务，但出现了致使事务被归类为无法提交的事务的错误。'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'会话无法提交事务或回滚到保存点；它只能请求完全回滚事务。'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'会话在回滚事务之前无法执行任何写操作。会话在回滚事务之前只能执行读操作。'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   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'事务回滚之后，会话便可执行读写操作并可开始新的事务。'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'会话没有活动事务。'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= 1)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'会话具有活动事务。会话可以执行任何操作，包括写入数据和提交事务。'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--添加日志信息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errorLog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(getDate(),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current_user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error_number(),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error_severity(), error_state(),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error_procedure(),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error_line(), error_message());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--设置自增值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@logId = @@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'添加异常日志信息出现错误'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proc_error_info;--显示错误信息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-1;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---处理异常信息示例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--删除带有外键的记录信息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1;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commit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proc_error_info;--显示错误信息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(xact_state() &lt;&gt; 0)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rollback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proc_add_exception_log 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output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errorLog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errorLogID = @id;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/>
    <w:p>
      <w:r>
        <w:rPr>
          <w:rFonts w:hint="eastAsia"/>
        </w:rPr>
        <w:t>http://www.cnblogs.com/hoojo/archive/2011/07/19/2110325.html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7276"/>
    <w:rsid w:val="16A85F44"/>
    <w:rsid w:val="46922F99"/>
    <w:rsid w:val="64FD30F7"/>
    <w:rsid w:val="7B8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