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F6" w:rsidRPr="001839F6" w:rsidRDefault="001839F6" w:rsidP="00CE0591">
      <w:pPr>
        <w:ind w:firstLine="709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1839F6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 xml:space="preserve">Веб-ориентированная информационная система управления данными результатов исследования </w:t>
      </w:r>
      <w:proofErr w:type="spellStart"/>
      <w:r w:rsidRPr="001839F6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Pr="001839F6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 xml:space="preserve"> озера Байкал</w:t>
      </w:r>
    </w:p>
    <w:p w:rsidR="00CD2EBE" w:rsidRDefault="00195EC8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 целью определения функциональных требований и проектирования архитектуры в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еб-ориентированная информационная система управления данными результатов исследования </w:t>
      </w:r>
      <w:proofErr w:type="spellStart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озера Байкал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проведен а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нализ сложившейся практики в ЛИН</w:t>
      </w:r>
      <w:r w:rsidR="006B744A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 РАН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работы с дан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ными в исследованиях </w:t>
      </w:r>
      <w:proofErr w:type="spellStart"/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охватывая следующие вопросы планирования и исполнения рабочих процессов (вычислительных</w:t>
      </w:r>
      <w:r w:rsidR="00534917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цепоч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ек</w:t>
      </w:r>
      <w:r w:rsidR="00534917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обработки и анализа </w:t>
      </w:r>
      <w:proofErr w:type="spellStart"/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метагеномных</w:t>
      </w:r>
      <w:proofErr w:type="spellEnd"/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данных: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используемо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программно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обеспечени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объемы и скорость генерации данных, </w:t>
      </w:r>
      <w:r w:rsidR="0053491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принятие решений,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слабо автоматизированные</w:t>
      </w:r>
      <w:proofErr w:type="gramEnd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процессы (в которых активно используется «ручная» обработка данных).</w:t>
      </w:r>
      <w:r w:rsidR="00EC5E5F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D2EBE" w:rsidRDefault="006F09E0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Также выполнен о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бзор известного программного обеспечения, предназначенного для работы с данными в исследованиях </w:t>
      </w:r>
      <w:proofErr w:type="spellStart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рамках парадигмы Больших Данных.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Выполнен сравнительный обзор наиболее популярных современных платформ конвейерной обработки данных, применяемы</w:t>
      </w:r>
      <w:r w:rsid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</w:t>
      </w:r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научных исследованиях с интенсивным использованием данных, в том числе, </w:t>
      </w:r>
      <w:r w:rsid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R</w:t>
      </w:r>
      <w:proofErr w:type="spellStart"/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apidminer</w:t>
      </w:r>
      <w:proofErr w:type="spellEnd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KNIME, </w:t>
      </w:r>
      <w:proofErr w:type="spellStart"/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Pipline</w:t>
      </w:r>
      <w:proofErr w:type="spellEnd"/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Pilot</w:t>
      </w:r>
      <w:proofErr w:type="spellEnd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CD2EBE" w:rsidRPr="00CD2EBE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Taverna</w:t>
      </w:r>
      <w:proofErr w:type="spellEnd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Сравнение произведено по таким характеристикам, как модульность, требования к наличию навыков программирования у исследователя, открытость исходного кода, интеграция с языком программирования R, случаи применения в </w:t>
      </w:r>
      <w:proofErr w:type="spellStart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геномике</w:t>
      </w:r>
      <w:proofErr w:type="spellEnd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метагеномике</w:t>
      </w:r>
      <w:proofErr w:type="spellEnd"/>
      <w:r w:rsidR="00CD2EBE" w:rsidRPr="00CD2EB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195EC8" w:rsidRPr="00F008E4" w:rsidRDefault="00EC5E5F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результате п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одготов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лены предложения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 включению известного программного обеспечения в планируемый инструментарий, схем и форматов данных, разработке инструментов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планирования и исполнения вычислительных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технологических цепочек </w:t>
      </w:r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аналитики данных в исследовании </w:t>
      </w:r>
      <w:proofErr w:type="spellStart"/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="00195EC8"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оз. Байкал</w:t>
      </w:r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хранению</w:t>
      </w:r>
      <w:r w:rsid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обработки</w:t>
      </w:r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больших объемов </w:t>
      </w:r>
      <w:proofErr w:type="spellStart"/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метагеномных</w:t>
      </w:r>
      <w:proofErr w:type="spellEnd"/>
      <w:r w:rsidR="00FC0CF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в распределенной среде </w:t>
      </w:r>
      <w:r w:rsid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основе платформы </w:t>
      </w:r>
      <w:proofErr w:type="spellStart"/>
      <w:r w:rsidR="00F008E4" w:rsidRPr="00F008E4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="00F008E4" w:rsidRP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hyperlink r:id="rId8" w:history="1">
        <w:r w:rsidR="00F008E4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https://hadoop.apache.org</w:t>
        </w:r>
      </w:hyperlink>
      <w:r w:rsidR="00F008E4" w:rsidRPr="00F008E4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</w:t>
      </w:r>
    </w:p>
    <w:p w:rsidR="00CD2EBE" w:rsidRDefault="00ED79F1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нализ 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сложившейся практики в ЛИН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 РАН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показал,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</w:t>
      </w:r>
      <w:r w:rsidRPr="00ED79F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реализации многоэтапных рабочих п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роцесс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обработки и а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нализа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метагеномных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pipline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 вовлекаются различные программные комплексы обработки последовательностей,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статистические пакеты и скриптовые языки программирования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Для исполнения таких цепочек приходится задействовать высокопроизводительные вычислительные среды (суперкомпьютеры).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ля проведения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таких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исследований специалисту требуются навыки работы со сценариями командной оболочки, запуска пакетов в распределенной вычислительной среде, программирования на языках R или </w:t>
      </w:r>
      <w:proofErr w:type="spellStart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Python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Как правило, для микробиологов реализация подобных цепочек вызывает затруднения. </w:t>
      </w:r>
    </w:p>
    <w:p w:rsidR="00054D55" w:rsidRPr="00054D55" w:rsidRDefault="000C16DB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настоящее время в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ИН СО РАН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получения таблицы встречаемости используется программный комплекс MOTHUR </w:t>
      </w:r>
      <w:r w:rsidR="000D4077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hyperlink r:id="rId9" w:history="1">
        <w:r w:rsidR="000D4077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https://www.mothur.org</w:t>
        </w:r>
      </w:hyperlink>
      <w:r w:rsidR="000D4077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0D4077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интерфейсом командной строки. Некоторые этапы (например, кластеризация прочтений) требовательны к вычислительным ресурсам. Их выполнение на локальной рабочей машине пользователя занимает продолжительное время. Для решения этой проблемы активно используются ресурсы Иркутского суперкомпьютерного центра СО РАН (https://hpc.icc.ru). Цепочки обработки и анализа </w:t>
      </w:r>
      <w:proofErr w:type="spell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метагеномных</w:t>
      </w:r>
      <w:proofErr w:type="spellEnd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выполняются на вычислительном кластере «Академик В.М. Матросов». </w:t>
      </w:r>
      <w:proofErr w:type="gram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Текущая реализация этого процесса сопряжена с рядом сложностей: микробиологам 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ИН СО РАН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приходится удаленно подключаться к вычислительному кластеру по протоколу SSH (</w:t>
      </w:r>
      <w:proofErr w:type="spell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Secure</w:t>
      </w:r>
      <w:proofErr w:type="spellEnd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Shell</w:t>
      </w:r>
      <w:proofErr w:type="spellEnd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); каждая команда вводится пользователем вручную в командной строке; хранение получаемых данных не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унифицировано, зависит полностью от пользователя, что усложняет доступ к данным и их повторное использ</w:t>
      </w:r>
      <w:r w:rsidR="003E462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ование другими исследователями.</w:t>
      </w:r>
      <w:proofErr w:type="gramEnd"/>
    </w:p>
    <w:p w:rsidR="00054D55" w:rsidRPr="00054D55" w:rsidRDefault="00140114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рамках проекта разработан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прототип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еб-ориентированной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информационн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ой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</w:t>
      </w:r>
      <w:r w:rsidR="00F21586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ы</w:t>
      </w:r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управления данными результатов исследования </w:t>
      </w:r>
      <w:proofErr w:type="spellStart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Pr="00195EC8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озера Байкал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(ИС),</w:t>
      </w:r>
      <w:r w:rsidR="00CE059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направленн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ая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преодоление перечисленных недостатков.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преследует следующие цели: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у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правление данными (распределенное хранение, обеспечение пользовательского и программного интерфейса доступа) результатов исследования </w:t>
      </w:r>
      <w:proofErr w:type="spell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</w:t>
      </w:r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протяжени</w:t>
      </w:r>
      <w:proofErr w:type="gramStart"/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proofErr w:type="gramEnd"/>
      <w:r w:rsidR="00423DA3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их жизненного цикла; 2) п</w:t>
      </w:r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ланирование и исполнение технологических цепочек обработки и анализа больших объемов </w:t>
      </w:r>
      <w:proofErr w:type="spellStart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метагеномных</w:t>
      </w:r>
      <w:proofErr w:type="spellEnd"/>
      <w:r w:rsidR="00054D55"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данных.</w:t>
      </w:r>
    </w:p>
    <w:p w:rsidR="000D4077" w:rsidRDefault="000D4077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811E4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FD88811" wp14:editId="70E8C6BE">
            <wp:extent cx="5160645" cy="5820410"/>
            <wp:effectExtent l="0" t="0" r="1905" b="8890"/>
            <wp:docPr id="2" name="Рисунок 2" descr="D:\Box Sync\Papers\2017\Morozov\Simpl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x Sync\Papers\2017\Morozov\Simple 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55" w:rsidRPr="00054D55" w:rsidRDefault="00054D55" w:rsidP="002F538F">
      <w:pPr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F538F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Рис. 1.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Упрощенное представление схемы данных результатов исследования </w:t>
      </w:r>
      <w:proofErr w:type="spellStart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ребра, подписанные (1..n), соответствуют отношениям типа один-ко-многим, подпись (</w:t>
      </w:r>
      <w:proofErr w:type="spellStart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n..m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 показывает отношения типа многие-ко-многим.</w:t>
      </w:r>
    </w:p>
    <w:p w:rsidR="002F538F" w:rsidRDefault="002F538F" w:rsidP="00CE0591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Спроектирована схема хранения данных, получаемых при исследовании </w:t>
      </w:r>
      <w:proofErr w:type="spellStart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 (Рис. 1). Схема охватывает информацию о сборе проб, анализе физико-химических и биологических параметров этих проб, результатов </w:t>
      </w:r>
      <w:proofErr w:type="spellStart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lastRenderedPageBreak/>
        <w:t xml:space="preserve">применяемом оборудовании, таксономических базах, методиках анализа собранных материалов, публикациях результатов исследований, а также исследователях, принимающих участие в получении результатов. Также она позволяет хранить используемые вычислительные цепочки обработки и анализа </w:t>
      </w:r>
      <w:proofErr w:type="spellStart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метагеномных</w:t>
      </w:r>
      <w:proofErr w:type="spellEnd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данных, включая информацию о программных инструментах, командах и конфигурационных файлов.</w:t>
      </w:r>
    </w:p>
    <w:p w:rsidR="00623F39" w:rsidRDefault="00623F39" w:rsidP="002D3DD0">
      <w:pPr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71FA7D" wp14:editId="62A37A47">
            <wp:extent cx="5940425" cy="1856105"/>
            <wp:effectExtent l="0" t="0" r="3175" b="0"/>
            <wp:docPr id="5" name="Рисунок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xmlns:w15="http://schemas.microsoft.com/office/word/2012/wordml" id="{71539E0A-DA56-4784-8644-2BD7498690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xmlns:w15="http://schemas.microsoft.com/office/word/2012/wordml" id="{71539E0A-DA56-4784-8644-2BD7498690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875" cy="1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39" w:rsidRDefault="00623F39" w:rsidP="00623F39">
      <w:pPr>
        <w:jc w:val="center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11D1B">
        <w:rPr>
          <w:rFonts w:ascii="Times New Roman" w:eastAsia="Arial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Рис. 2.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Фрагмент модели ИС для инструментальной платфо</w:t>
      </w:r>
      <w:bookmarkStart w:id="0" w:name="_GoBack"/>
      <w:bookmarkEnd w:id="0"/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рмы </w:t>
      </w:r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Start"/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jango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473704" w:rsidRPr="00054D55" w:rsidRDefault="00473704" w:rsidP="00473704">
      <w:pPr>
        <w:ind w:firstLine="709"/>
        <w:jc w:val="both"/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 основе спроектированной схемы разработана информационная м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одель 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</w:t>
      </w:r>
      <w:r w:rsidR="00D40FC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обеспечивающая управление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данных всего цикла исследования </w:t>
      </w:r>
      <w:proofErr w:type="spellStart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микробиома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начиная от отбора пробы и заканчивая публикацией научных результатов.</w:t>
      </w:r>
      <w:r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D40FC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Модель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реализована средствами инструментальной платформы разработки программного обеспечения </w:t>
      </w:r>
      <w:r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eastAsia="ru-RU"/>
        </w:rPr>
        <w:t>D</w:t>
      </w:r>
      <w:proofErr w:type="spellStart"/>
      <w:r w:rsidR="00D40FC1" w:rsidRPr="00D40FC1">
        <w:rPr>
          <w:rFonts w:ascii="Times New Roman" w:eastAsia="Arial" w:hAnsi="Times New Roman" w:cs="Times New Roman"/>
          <w:smallCaps/>
          <w:color w:val="000000"/>
          <w:sz w:val="24"/>
          <w:szCs w:val="24"/>
          <w:shd w:val="clear" w:color="auto" w:fill="FFFFFF"/>
          <w:lang w:val="en-US" w:eastAsia="ru-RU"/>
        </w:rPr>
        <w:t>jango</w:t>
      </w:r>
      <w:proofErr w:type="spellEnd"/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hyperlink r:id="rId12" w:history="1">
        <w:r w:rsidR="00D40FC1" w:rsidRPr="008A5E3B">
          <w:rPr>
            <w:rStyle w:val="a7"/>
            <w:rFonts w:ascii="Times New Roman" w:eastAsia="Arial" w:hAnsi="Times New Roman" w:cs="Times New Roman"/>
            <w:sz w:val="24"/>
            <w:szCs w:val="24"/>
            <w:shd w:val="clear" w:color="auto" w:fill="FFFFFF"/>
            <w:lang w:eastAsia="ru-RU"/>
          </w:rPr>
          <w:t>https://www.djangoproject.com</w:t>
        </w:r>
      </w:hyperlink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). </w:t>
      </w:r>
      <w:r w:rsidR="00D9112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Фрагмент модели представлен на Рис. 2. По модели </w:t>
      </w:r>
      <w:r w:rsidR="00B03B6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ИС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создана </w:t>
      </w:r>
      <w:r w:rsidR="003F0082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соответствующая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структура базы данных </w:t>
      </w:r>
      <w:r w:rsidR="00D42D4E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формате </w:t>
      </w:r>
      <w:r w:rsidR="00D42D4E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системы управления данными </w:t>
      </w:r>
      <w:proofErr w:type="spellStart"/>
      <w:r w:rsidR="00080D6A" w:rsidRPr="00080D6A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PostgreSQL</w:t>
      </w:r>
      <w:proofErr w:type="spellEnd"/>
      <w:r w:rsidR="00080D6A" w:rsidRP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(</w:t>
      </w:r>
      <w:hyperlink r:id="rId13" w:history="1">
        <w:r w:rsidR="00080D6A" w:rsidRPr="008A5E3B">
          <w:rPr>
            <w:rStyle w:val="a7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https://www.postgresql.org</w:t>
        </w:r>
      </w:hyperlink>
      <w:r w:rsidR="00080D6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)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</w:t>
      </w:r>
      <w:r w:rsidR="00D91121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сгенерирован 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настраиваемый </w:t>
      </w:r>
      <w:r w:rsidR="00711D1B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пользовательский веб-</w:t>
      </w:r>
      <w:r w:rsidRPr="00054D55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интерфейс административной панели, позволяющий на этапе разработки проводить тес</w:t>
      </w:r>
      <w:r w:rsidR="00D87A5C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тирование разработанной модели и тестовое наполнение базы данных </w:t>
      </w:r>
      <w:r w:rsidR="00D87A5C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результатов исследования </w:t>
      </w:r>
      <w:proofErr w:type="spellStart"/>
      <w:r w:rsidR="00D87A5C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="00D87A5C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</w:t>
      </w:r>
      <w:r w:rsidR="00D87A5C">
        <w:rPr>
          <w:rFonts w:ascii="Times New Roman" w:eastAsia="Arial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965529" w:rsidRDefault="00965529" w:rsidP="00965529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</w:t>
      </w:r>
      <w:r w:rsidR="006F7B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текущей версии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модели ИС реализованы следующие сущности</w:t>
      </w:r>
      <w:r w:rsidR="00F0161E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:</w:t>
      </w:r>
    </w:p>
    <w:p w:rsidR="00965529" w:rsidRPr="00062033" w:rsidRDefault="00DF3B03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Организации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справочник научных организаций, проводящих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DF3B03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Исследователи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справочник исследователей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аффилированным с ними организациям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Водны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е</w:t>
      </w:r>
      <w:r w:rsidR="001E1D76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объект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E1D76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– 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исследуемых водных объектов.</w:t>
      </w:r>
    </w:p>
    <w:p w:rsidR="00965529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Зон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справочник зон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водны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объект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(например,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котловин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Байкала</w:t>
      </w:r>
      <w:r w:rsidR="003865B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водным объектам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C018E8" w:rsidRPr="00062033" w:rsidRDefault="00C018E8" w:rsidP="00C018E8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Станции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пространственный список станций (мест отбора проб) с привязкой к водным объектам и их зонам.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исследования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типов исследования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физические, химические и д</w:t>
      </w:r>
      <w:r w:rsidR="007921F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="0096483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Параметр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C94F8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справочник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физических, химических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 других измеряемых параметров</w:t>
      </w:r>
      <w:r w:rsidR="0006203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типам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Ген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400303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генов.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Публикаци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публикаций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результатами исследований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на которые могут ссылаться другие </w:t>
      </w:r>
      <w:r w:rsidR="0068416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сущности</w:t>
      </w:r>
      <w:r w:rsidR="002A4306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исследователям, являющимися авторами данных публикаций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Метод</w:t>
      </w:r>
      <w:r w:rsidR="00DF3B0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 исследования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метод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используемых в исследованиях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привязкой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 используемому оборудованию и расходным материалам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а также п</w:t>
      </w:r>
      <w:r w:rsidR="00E0710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убликация</w:t>
      </w:r>
      <w:r w:rsidR="001C5F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 с описанием данных методов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lastRenderedPageBreak/>
        <w:t>Категори</w:t>
      </w:r>
      <w:r w:rsidR="00300685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методов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поисковый справочник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категориями методов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исследования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Программ</w:t>
      </w:r>
      <w:r w:rsidR="00DF521C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ное обеспечение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 программных пакетов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ых</w:t>
      </w:r>
      <w:r w:rsidR="00EB4A4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рабочих процессах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обработки и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анализа </w:t>
      </w:r>
      <w:proofErr w:type="spellStart"/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метагеномных</w:t>
      </w:r>
      <w:proofErr w:type="spellEnd"/>
      <w:r w:rsidR="00DF521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данных.</w:t>
      </w:r>
    </w:p>
    <w:p w:rsidR="00965529" w:rsidRPr="00062033" w:rsidRDefault="00300685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Таксономические базы</w:t>
      </w:r>
      <w:r w:rsidR="00845074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список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баз данных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для определения таксономических 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элементов.</w:t>
      </w:r>
    </w:p>
    <w:p w:rsidR="00965529" w:rsidRPr="00062033" w:rsidRDefault="00300685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Идентификаторы таксонов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17527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идентификаторов таксонов</w:t>
      </w:r>
      <w:r w:rsidR="003913D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таксономическим базам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C018E8" w:rsidRPr="00062033" w:rsidRDefault="00C018E8" w:rsidP="00C018E8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Типы пробы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справочник типов пробы, (например, донные осадки, подлёдная проба, и др.).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Проб</w:t>
      </w:r>
      <w:r w:rsidR="002B7CA9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2B7CA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A589A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отобранных проб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с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танция</w:t>
      </w:r>
      <w:r w:rsidR="008438A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</w:t>
      </w:r>
      <w:r w:rsidR="00DA0D7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типам проб и станциям отбора проб</w:t>
      </w:r>
      <w:r w:rsidR="00145C4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Анализ</w:t>
      </w:r>
      <w:r w:rsidR="008438A7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проб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результатов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анализ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проб по </w:t>
      </w:r>
      <w:proofErr w:type="gram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определённо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</w:t>
      </w:r>
      <w:proofErr w:type="gramEnd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параметр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(д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ля одной пробы может быть </w:t>
      </w:r>
      <w:r w:rsidR="008F211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проведено много разных анализов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 с привязкой к собранным пробам, использованному оборудованию, расходным материалам и методам исследования, исследуемым параметрам, а также задействованным исследователям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062033" w:rsidRPr="00062033" w:rsidRDefault="00062033" w:rsidP="00062033">
      <w:pPr>
        <w:pStyle w:val="a3"/>
        <w:numPr>
          <w:ilvl w:val="0"/>
          <w:numId w:val="8"/>
        </w:numPr>
        <w:spacing w:after="0" w:line="257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Типы оборудования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древовидный классификатор типов оборудования, используемого в исследовании.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Оборудование и расход</w:t>
      </w:r>
      <w:r w:rsidR="00434D43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ные материалы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список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оборудовани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я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расходных материал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используемых в исследовани</w:t>
      </w:r>
      <w:r w:rsidR="0037452E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(например, 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NGS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платформы </w:t>
      </w:r>
      <w:proofErr w:type="spellStart"/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2912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с привязкой к типам оборудования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37452E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Рабочие процессы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 цепочек (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pipeline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) обработки и анализа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метагеномных</w:t>
      </w:r>
      <w:proofErr w:type="spellEnd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06296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обеспечивающий</w:t>
      </w:r>
      <w:r w:rsidR="009C077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62968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их воспроизведение</w:t>
      </w:r>
      <w:r w:rsidR="00134ABA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42072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 привязкой к </w:t>
      </w:r>
      <w:r w:rsidR="002912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программному </w:t>
      </w:r>
      <w:r w:rsidR="000F6C6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обеспечению</w:t>
      </w:r>
      <w:r w:rsidR="009C0771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proofErr w:type="spellStart"/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Ампликон</w:t>
      </w:r>
      <w:r w:rsidR="00A56692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proofErr w:type="spellEnd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ампликон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proofErr w:type="spellEnd"/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пробам, рабочим процессам, методам исследования и генам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Запуск</w:t>
      </w:r>
      <w:r w:rsidR="0089178E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и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</w:t>
      </w:r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выполненных запусков </w:t>
      </w:r>
      <w:proofErr w:type="spellStart"/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C055C5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исследователям и организациям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965529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Результат</w:t>
      </w:r>
      <w:r w:rsidR="0089178E"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ы</w:t>
      </w: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результат</w:t>
      </w:r>
      <w:r w:rsidR="00752B5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ов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04579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(файлов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 данными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045797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)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з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апуск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, о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борудовани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ю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расходн</w:t>
      </w:r>
      <w:r w:rsidR="00DB691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ым материалам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89178E" w:rsidRPr="00062033" w:rsidRDefault="00965529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B5716C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список полученных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матриц 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по результатам </w:t>
      </w:r>
      <w:proofErr w:type="spellStart"/>
      <w:r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секвенирования</w:t>
      </w:r>
      <w:proofErr w:type="spellEnd"/>
      <w:r w:rsidR="003F4F4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 привязкой к рабочим процес</w:t>
      </w:r>
      <w:r w:rsidR="00703F5B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сам и идентификаторам таксонов</w:t>
      </w:r>
      <w:r w:rsidR="00D31B4D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684B24" w:rsidRPr="00062033" w:rsidRDefault="0089178E" w:rsidP="00062033">
      <w:pPr>
        <w:pStyle w:val="a3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62033">
        <w:rPr>
          <w:rFonts w:ascii="Times New Roman" w:hAnsi="Times New Roman" w:cs="Times New Roman"/>
          <w:i/>
          <w:color w:val="333333"/>
          <w:spacing w:val="-1"/>
          <w:sz w:val="24"/>
          <w:szCs w:val="24"/>
          <w:shd w:val="clear" w:color="auto" w:fill="FFFFFF"/>
        </w:rPr>
        <w:t>Прочтения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– 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список </w:t>
      </w:r>
      <w:r w:rsidR="00E32F3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прочтений</w:t>
      </w:r>
      <w:r w:rsidR="005A787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привязк</w:t>
      </w:r>
      <w:r w:rsidR="005A787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ой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к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ампликон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ам</w:t>
      </w:r>
      <w:proofErr w:type="spellEnd"/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 матрицам </w:t>
      </w:r>
      <w:r w:rsidR="00DD6D20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  <w:lang w:val="en-US"/>
        </w:rPr>
        <w:t>OTU</w:t>
      </w:r>
      <w:r w:rsidR="00965529" w:rsidRPr="0006203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6D0162" w:rsidRDefault="006D0162" w:rsidP="00CE0591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</w:p>
    <w:p w:rsidR="00821A73" w:rsidRDefault="00623F39" w:rsidP="00CE0591">
      <w:pPr>
        <w:spacing w:after="0"/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Пользовательский</w:t>
      </w:r>
      <w:proofErr w:type="gramEnd"/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веб-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интерфейс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доступа к данным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разработанного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прототипа ИС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настроен с использованием встроенных возможностей</w:t>
      </w:r>
      <w:r w:rsidR="00EE1B7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инструментальной платформы </w:t>
      </w:r>
      <w:proofErr w:type="spellStart"/>
      <w:r w:rsidR="00821A73" w:rsidRPr="00EE1B7A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Django</w:t>
      </w:r>
      <w:proofErr w:type="spellEnd"/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. В </w:t>
      </w:r>
      <w:r w:rsidR="00C12ACA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пользовательском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интерфейсе были </w:t>
      </w:r>
      <w:r w:rsidR="008630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реализованы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возможности добавления, редактирования и удаления для всех 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представленных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сущностей. Так же настроены элементы </w:t>
      </w:r>
      <w:r w:rsidR="0086305D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управления для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поиска, фильтрации, сортировки добавленных данных. Кроме того, при добавлении данных пользователями перед отправкой данных на сервер, осуществляется проверка вводимых данных, согласно заданным правилам, и в случае ошибки ввода данных пользователь видит, где именно 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произошла </w:t>
      </w:r>
      <w:r w:rsidR="00821A73" w:rsidRPr="00821A7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ошибка</w:t>
      </w:r>
      <w:r w:rsidR="004700F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0D2C8C" w:rsidRPr="00054D55" w:rsidRDefault="001B2409" w:rsidP="005727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настоящее время </w:t>
      </w:r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прототип ИС развернут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облачной вычислительной инфраструктуре ИДСТУ СО РАН.</w:t>
      </w:r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Опытная версия ИС доступна по адресу </w:t>
      </w:r>
      <w:hyperlink r:id="rId14" w:history="1">
        <w:r w:rsidR="00987570" w:rsidRPr="008A5E3B">
          <w:rPr>
            <w:rStyle w:val="a7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http://ngs.icc.ru:88</w:t>
        </w:r>
      </w:hyperlink>
      <w:r w:rsidR="00987570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Прототип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развёрнут 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в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серверном дистрибутиве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операционной системы 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GNU/</w:t>
      </w:r>
      <w:proofErr w:type="spellStart"/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Linux</w:t>
      </w:r>
      <w:proofErr w:type="spellEnd"/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CentOS</w:t>
      </w:r>
      <w:proofErr w:type="spellEnd"/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версии 7.3. В качестве СУБД используется </w:t>
      </w:r>
      <w:proofErr w:type="spellStart"/>
      <w:r w:rsidR="001E3865" w:rsidRPr="00450F34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PostgreSQL</w:t>
      </w:r>
      <w:proofErr w:type="spellEnd"/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версии 9.4, а веб сервер сконфигурирован в связке</w:t>
      </w:r>
      <w:r w:rsidR="00843203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инструментов</w:t>
      </w:r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E3865" w:rsidRPr="006E3155">
        <w:rPr>
          <w:rFonts w:ascii="Times New Roman" w:hAnsi="Times New Roman" w:cs="Times New Roman"/>
          <w:smallCaps/>
          <w:color w:val="333333"/>
          <w:spacing w:val="-1"/>
          <w:sz w:val="24"/>
          <w:szCs w:val="24"/>
          <w:shd w:val="clear" w:color="auto" w:fill="FFFFFF"/>
        </w:rPr>
        <w:t>nginx+gunicorn</w:t>
      </w:r>
      <w:proofErr w:type="spellEnd"/>
      <w:r w:rsidR="001E3865" w:rsidRPr="001E386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</w:t>
      </w:r>
      <w:r w:rsidR="00450F34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Такая реализация ИС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позволила организовать удаленный доступ к данным исследований </w:t>
      </w:r>
      <w:proofErr w:type="spellStart"/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, и в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lastRenderedPageBreak/>
        <w:t>дальнейшем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позволит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микробиологам самостоятельно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управлять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данными рабочих процессов </w:t>
      </w:r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обработки и анализа </w:t>
      </w:r>
      <w:proofErr w:type="spellStart"/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метагеномных</w:t>
      </w:r>
      <w:proofErr w:type="spellEnd"/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 при исследовании </w:t>
      </w:r>
      <w:proofErr w:type="spellStart"/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="00572798" w:rsidRP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 В настоящее время н</w:t>
      </w:r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ачат </w:t>
      </w:r>
      <w:r w:rsidR="0057279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тестовый</w:t>
      </w:r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ввод имеющихся данных ЛИН СО РАН по исследованию </w:t>
      </w:r>
      <w:proofErr w:type="spellStart"/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="00572798"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Байкал.</w:t>
      </w:r>
    </w:p>
    <w:p w:rsidR="000D2C8C" w:rsidRDefault="000D2C8C" w:rsidP="00CE0591">
      <w:pPr>
        <w:pStyle w:val="LO-normal"/>
        <w:spacing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3F39" w:rsidRPr="00054D55" w:rsidRDefault="00623F39" w:rsidP="00623F39">
      <w:pPr>
        <w:pStyle w:val="a3"/>
        <w:ind w:left="0"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054D55">
        <w:rPr>
          <w:rFonts w:ascii="Times New Roman" w:hAnsi="Times New Roman" w:cs="Times New Roman"/>
          <w:noProof/>
          <w:color w:val="333333"/>
          <w:spacing w:val="-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B7FD35A" wp14:editId="01DC09AD">
            <wp:extent cx="4938712" cy="4710565"/>
            <wp:effectExtent l="0" t="0" r="0" b="0"/>
            <wp:docPr id="2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12" cy="4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23F39" w:rsidRPr="00054D55" w:rsidRDefault="00623F39" w:rsidP="00623F39">
      <w:pPr>
        <w:pStyle w:val="a3"/>
        <w:ind w:left="0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5C6675">
        <w:rPr>
          <w:rFonts w:ascii="Times New Roman" w:hAnsi="Times New Roman" w:cs="Times New Roman"/>
          <w:b/>
          <w:color w:val="333333"/>
          <w:spacing w:val="-1"/>
          <w:sz w:val="24"/>
          <w:szCs w:val="24"/>
          <w:shd w:val="clear" w:color="auto" w:fill="FFFFFF"/>
        </w:rPr>
        <w:t>Рис. 3.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Снимок экрана пользовательского веб-интерфейса опытной версии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ИС: форма </w:t>
      </w:r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доступа к данным результатов исследования </w:t>
      </w:r>
      <w:proofErr w:type="spellStart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Pr="00054D55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Байкал.</w:t>
      </w:r>
    </w:p>
    <w:p w:rsidR="00623F39" w:rsidRDefault="00623F39" w:rsidP="000212AE">
      <w:pPr>
        <w:pStyle w:val="LO-normal"/>
        <w:spacing w:line="259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43F" w:rsidRPr="00054D55" w:rsidRDefault="00B1043F" w:rsidP="000212AE">
      <w:pPr>
        <w:pStyle w:val="LO-normal"/>
        <w:spacing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212AE">
        <w:rPr>
          <w:rFonts w:ascii="Times New Roman" w:hAnsi="Times New Roman" w:cs="Times New Roman"/>
          <w:b/>
          <w:sz w:val="24"/>
          <w:szCs w:val="24"/>
        </w:rPr>
        <w:t>Публикации</w:t>
      </w:r>
    </w:p>
    <w:p w:rsidR="000D2C8C" w:rsidRPr="00054D55" w:rsidRDefault="000D2C8C" w:rsidP="00CE0591">
      <w:pPr>
        <w:pStyle w:val="LO-normal"/>
        <w:spacing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3834" w:rsidRPr="008047A8" w:rsidRDefault="000C1665" w:rsidP="00804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8047A8">
        <w:rPr>
          <w:rFonts w:ascii="Times New Roman" w:hAnsi="Times New Roman" w:cs="Times New Roman"/>
          <w:sz w:val="24"/>
          <w:szCs w:val="24"/>
        </w:rPr>
        <w:t xml:space="preserve">Морозов А.А., </w:t>
      </w:r>
      <w:proofErr w:type="spellStart"/>
      <w:r w:rsidRPr="008047A8">
        <w:rPr>
          <w:rFonts w:ascii="Times New Roman" w:hAnsi="Times New Roman" w:cs="Times New Roman"/>
          <w:sz w:val="24"/>
          <w:szCs w:val="24"/>
        </w:rPr>
        <w:t>Шигаров</w:t>
      </w:r>
      <w:proofErr w:type="spellEnd"/>
      <w:r w:rsidRPr="008047A8">
        <w:rPr>
          <w:rFonts w:ascii="Times New Roman" w:hAnsi="Times New Roman" w:cs="Times New Roman"/>
          <w:sz w:val="24"/>
          <w:szCs w:val="24"/>
        </w:rPr>
        <w:t xml:space="preserve"> А.О., Малков Ф.С., </w:t>
      </w:r>
      <w:proofErr w:type="spellStart"/>
      <w:r w:rsidRPr="008047A8">
        <w:rPr>
          <w:rFonts w:ascii="Times New Roman" w:hAnsi="Times New Roman" w:cs="Times New Roman"/>
          <w:sz w:val="24"/>
          <w:szCs w:val="24"/>
        </w:rPr>
        <w:t>Паскал</w:t>
      </w:r>
      <w:proofErr w:type="spellEnd"/>
      <w:r w:rsidRPr="008047A8">
        <w:rPr>
          <w:rFonts w:ascii="Times New Roman" w:hAnsi="Times New Roman" w:cs="Times New Roman"/>
          <w:sz w:val="24"/>
          <w:szCs w:val="24"/>
        </w:rPr>
        <w:t xml:space="preserve"> К.К., Черкашин Е.А., </w:t>
      </w:r>
      <w:proofErr w:type="spellStart"/>
      <w:r w:rsidRPr="008047A8">
        <w:rPr>
          <w:rFonts w:ascii="Times New Roman" w:hAnsi="Times New Roman" w:cs="Times New Roman"/>
          <w:sz w:val="24"/>
          <w:szCs w:val="24"/>
        </w:rPr>
        <w:t>Лихошвай</w:t>
      </w:r>
      <w:proofErr w:type="spellEnd"/>
      <w:r w:rsidRPr="008047A8">
        <w:rPr>
          <w:rFonts w:ascii="Times New Roman" w:hAnsi="Times New Roman" w:cs="Times New Roman"/>
          <w:sz w:val="24"/>
          <w:szCs w:val="24"/>
        </w:rPr>
        <w:t xml:space="preserve"> Е.В. Информационно-вычислительная инфраструктура для поддержки </w:t>
      </w:r>
      <w:proofErr w:type="spellStart"/>
      <w:r w:rsidRPr="008047A8">
        <w:rPr>
          <w:rFonts w:ascii="Times New Roman" w:hAnsi="Times New Roman" w:cs="Times New Roman"/>
          <w:sz w:val="24"/>
          <w:szCs w:val="24"/>
        </w:rPr>
        <w:t>метагеномного</w:t>
      </w:r>
      <w:proofErr w:type="spellEnd"/>
      <w:r w:rsidRPr="008047A8">
        <w:rPr>
          <w:rFonts w:ascii="Times New Roman" w:hAnsi="Times New Roman" w:cs="Times New Roman"/>
          <w:sz w:val="24"/>
          <w:szCs w:val="24"/>
        </w:rPr>
        <w:t xml:space="preserve"> анализа // Вестник ИГУ. – 2017. </w:t>
      </w:r>
      <w:r w:rsidRPr="00AA50EF">
        <w:rPr>
          <w:rFonts w:ascii="Times New Roman" w:hAnsi="Times New Roman" w:cs="Times New Roman"/>
          <w:i/>
          <w:sz w:val="24"/>
          <w:szCs w:val="24"/>
        </w:rPr>
        <w:t>(</w:t>
      </w:r>
      <w:r w:rsidR="00AA50EF" w:rsidRPr="00AA50EF">
        <w:rPr>
          <w:rFonts w:ascii="Times New Roman" w:hAnsi="Times New Roman" w:cs="Times New Roman"/>
          <w:i/>
          <w:sz w:val="24"/>
          <w:szCs w:val="24"/>
        </w:rPr>
        <w:t xml:space="preserve">принята </w:t>
      </w:r>
      <w:r w:rsidRPr="00AA50EF">
        <w:rPr>
          <w:rFonts w:ascii="Times New Roman" w:hAnsi="Times New Roman" w:cs="Times New Roman"/>
          <w:i/>
          <w:sz w:val="24"/>
          <w:szCs w:val="24"/>
        </w:rPr>
        <w:t>в печат</w:t>
      </w:r>
      <w:r w:rsidR="00AA50EF" w:rsidRPr="00AA50EF">
        <w:rPr>
          <w:rFonts w:ascii="Times New Roman" w:hAnsi="Times New Roman" w:cs="Times New Roman"/>
          <w:i/>
          <w:sz w:val="24"/>
          <w:szCs w:val="24"/>
        </w:rPr>
        <w:t>ь</w:t>
      </w:r>
      <w:r w:rsidRPr="00AA50EF">
        <w:rPr>
          <w:rFonts w:ascii="Times New Roman" w:hAnsi="Times New Roman" w:cs="Times New Roman"/>
          <w:i/>
          <w:sz w:val="24"/>
          <w:szCs w:val="24"/>
        </w:rPr>
        <w:t>)</w:t>
      </w:r>
    </w:p>
    <w:p w:rsidR="001B2409" w:rsidRDefault="001B2409" w:rsidP="008047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Малков Ф.С., </w:t>
      </w:r>
      <w:proofErr w:type="spellStart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Галачьянц</w:t>
      </w:r>
      <w:proofErr w:type="spellEnd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Ю.П., </w:t>
      </w:r>
      <w:proofErr w:type="spellStart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Шигаров</w:t>
      </w:r>
      <w:proofErr w:type="spellEnd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А.О., Морозов А.А., Михайлов И.С., Ломакина А.В., Захаренко А.С. Управление данными в исследовании </w:t>
      </w:r>
      <w:proofErr w:type="spellStart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оз. Байкал // Тезисы докладов 18-й </w:t>
      </w:r>
      <w:proofErr w:type="spellStart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Всеросс</w:t>
      </w:r>
      <w:proofErr w:type="spellEnd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конф</w:t>
      </w:r>
      <w:proofErr w:type="spellEnd"/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. молодых ученых по математическому моделированию и информационным технологиям. Иркутск, 2017. </w:t>
      </w:r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С</w:t>
      </w:r>
      <w:r w:rsidRPr="008047A8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. 82.</w:t>
      </w:r>
    </w:p>
    <w:p w:rsidR="00F86F52" w:rsidRPr="00DF44D9" w:rsidRDefault="00F86F52" w:rsidP="00DF44D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Малков Ф.С., Черкашин Е.А., </w:t>
      </w:r>
      <w:proofErr w:type="spellStart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Шигаров</w:t>
      </w:r>
      <w:proofErr w:type="spellEnd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А.О.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Перспективы применения системы управления рабочим процессом </w:t>
      </w:r>
      <w:proofErr w:type="spellStart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Taverna</w:t>
      </w:r>
      <w:proofErr w:type="spellEnd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в задачах обработки </w:t>
      </w:r>
      <w:proofErr w:type="spellStart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метагеномных</w:t>
      </w:r>
      <w:proofErr w:type="spellEnd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данных при исследовании </w:t>
      </w:r>
      <w:proofErr w:type="spellStart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микробиома</w:t>
      </w:r>
      <w:proofErr w:type="spellEnd"/>
      <w:r w:rsidRPr="00F86F52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озера Байкал </w:t>
      </w:r>
      <w:r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// </w:t>
      </w:r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Материалы конференции «</w:t>
      </w:r>
      <w:proofErr w:type="spellStart"/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>Ляпуновские</w:t>
      </w:r>
      <w:proofErr w:type="spellEnd"/>
      <w:r w:rsidR="00DF44D9"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  <w:t xml:space="preserve"> чтения». 2017. С. 32.</w:t>
      </w:r>
    </w:p>
    <w:p w:rsidR="009A1E72" w:rsidRPr="00054D55" w:rsidRDefault="009A1E72" w:rsidP="00CE0591">
      <w:pPr>
        <w:ind w:firstLine="709"/>
        <w:jc w:val="both"/>
        <w:rPr>
          <w:rFonts w:ascii="Times New Roman" w:hAnsi="Times New Roman" w:cs="Times New Roman"/>
          <w:color w:val="333333"/>
          <w:spacing w:val="-1"/>
          <w:sz w:val="24"/>
          <w:szCs w:val="24"/>
          <w:shd w:val="clear" w:color="auto" w:fill="FFFFFF"/>
        </w:rPr>
      </w:pPr>
    </w:p>
    <w:sectPr w:rsidR="009A1E72" w:rsidRPr="00054D55" w:rsidSect="00BB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FA3" w:rsidRDefault="009A6FA3" w:rsidP="00F86F52">
      <w:pPr>
        <w:spacing w:after="0" w:line="240" w:lineRule="auto"/>
      </w:pPr>
      <w:r>
        <w:separator/>
      </w:r>
    </w:p>
  </w:endnote>
  <w:endnote w:type="continuationSeparator" w:id="0">
    <w:p w:rsidR="009A6FA3" w:rsidRDefault="009A6FA3" w:rsidP="00F8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FA3" w:rsidRDefault="009A6FA3" w:rsidP="00F86F52">
      <w:pPr>
        <w:spacing w:after="0" w:line="240" w:lineRule="auto"/>
      </w:pPr>
      <w:r>
        <w:separator/>
      </w:r>
    </w:p>
  </w:footnote>
  <w:footnote w:type="continuationSeparator" w:id="0">
    <w:p w:rsidR="009A6FA3" w:rsidRDefault="009A6FA3" w:rsidP="00F8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6B8"/>
    <w:multiLevelType w:val="hybridMultilevel"/>
    <w:tmpl w:val="698E09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40167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584EFE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831D30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062E9"/>
    <w:multiLevelType w:val="hybridMultilevel"/>
    <w:tmpl w:val="84D2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C6139BA"/>
    <w:multiLevelType w:val="hybridMultilevel"/>
    <w:tmpl w:val="B2200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F4C1523"/>
    <w:multiLevelType w:val="hybridMultilevel"/>
    <w:tmpl w:val="4BD0C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C1"/>
    <w:rsid w:val="000212AE"/>
    <w:rsid w:val="0002548E"/>
    <w:rsid w:val="000265E9"/>
    <w:rsid w:val="00045797"/>
    <w:rsid w:val="00054D55"/>
    <w:rsid w:val="00062033"/>
    <w:rsid w:val="00062968"/>
    <w:rsid w:val="00080D6A"/>
    <w:rsid w:val="000969E1"/>
    <w:rsid w:val="000C1665"/>
    <w:rsid w:val="000C16DB"/>
    <w:rsid w:val="000D2C8C"/>
    <w:rsid w:val="000D4077"/>
    <w:rsid w:val="000D6606"/>
    <w:rsid w:val="000E10D0"/>
    <w:rsid w:val="000F6C67"/>
    <w:rsid w:val="00105131"/>
    <w:rsid w:val="00110567"/>
    <w:rsid w:val="00134ABA"/>
    <w:rsid w:val="00140114"/>
    <w:rsid w:val="00145C48"/>
    <w:rsid w:val="00175277"/>
    <w:rsid w:val="001839F6"/>
    <w:rsid w:val="00195EC8"/>
    <w:rsid w:val="001A3CA8"/>
    <w:rsid w:val="001A445C"/>
    <w:rsid w:val="001A56A8"/>
    <w:rsid w:val="001B2409"/>
    <w:rsid w:val="001C5F48"/>
    <w:rsid w:val="001C6B33"/>
    <w:rsid w:val="001D2496"/>
    <w:rsid w:val="001E1D76"/>
    <w:rsid w:val="001E3865"/>
    <w:rsid w:val="001E4470"/>
    <w:rsid w:val="001F0A7A"/>
    <w:rsid w:val="001F4F76"/>
    <w:rsid w:val="00201C4D"/>
    <w:rsid w:val="00251EDC"/>
    <w:rsid w:val="0025592A"/>
    <w:rsid w:val="00264ACA"/>
    <w:rsid w:val="00291259"/>
    <w:rsid w:val="002A4306"/>
    <w:rsid w:val="002B7CA9"/>
    <w:rsid w:val="002D0D66"/>
    <w:rsid w:val="002D3DD0"/>
    <w:rsid w:val="002F538F"/>
    <w:rsid w:val="00300685"/>
    <w:rsid w:val="00321F9A"/>
    <w:rsid w:val="00354507"/>
    <w:rsid w:val="00373691"/>
    <w:rsid w:val="0037452E"/>
    <w:rsid w:val="003865BD"/>
    <w:rsid w:val="003913D0"/>
    <w:rsid w:val="003A74C6"/>
    <w:rsid w:val="003E462E"/>
    <w:rsid w:val="003F0082"/>
    <w:rsid w:val="003F38CC"/>
    <w:rsid w:val="003F4F49"/>
    <w:rsid w:val="0040028E"/>
    <w:rsid w:val="00400303"/>
    <w:rsid w:val="00414410"/>
    <w:rsid w:val="0042072D"/>
    <w:rsid w:val="00423DA3"/>
    <w:rsid w:val="00434D43"/>
    <w:rsid w:val="00450F34"/>
    <w:rsid w:val="004700F3"/>
    <w:rsid w:val="00472D1D"/>
    <w:rsid w:val="00473704"/>
    <w:rsid w:val="004A589A"/>
    <w:rsid w:val="004E1D9C"/>
    <w:rsid w:val="004E2FDB"/>
    <w:rsid w:val="00503291"/>
    <w:rsid w:val="005126BD"/>
    <w:rsid w:val="005241B4"/>
    <w:rsid w:val="00534917"/>
    <w:rsid w:val="00542152"/>
    <w:rsid w:val="00544801"/>
    <w:rsid w:val="00572798"/>
    <w:rsid w:val="005A785C"/>
    <w:rsid w:val="005A7878"/>
    <w:rsid w:val="005C6675"/>
    <w:rsid w:val="005E4648"/>
    <w:rsid w:val="0060517A"/>
    <w:rsid w:val="00623F39"/>
    <w:rsid w:val="00624120"/>
    <w:rsid w:val="0068416B"/>
    <w:rsid w:val="00684B24"/>
    <w:rsid w:val="006B744A"/>
    <w:rsid w:val="006C51E4"/>
    <w:rsid w:val="006D0162"/>
    <w:rsid w:val="006E3155"/>
    <w:rsid w:val="006E6FE3"/>
    <w:rsid w:val="006F09E0"/>
    <w:rsid w:val="006F4C9A"/>
    <w:rsid w:val="006F7B5D"/>
    <w:rsid w:val="00703F5B"/>
    <w:rsid w:val="00711D1B"/>
    <w:rsid w:val="00752B59"/>
    <w:rsid w:val="007921FD"/>
    <w:rsid w:val="007B45C1"/>
    <w:rsid w:val="007B5DAE"/>
    <w:rsid w:val="007C6167"/>
    <w:rsid w:val="008047A8"/>
    <w:rsid w:val="00821A73"/>
    <w:rsid w:val="00833AE4"/>
    <w:rsid w:val="00843203"/>
    <w:rsid w:val="008438A7"/>
    <w:rsid w:val="00845074"/>
    <w:rsid w:val="0086305D"/>
    <w:rsid w:val="0087187D"/>
    <w:rsid w:val="00882026"/>
    <w:rsid w:val="0089178E"/>
    <w:rsid w:val="0089716A"/>
    <w:rsid w:val="008B2246"/>
    <w:rsid w:val="008E5403"/>
    <w:rsid w:val="008E7BF4"/>
    <w:rsid w:val="008F2111"/>
    <w:rsid w:val="008F6F14"/>
    <w:rsid w:val="0093338A"/>
    <w:rsid w:val="00935818"/>
    <w:rsid w:val="0096483D"/>
    <w:rsid w:val="00965529"/>
    <w:rsid w:val="00987570"/>
    <w:rsid w:val="009A1E72"/>
    <w:rsid w:val="009A6FA3"/>
    <w:rsid w:val="009C0771"/>
    <w:rsid w:val="009C7248"/>
    <w:rsid w:val="009D43FF"/>
    <w:rsid w:val="009F092F"/>
    <w:rsid w:val="009F1279"/>
    <w:rsid w:val="009F3D1D"/>
    <w:rsid w:val="00A42E57"/>
    <w:rsid w:val="00A42EA5"/>
    <w:rsid w:val="00A43944"/>
    <w:rsid w:val="00A43FD3"/>
    <w:rsid w:val="00A56692"/>
    <w:rsid w:val="00A763C9"/>
    <w:rsid w:val="00A92403"/>
    <w:rsid w:val="00AA02D1"/>
    <w:rsid w:val="00AA50EF"/>
    <w:rsid w:val="00B03B6B"/>
    <w:rsid w:val="00B1043F"/>
    <w:rsid w:val="00B14A03"/>
    <w:rsid w:val="00B224BF"/>
    <w:rsid w:val="00B5716C"/>
    <w:rsid w:val="00B64603"/>
    <w:rsid w:val="00B83899"/>
    <w:rsid w:val="00BB6BDE"/>
    <w:rsid w:val="00BE2803"/>
    <w:rsid w:val="00BF5AEE"/>
    <w:rsid w:val="00C018E8"/>
    <w:rsid w:val="00C055C5"/>
    <w:rsid w:val="00C12ACA"/>
    <w:rsid w:val="00C211B9"/>
    <w:rsid w:val="00C2180B"/>
    <w:rsid w:val="00C266F6"/>
    <w:rsid w:val="00C625C5"/>
    <w:rsid w:val="00C62915"/>
    <w:rsid w:val="00C94F81"/>
    <w:rsid w:val="00C96DBD"/>
    <w:rsid w:val="00CD2EBE"/>
    <w:rsid w:val="00CE0591"/>
    <w:rsid w:val="00D31B4D"/>
    <w:rsid w:val="00D40FC1"/>
    <w:rsid w:val="00D42D4E"/>
    <w:rsid w:val="00D50808"/>
    <w:rsid w:val="00D87A5C"/>
    <w:rsid w:val="00D91121"/>
    <w:rsid w:val="00DA0D7C"/>
    <w:rsid w:val="00DB691B"/>
    <w:rsid w:val="00DD6D20"/>
    <w:rsid w:val="00DF3B03"/>
    <w:rsid w:val="00DF44D9"/>
    <w:rsid w:val="00DF521C"/>
    <w:rsid w:val="00E07105"/>
    <w:rsid w:val="00E32F35"/>
    <w:rsid w:val="00E936CC"/>
    <w:rsid w:val="00EB4A49"/>
    <w:rsid w:val="00EC5E5F"/>
    <w:rsid w:val="00ED3834"/>
    <w:rsid w:val="00ED79F1"/>
    <w:rsid w:val="00ED7D65"/>
    <w:rsid w:val="00EE1B7A"/>
    <w:rsid w:val="00F008E4"/>
    <w:rsid w:val="00F0161E"/>
    <w:rsid w:val="00F13BD8"/>
    <w:rsid w:val="00F152E7"/>
    <w:rsid w:val="00F21586"/>
    <w:rsid w:val="00F4547F"/>
    <w:rsid w:val="00F86F52"/>
    <w:rsid w:val="00F9591E"/>
    <w:rsid w:val="00FA32B0"/>
    <w:rsid w:val="00FA7D05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E3"/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0D2C8C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7">
    <w:name w:val="Hyperlink"/>
    <w:basedOn w:val="a0"/>
    <w:uiPriority w:val="99"/>
    <w:unhideWhenUsed/>
    <w:rsid w:val="00F008E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E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FE3"/>
    <w:rPr>
      <w:rFonts w:ascii="Tahoma" w:hAnsi="Tahoma" w:cs="Tahoma"/>
      <w:sz w:val="16"/>
      <w:szCs w:val="16"/>
    </w:rPr>
  </w:style>
  <w:style w:type="paragraph" w:customStyle="1" w:styleId="LO-normal">
    <w:name w:val="LO-normal"/>
    <w:rsid w:val="000D2C8C"/>
    <w:pPr>
      <w:suppressAutoHyphens/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a7">
    <w:name w:val="Hyperlink"/>
    <w:basedOn w:val="a0"/>
    <w:uiPriority w:val="99"/>
    <w:unhideWhenUsed/>
    <w:rsid w:val="00F00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" TargetMode="External"/><Relationship Id="rId13" Type="http://schemas.openxmlformats.org/officeDocument/2006/relationships/hyperlink" Target="https://www.postgresql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jangoprojec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othur.org" TargetMode="External"/><Relationship Id="rId14" Type="http://schemas.openxmlformats.org/officeDocument/2006/relationships/hyperlink" Target="http://ngs.icc.ru: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5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</dc:creator>
  <cp:lastModifiedBy>e</cp:lastModifiedBy>
  <cp:revision>221</cp:revision>
  <dcterms:created xsi:type="dcterms:W3CDTF">2017-12-06T03:43:00Z</dcterms:created>
  <dcterms:modified xsi:type="dcterms:W3CDTF">2017-12-10T05:35:00Z</dcterms:modified>
</cp:coreProperties>
</file>