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14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Среда поддержки научных исследований в секвенировании нового поколения (NGS)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Исследования по данному направлению направлены на решение </w:t>
      </w:r>
      <w:r>
        <w:rPr>
          <w:rFonts w:ascii="Times New Roman" w:hAnsi="Times New Roman"/>
          <w:sz w:val="24"/>
        </w:rPr>
        <w:t xml:space="preserve">проблемы </w:t>
      </w:r>
      <w:r>
        <w:rPr>
          <w:rFonts w:ascii="Times New Roman" w:hAnsi="Times New Roman"/>
          <w:sz w:val="24"/>
        </w:rPr>
        <w:t xml:space="preserve">проектирования и реализации </w:t>
      </w:r>
      <w:r>
        <w:rPr>
          <w:rFonts w:ascii="Times New Roman" w:hAnsi="Times New Roman"/>
          <w:sz w:val="24"/>
        </w:rPr>
        <w:t xml:space="preserve">распределенной программной среды для создания организационных, информационных и вычислительных ресурсов проведения научных микробиологических исследований на основе метагеномного анализа. </w:t>
      </w:r>
      <w:r>
        <w:rPr>
          <w:rFonts w:ascii="Times New Roman" w:hAnsi="Times New Roman"/>
          <w:sz w:val="24"/>
        </w:rPr>
        <w:t>Построена</w:t>
      </w:r>
      <w:r>
        <w:rPr>
          <w:rFonts w:ascii="Times New Roman" w:hAnsi="Times New Roman"/>
          <w:sz w:val="24"/>
        </w:rPr>
        <w:t xml:space="preserve"> обобщенная модель предметной области системного уровня и выделены требования к разрабатываемой среде, задачи, требующие решения; построена и реализована модель вычислительного процесса анализа ампликонов </w:t>
      </w:r>
      <w:r>
        <w:rPr>
          <w:rFonts w:ascii="Times New Roman" w:hAnsi="Times New Roman"/>
          <w:sz w:val="24"/>
        </w:rPr>
        <w:t>в виде графа управления вычислительным процессом в среде Rapid Miner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Разрабатываемая программная среда позволит </w:t>
      </w:r>
      <w:r>
        <w:rPr>
          <w:rFonts w:ascii="Times New Roman" w:hAnsi="Times New Roman"/>
          <w:sz w:val="24"/>
        </w:rPr>
        <w:t>реша</w:t>
      </w:r>
      <w:r>
        <w:rPr>
          <w:rFonts w:ascii="Times New Roman" w:hAnsi="Times New Roman"/>
          <w:sz w:val="24"/>
        </w:rPr>
        <w:t>ть</w:t>
      </w:r>
      <w:r>
        <w:rPr>
          <w:rFonts w:ascii="Times New Roman" w:hAnsi="Times New Roman"/>
          <w:sz w:val="24"/>
        </w:rPr>
        <w:t xml:space="preserve"> задач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 построения информационного портала для обработки метагеномных данных и представления результатов научному сообществу.</w:t>
      </w:r>
    </w:p>
    <w:p>
      <w:pPr>
        <w:pStyle w:val="TextBody"/>
        <w:spacing w:lineRule="auto" w:line="276"/>
        <w:ind w:left="0" w:right="0" w:firstLine="709"/>
        <w:jc w:val="both"/>
        <w:rPr>
          <w:rFonts w:ascii="Brill" w:hAnsi="Brill"/>
        </w:rPr>
      </w:pPr>
      <w:r>
        <w:rPr>
          <w:rFonts w:ascii="Times New Roman" w:hAnsi="Times New Roman"/>
          <w:sz w:val="24"/>
          <w:highlight w:val="white"/>
        </w:rPr>
        <w:t xml:space="preserve">Для обеспечения  метагеномных исследований требуются значительные вычислительные ресурсы, а также участие квалифицированного биоинформатика в обработке и интерпретации данных. Используемое </w:t>
      </w:r>
      <w:r>
        <w:rPr>
          <w:rFonts w:ascii="Times New Roman" w:hAnsi="Times New Roman"/>
          <w:sz w:val="24"/>
          <w:highlight w:val="white"/>
        </w:rPr>
        <w:t>в научных исследованиях ЛИН СО РАН</w:t>
      </w:r>
      <w:r>
        <w:rPr>
          <w:rFonts w:ascii="Times New Roman" w:hAnsi="Times New Roman"/>
          <w:sz w:val="24"/>
          <w:highlight w:val="white"/>
        </w:rPr>
        <w:t xml:space="preserve"> программное обеспечение анализа ампликонов включает в себя различные библиотеки модулей обработки последовательностей, например, </w:t>
      </w:r>
      <w:r>
        <w:rPr>
          <w:rFonts w:ascii="Times New Roman" w:hAnsi="Times New Roman"/>
          <w:sz w:val="24"/>
          <w:highlight w:val="white"/>
        </w:rPr>
        <w:t>Mothur</w:t>
      </w:r>
      <w:r>
        <w:rPr>
          <w:rFonts w:ascii="Times New Roman" w:hAnsi="Times New Roman"/>
          <w:sz w:val="24"/>
          <w:highlight w:val="white"/>
        </w:rPr>
        <w:t xml:space="preserve">, </w:t>
      </w:r>
      <w:r>
        <w:rPr>
          <w:rFonts w:ascii="Times New Roman" w:hAnsi="Times New Roman"/>
          <w:sz w:val="24"/>
          <w:highlight w:val="white"/>
        </w:rPr>
        <w:t>USearch</w:t>
      </w:r>
      <w:r>
        <w:rPr>
          <w:rFonts w:ascii="Times New Roman" w:hAnsi="Times New Roman"/>
          <w:sz w:val="24"/>
          <w:highlight w:val="white"/>
        </w:rPr>
        <w:t>, статистические пакеты и среды разработки алгоритмов многомерного статистического анализа данных, например, R (</w:t>
      </w:r>
      <w:hyperlink r:id="rId2">
        <w:r>
          <w:rPr>
            <w:rStyle w:val="InternetLink"/>
            <w:rFonts w:ascii="Times New Roman" w:hAnsi="Times New Roman"/>
            <w:color w:val="1155CC"/>
            <w:sz w:val="24"/>
            <w:highlight w:val="white"/>
          </w:rPr>
          <w:t>https://www.r-project.org</w:t>
        </w:r>
      </w:hyperlink>
      <w:r>
        <w:rPr>
          <w:rFonts w:ascii="Times New Roman" w:hAnsi="Times New Roman"/>
          <w:sz w:val="24"/>
          <w:highlight w:val="white"/>
        </w:rPr>
        <w:t xml:space="preserve">). Для проведения исследований с использованием обработки и анализа метагеномных данных специалисту требуются навыки составления сценариев в командной оболочке операционной системы (Linux, Windows), запуска пакетов в распределенной вычислительной среде и кластерных вычислительных системах, а также программирования на языках общего назначения, как правило, R или Python. 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Существуют два основных вида метагеномных исследований. Первый, более простой, называется анализом ампликонов. При этом амплифицируется и секвенируется определённый таксономический маркер, универсальный для исследуемых видов. Прочтения, полученные при секвенировании выделенной из исследуемого образца ДНК, сравниваются с </w:t>
      </w:r>
      <w:r>
        <w:rPr>
          <w:rFonts w:ascii="Times New Roman" w:hAnsi="Times New Roman"/>
          <w:sz w:val="24"/>
        </w:rPr>
        <w:t xml:space="preserve">существующими </w:t>
      </w:r>
      <w:r>
        <w:rPr>
          <w:rFonts w:ascii="Times New Roman" w:hAnsi="Times New Roman"/>
          <w:sz w:val="24"/>
        </w:rPr>
        <w:t>базами данных, что позволяет отнести их к тому или иному таксону разного систематического уровня и получить информацию о разнообразии микробиоты в исследуемой среде.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Вторая разновидность, известная как метагеномика методом «дробовика» (shotgun metagenomics), основывается на секвенировании всей имеющейся в пробе ДНК, а не конкретных локусов. При достаточном покрытии такой подход позволяет описать не только таксономический состав сообщества, но и присутствующие в геномах представителей сообщества гены функциональных или структурных белков, в том числе – вирусных. На основе метагеномных данных устанавлива</w:t>
      </w:r>
      <w:r>
        <w:rPr>
          <w:rFonts w:ascii="Times New Roman" w:hAnsi="Times New Roman"/>
          <w:sz w:val="24"/>
        </w:rPr>
        <w:t>ются</w:t>
      </w:r>
      <w:r>
        <w:rPr>
          <w:rFonts w:ascii="Times New Roman" w:hAnsi="Times New Roman"/>
          <w:sz w:val="24"/>
        </w:rPr>
        <w:t xml:space="preserve"> метаболические взаимодействия в отдельных микробиомах, опираясь на базы данных </w:t>
      </w:r>
      <w:r>
        <w:rPr>
          <w:rFonts w:ascii="Times New Roman" w:hAnsi="Times New Roman"/>
          <w:sz w:val="24"/>
          <w:lang w:val="en-US"/>
        </w:rPr>
        <w:t>ePGDBs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environmental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lang w:val="en-US"/>
        </w:rPr>
        <w:t>pathway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genome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lang w:val="en-US"/>
        </w:rPr>
        <w:t>databases</w:t>
      </w:r>
      <w:r>
        <w:rPr>
          <w:rFonts w:ascii="Times New Roman" w:hAnsi="Times New Roman"/>
          <w:sz w:val="24"/>
        </w:rPr>
        <w:t>). В некоторых работах из метагеномных наборов прочтений удавалось выделить полные геномы отдельных видов.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Научным сообществом разработаны форматы данных для хранения метагеномной информации, алгоритмы и программные модули, включая параллельные и распределенные реализации на кластерных вычислительных системах, обеспечивающие различные этапы анализа данных. Анализ предметной области показал, что задачи, решаемые как в биоиформационной части метагеномного анализа, так и в NGS в целом, хорошо представляются в рамках парадигмы </w:t>
      </w:r>
      <w:r>
        <w:rPr>
          <w:rFonts w:ascii="Times New Roman" w:hAnsi="Times New Roman"/>
          <w:color w:val="auto"/>
          <w:sz w:val="24"/>
        </w:rPr>
        <w:t xml:space="preserve">Больших Данных. </w:t>
      </w:r>
      <w:r>
        <w:rPr>
          <w:rFonts w:ascii="Times New Roman" w:hAnsi="Times New Roman"/>
          <w:color w:val="auto"/>
          <w:sz w:val="24"/>
        </w:rPr>
        <w:t xml:space="preserve">Вычислительный процесс представляет собой, как правило, последовательность запусков вычислительных утилит с передачей им параметров в виде набора файлов. Вычислительный процесс представляет собой сетевой граф </w:t>
      </w:r>
      <w:r>
        <w:rPr>
          <w:rFonts w:ascii="Times New Roman" w:hAnsi="Times New Roman"/>
          <w:color w:val="auto"/>
          <w:sz w:val="24"/>
        </w:rPr>
        <w:t>элементарных операций</w:t>
      </w:r>
      <w:r>
        <w:rPr>
          <w:rFonts w:ascii="Times New Roman" w:hAnsi="Times New Roman"/>
          <w:color w:val="auto"/>
          <w:sz w:val="24"/>
        </w:rPr>
        <w:t xml:space="preserve">, который строится на основе передаваемой между модулями информации. Циклические структуры редки, причем они, </w:t>
      </w:r>
      <w:r>
        <w:rPr>
          <w:rFonts w:ascii="Times New Roman" w:hAnsi="Times New Roman"/>
          <w:color w:val="auto"/>
          <w:sz w:val="24"/>
        </w:rPr>
        <w:t>в основном,</w:t>
      </w:r>
      <w:r>
        <w:rPr>
          <w:rFonts w:ascii="Times New Roman" w:hAnsi="Times New Roman"/>
          <w:color w:val="auto"/>
          <w:sz w:val="24"/>
        </w:rPr>
        <w:t xml:space="preserve"> порождаются в результате анализа промежуточных данных и результатов специалистами-предметниками: при неудовлетворительном </w:t>
      </w:r>
      <w:r>
        <w:rPr>
          <w:rFonts w:ascii="Times New Roman" w:hAnsi="Times New Roman"/>
          <w:color w:val="auto"/>
          <w:sz w:val="24"/>
        </w:rPr>
        <w:t xml:space="preserve">качестве </w:t>
      </w:r>
      <w:r>
        <w:rPr>
          <w:rFonts w:ascii="Times New Roman" w:hAnsi="Times New Roman"/>
          <w:color w:val="auto"/>
          <w:sz w:val="24"/>
        </w:rPr>
        <w:t xml:space="preserve">тот или иной модуль перезапускается человеком вручную с новыми параметрами. 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lang w:val="ru-RU"/>
        </w:rPr>
        <w:t xml:space="preserve">Обработка </w:t>
      </w:r>
      <w:r>
        <w:rPr>
          <w:rFonts w:ascii="Times New Roman" w:hAnsi="Times New Roman"/>
          <w:sz w:val="24"/>
          <w:lang w:val="ru-RU"/>
        </w:rPr>
        <w:t xml:space="preserve">Больших Данных требует от исследователя-предметника (биолога) квалификации профессионального программиста-биоинформатика, так как исследования каждой пробы требуют составления отдельной </w:t>
      </w:r>
      <w:r>
        <w:rPr>
          <w:rFonts w:ascii="Times New Roman" w:hAnsi="Times New Roman"/>
          <w:sz w:val="24"/>
          <w:lang w:val="ru-RU"/>
        </w:rPr>
        <w:t xml:space="preserve">программы-сценария </w:t>
      </w:r>
      <w:r>
        <w:rPr>
          <w:rFonts w:ascii="Times New Roman" w:hAnsi="Times New Roman"/>
          <w:sz w:val="24"/>
          <w:lang w:val="ru-RU"/>
        </w:rPr>
        <w:t xml:space="preserve">или исполнения сценария вручную, что существенно замедляет процесс получения конечного результата. </w:t>
      </w:r>
      <w:r>
        <w:rPr>
          <w:rFonts w:ascii="Times New Roman" w:hAnsi="Times New Roman"/>
          <w:sz w:val="24"/>
          <w:lang w:val="ru-RU"/>
        </w:rPr>
        <w:t>Поэтому предложенная и реализуемая концепция о</w:t>
      </w:r>
      <w:r>
        <w:rPr>
          <w:rFonts w:ascii="Times New Roman" w:hAnsi="Times New Roman"/>
          <w:sz w:val="24"/>
          <w:lang w:val="ru-RU"/>
        </w:rPr>
        <w:t>рганизаци</w:t>
      </w:r>
      <w:r>
        <w:rPr>
          <w:rFonts w:ascii="Times New Roman" w:hAnsi="Times New Roman"/>
          <w:sz w:val="24"/>
          <w:lang w:val="ru-RU"/>
        </w:rPr>
        <w:t>и</w:t>
      </w:r>
      <w:r>
        <w:rPr>
          <w:rFonts w:ascii="Times New Roman" w:hAnsi="Times New Roman"/>
          <w:sz w:val="24"/>
          <w:lang w:val="ru-RU"/>
        </w:rPr>
        <w:t xml:space="preserve"> исследований базируется на создании информационно-вычислительной среды, позволяющей проектировать и воспро</w:t>
      </w:r>
      <w:r>
        <w:rPr>
          <w:rFonts w:ascii="Times New Roman" w:hAnsi="Times New Roman"/>
          <w:sz w:val="24"/>
          <w:lang w:val="ru-RU"/>
        </w:rPr>
        <w:t xml:space="preserve">изводить сценарии, подавая на вход данные различных форматов из различных источников, </w:t>
      </w:r>
      <w:r>
        <w:rPr>
          <w:rFonts w:ascii="Times New Roman" w:hAnsi="Times New Roman"/>
          <w:sz w:val="24"/>
          <w:lang w:val="ru-RU"/>
        </w:rPr>
        <w:t>например, файлов, баз данных, серверов метагеномной информации</w:t>
      </w:r>
      <w:r>
        <w:rPr>
          <w:rFonts w:ascii="Times New Roman" w:hAnsi="Times New Roman"/>
          <w:sz w:val="24"/>
          <w:lang w:val="ru-RU"/>
        </w:rPr>
        <w:t>. В результате в среде строятся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специальные </w:t>
      </w:r>
      <w:r>
        <w:rPr>
          <w:rFonts w:ascii="Times New Roman" w:hAnsi="Times New Roman"/>
          <w:sz w:val="24"/>
          <w:lang w:val="ru-RU"/>
        </w:rPr>
        <w:t>варианты вычислительны</w:t>
      </w:r>
      <w:r>
        <w:rPr>
          <w:rFonts w:ascii="Times New Roman" w:hAnsi="Times New Roman"/>
          <w:sz w:val="24"/>
          <w:lang w:val="ru-RU"/>
        </w:rPr>
        <w:t>х</w:t>
      </w:r>
      <w:r>
        <w:rPr>
          <w:rFonts w:ascii="Times New Roman" w:hAnsi="Times New Roman"/>
          <w:sz w:val="24"/>
          <w:lang w:val="ru-RU"/>
        </w:rPr>
        <w:t xml:space="preserve"> процессов, решающих задачи, поставленны</w:t>
      </w:r>
      <w:r>
        <w:rPr>
          <w:rFonts w:ascii="Times New Roman" w:hAnsi="Times New Roman"/>
          <w:sz w:val="24"/>
          <w:lang w:val="ru-RU"/>
        </w:rPr>
        <w:t>е</w:t>
      </w:r>
      <w:r>
        <w:rPr>
          <w:rFonts w:ascii="Times New Roman" w:hAnsi="Times New Roman"/>
          <w:sz w:val="24"/>
          <w:lang w:val="ru-RU"/>
        </w:rPr>
        <w:t xml:space="preserve"> биологом</w:t>
      </w:r>
      <w:r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sz w:val="24"/>
          <w:lang w:val="ru-RU"/>
        </w:rPr>
        <w:t>Н</w:t>
      </w:r>
      <w:r>
        <w:rPr>
          <w:rFonts w:ascii="Times New Roman" w:hAnsi="Times New Roman"/>
          <w:sz w:val="24"/>
          <w:lang w:val="ru-RU"/>
        </w:rPr>
        <w:t xml:space="preserve">еобходимо </w:t>
      </w:r>
      <w:r>
        <w:rPr>
          <w:rFonts w:ascii="Times New Roman" w:hAnsi="Times New Roman"/>
          <w:sz w:val="24"/>
          <w:lang w:val="ru-RU"/>
        </w:rPr>
        <w:t>также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обеспечить также организованное облачно</w:t>
      </w:r>
      <w:r>
        <w:rPr>
          <w:rFonts w:ascii="Times New Roman" w:hAnsi="Times New Roman"/>
          <w:sz w:val="24"/>
          <w:lang w:val="ru-RU"/>
        </w:rPr>
        <w:t>го</w:t>
      </w:r>
      <w:r>
        <w:rPr>
          <w:rFonts w:ascii="Times New Roman" w:hAnsi="Times New Roman"/>
          <w:sz w:val="24"/>
          <w:lang w:val="ru-RU"/>
        </w:rPr>
        <w:t xml:space="preserve"> хранени</w:t>
      </w:r>
      <w:r>
        <w:rPr>
          <w:rFonts w:ascii="Times New Roman" w:hAnsi="Times New Roman"/>
          <w:sz w:val="24"/>
          <w:lang w:val="ru-RU"/>
        </w:rPr>
        <w:t>я</w:t>
      </w:r>
      <w:r>
        <w:rPr>
          <w:rFonts w:ascii="Times New Roman" w:hAnsi="Times New Roman"/>
          <w:sz w:val="24"/>
          <w:lang w:val="ru-RU"/>
        </w:rPr>
        <w:t xml:space="preserve"> промежуточных данных и результатов. </w:t>
      </w:r>
      <w:r>
        <w:rPr>
          <w:rFonts w:ascii="Times New Roman" w:hAnsi="Times New Roman"/>
          <w:sz w:val="24"/>
          <w:lang w:val="ru-RU"/>
        </w:rPr>
        <w:t>На этапе 2017 года в проекте</w:t>
      </w:r>
      <w:r>
        <w:rPr>
          <w:rFonts w:ascii="Times New Roman" w:hAnsi="Times New Roman"/>
          <w:sz w:val="24"/>
          <w:lang w:val="ru-RU"/>
        </w:rPr>
        <w:t xml:space="preserve"> реш</w:t>
      </w:r>
      <w:r>
        <w:rPr>
          <w:rFonts w:ascii="Times New Roman" w:hAnsi="Times New Roman"/>
          <w:sz w:val="24"/>
          <w:lang w:val="ru-RU"/>
        </w:rPr>
        <w:t>ал</w:t>
      </w:r>
      <w:r>
        <w:rPr>
          <w:rFonts w:ascii="Times New Roman" w:hAnsi="Times New Roman"/>
          <w:sz w:val="24"/>
          <w:lang w:val="ru-RU"/>
        </w:rPr>
        <w:t>а</w:t>
      </w:r>
      <w:r>
        <w:rPr>
          <w:rFonts w:ascii="Times New Roman" w:hAnsi="Times New Roman"/>
          <w:sz w:val="24"/>
          <w:lang w:val="ru-RU"/>
        </w:rPr>
        <w:t>сь</w:t>
      </w:r>
      <w:r>
        <w:rPr>
          <w:rFonts w:ascii="Times New Roman" w:hAnsi="Times New Roman"/>
          <w:sz w:val="24"/>
          <w:lang w:val="ru-RU"/>
        </w:rPr>
        <w:t xml:space="preserve"> задач</w:t>
      </w:r>
      <w:r>
        <w:rPr>
          <w:rFonts w:ascii="Times New Roman" w:hAnsi="Times New Roman"/>
          <w:sz w:val="24"/>
          <w:lang w:val="ru-RU"/>
        </w:rPr>
        <w:t>а и</w:t>
      </w:r>
      <w:r>
        <w:rPr>
          <w:rFonts w:ascii="Times New Roman" w:hAnsi="Times New Roman"/>
          <w:sz w:val="24"/>
        </w:rPr>
        <w:t>сследовани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предметной области </w:t>
      </w:r>
      <w:r>
        <w:rPr>
          <w:rFonts w:ascii="Times New Roman" w:hAnsi="Times New Roman"/>
          <w:sz w:val="24"/>
        </w:rPr>
        <w:t xml:space="preserve">вычислительного процесса </w:t>
      </w:r>
      <w:r>
        <w:rPr>
          <w:rFonts w:ascii="Times New Roman" w:hAnsi="Times New Roman"/>
          <w:sz w:val="24"/>
        </w:rPr>
        <w:t>и ее декомпозиция на классы задач (функциональное моделирование). В результате такого моделирования выдел</w:t>
      </w:r>
      <w:r>
        <w:rPr>
          <w:rFonts w:ascii="Times New Roman" w:hAnsi="Times New Roman"/>
          <w:sz w:val="24"/>
        </w:rPr>
        <w:t>ены</w:t>
      </w:r>
      <w:r>
        <w:rPr>
          <w:rFonts w:ascii="Times New Roman" w:hAnsi="Times New Roman"/>
          <w:sz w:val="24"/>
        </w:rPr>
        <w:t xml:space="preserve"> классы задач, </w:t>
      </w:r>
      <w:r>
        <w:rPr>
          <w:rFonts w:ascii="Times New Roman" w:hAnsi="Times New Roman"/>
          <w:sz w:val="24"/>
        </w:rPr>
        <w:t>которые, затем,</w:t>
      </w:r>
      <w:r>
        <w:rPr>
          <w:rFonts w:ascii="Times New Roman" w:hAnsi="Times New Roman"/>
          <w:sz w:val="24"/>
        </w:rPr>
        <w:t xml:space="preserve"> представл</w:t>
      </w:r>
      <w:r>
        <w:rPr>
          <w:rFonts w:ascii="Times New Roman" w:hAnsi="Times New Roman"/>
          <w:sz w:val="24"/>
        </w:rPr>
        <w:t>ены</w:t>
      </w:r>
      <w:r>
        <w:rPr>
          <w:rFonts w:ascii="Times New Roman" w:hAnsi="Times New Roman"/>
          <w:sz w:val="24"/>
        </w:rPr>
        <w:t xml:space="preserve"> в виде программных модулей. Из модулей формируются сценарии решения задач, сетевые графы модулей, связанные друг с другом передачей данных.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 xml:space="preserve">Популярным подходом к представлению вычислительного процесса, который строится в виде комбинации исполняющих модулей, выступает </w:t>
      </w:r>
      <w:r>
        <w:rPr>
          <w:rFonts w:ascii="Times New Roman" w:hAnsi="Times New Roman"/>
          <w:i/>
          <w:sz w:val="24"/>
          <w:highlight w:val="white"/>
        </w:rPr>
        <w:t xml:space="preserve">программирование потоков данных </w:t>
      </w:r>
      <w:r>
        <w:rPr>
          <w:rFonts w:ascii="Times New Roman" w:hAnsi="Times New Roman"/>
          <w:sz w:val="24"/>
          <w:highlight w:val="white"/>
        </w:rPr>
        <w:t>(</w:t>
      </w:r>
      <w:r>
        <w:rPr>
          <w:rFonts w:ascii="Times New Roman" w:hAnsi="Times New Roman"/>
          <w:i/>
          <w:sz w:val="24"/>
          <w:highlight w:val="white"/>
        </w:rPr>
        <w:t>dataflow programming</w:t>
      </w:r>
      <w:r>
        <w:rPr>
          <w:rFonts w:ascii="Times New Roman" w:hAnsi="Times New Roman"/>
          <w:sz w:val="24"/>
          <w:highlight w:val="white"/>
        </w:rPr>
        <w:t xml:space="preserve">). Модули получают на вход некоторые данные, обрабатывают их и выдают на выход. Результаты вычислений передаются на вход других модулей. Подход развивается с 1970-х годов </w:t>
      </w:r>
      <w:r>
        <w:rPr>
          <w:rFonts w:ascii="Times New Roman" w:hAnsi="Times New Roman"/>
          <w:sz w:val="24"/>
          <w:highlight w:val="white"/>
        </w:rPr>
        <w:t>и имеет приложения в самых различных областях</w:t>
      </w:r>
      <w:r>
        <w:rPr>
          <w:rFonts w:ascii="Times New Roman" w:hAnsi="Times New Roman"/>
          <w:sz w:val="24"/>
          <w:highlight w:val="white"/>
        </w:rPr>
        <w:t xml:space="preserve">. </w:t>
      </w:r>
      <w:r>
        <w:rPr>
          <w:rFonts w:ascii="Times New Roman" w:hAnsi="Times New Roman"/>
          <w:highlight w:val="white"/>
        </w:rPr>
        <w:t> </w:t>
      </w:r>
      <w:r>
        <w:rPr>
          <w:rFonts w:ascii="Times New Roman" w:hAnsi="Times New Roman"/>
          <w:sz w:val="24"/>
          <w:highlight w:val="white"/>
        </w:rPr>
        <w:t xml:space="preserve">Подход удобен тем, что модули и сценарий их исполнения удобно задавать при помощи визуального редактора. Пользователь выбирает нужный модуль из набора модулей, добавляет его в рабочую область. Затем необходимо сцепить входы и выходы модулей (порты), обеспечив таким образом передачу информации. В результате должен получиться сетевой граф, не содержащий циклов и имеющий, как правило, один вход и один выход. Вход графа подаются данные, требующие обработки, на выход графа выдается результат. На </w:t>
      </w:r>
      <w:r>
        <w:rPr>
          <w:rFonts w:ascii="Times New Roman" w:hAnsi="Times New Roman"/>
          <w:sz w:val="24"/>
          <w:highlight w:val="white"/>
        </w:rPr>
        <w:t>Р</w:t>
      </w:r>
      <w:r>
        <w:rPr>
          <w:rFonts w:ascii="Times New Roman" w:hAnsi="Times New Roman"/>
          <w:sz w:val="24"/>
          <w:highlight w:val="white"/>
        </w:rPr>
        <w:t xml:space="preserve">ис. 1 представлен пример </w:t>
      </w:r>
      <w:r>
        <w:rPr>
          <w:rFonts w:ascii="Times New Roman" w:hAnsi="Times New Roman"/>
          <w:sz w:val="24"/>
          <w:highlight w:val="white"/>
        </w:rPr>
        <w:t xml:space="preserve">(сценарий) </w:t>
      </w:r>
      <w:r>
        <w:rPr>
          <w:rFonts w:ascii="Times New Roman" w:hAnsi="Times New Roman"/>
          <w:sz w:val="24"/>
          <w:highlight w:val="white"/>
        </w:rPr>
        <w:t>использования разрабатываемой в проекте системы управления вычислительным процессом анализа ампликонов.</w:t>
      </w:r>
      <w:r>
        <w:rPr>
          <w:rFonts w:ascii="Times New Roman" w:hAnsi="Times New Roman"/>
          <w:highlight w:val="white"/>
        </w:rPr>
        <w:t> 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206375</wp:posOffset>
            </wp:positionH>
            <wp:positionV relativeFrom="paragraph">
              <wp:posOffset>81280</wp:posOffset>
            </wp:positionV>
            <wp:extent cx="5732780" cy="2968625"/>
            <wp:effectExtent l="0" t="0" r="0" b="0"/>
            <wp:wrapSquare wrapText="largest"/>
            <wp:docPr id="1" name="Picture" descr="scre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-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highlight w:val="white"/>
        </w:rPr>
        <w:t> </w:t>
      </w:r>
    </w:p>
    <w:p>
      <w:pPr>
        <w:pStyle w:val="TextBody"/>
        <w:spacing w:lineRule="auto" w:line="256" w:before="0" w:after="14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highlight w:val="white"/>
        </w:rPr>
        <w:t>Рис. 1.</w:t>
      </w:r>
      <w:r>
        <w:rPr>
          <w:rFonts w:ascii="Times New Roman" w:hAnsi="Times New Roman"/>
          <w:b w:val="false"/>
          <w:bCs w:val="false"/>
          <w:i w:val="false"/>
          <w:iCs w:val="false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 xml:space="preserve">Сетевой граф </w:t>
      </w:r>
      <w:r>
        <w:rPr>
          <w:rFonts w:ascii="Times New Roman" w:hAnsi="Times New Roman"/>
          <w:sz w:val="24"/>
          <w:highlight w:val="white"/>
        </w:rPr>
        <w:t xml:space="preserve">начальной стадии </w:t>
      </w:r>
      <w:r>
        <w:rPr>
          <w:rFonts w:ascii="Times New Roman" w:hAnsi="Times New Roman"/>
          <w:sz w:val="24"/>
          <w:highlight w:val="white"/>
        </w:rPr>
        <w:t>процесса анализа ампликонов</w:t>
      </w:r>
    </w:p>
    <w:p>
      <w:pPr>
        <w:pStyle w:val="TextBody"/>
        <w:spacing w:lineRule="auto" w:line="256"/>
        <w:jc w:val="both"/>
        <w:rPr>
          <w:sz w:val="24"/>
          <w:highlight w:val="white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56" w:before="0" w:after="140"/>
        <w:ind w:left="0" w:right="0"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 xml:space="preserve">Представленный сценарий сформирован при помощи программного комплекса Rapidminer Studio (https://rapidminer.com/), дополненного </w:t>
      </w:r>
      <w:r>
        <w:rPr>
          <w:rFonts w:ascii="Times New Roman" w:hAnsi="Times New Roman"/>
          <w:sz w:val="24"/>
          <w:highlight w:val="white"/>
        </w:rPr>
        <w:t xml:space="preserve">в рамках проекта </w:t>
      </w:r>
      <w:r>
        <w:rPr>
          <w:rFonts w:ascii="Times New Roman" w:hAnsi="Times New Roman"/>
          <w:sz w:val="24"/>
          <w:highlight w:val="white"/>
        </w:rPr>
        <w:t>разработанными модулями для представления этапов анализа ампликонов. В сценарий входят следующие операции: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формирование исследовательского проекта в виде папки (директории), содержащей данные секвенирования (модуль “Исх. данные”);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обрезка данных (прочтений) (модуль “Обрезка”);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 xml:space="preserve">модуль “Обзор” используется для </w:t>
      </w:r>
      <w:r>
        <w:rPr>
          <w:rFonts w:ascii="Times New Roman" w:hAnsi="Times New Roman"/>
          <w:sz w:val="24"/>
        </w:rPr>
        <w:t>визуального</w:t>
      </w:r>
      <w:r>
        <w:rPr>
          <w:rFonts w:ascii="Times New Roman" w:hAnsi="Times New Roman"/>
          <w:sz w:val="24"/>
          <w:highlight w:val="white"/>
        </w:rPr>
        <w:t xml:space="preserve"> анализа качества результатов предыдущих шагов;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сокращение объема входных данных за счет удаления незначащей информации, например, дублирующих последовательностей (модули “Выбор уник.”);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выравнивание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>последовательностей на референсные базы данных</w:t>
      </w:r>
      <w:r>
        <w:rPr>
          <w:rFonts w:ascii="Times New Roman" w:hAnsi="Times New Roman"/>
          <w:sz w:val="24"/>
          <w:highlight w:val="white"/>
        </w:rPr>
        <w:t xml:space="preserve"> (модуль “Выравнивание”);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фильтрация последовательностей по заданным критериям (модуль “Скрининг”);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удаление колонок выравнивания по заданным критериям, например, пустых колонок (модуль “Фильтрация”);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удаление последовательностей, содержащих ошибки секвенирования (модуль “Выбраковка”);</w:t>
      </w:r>
    </w:p>
    <w:p>
      <w:pPr>
        <w:pStyle w:val="TextBody"/>
        <w:numPr>
          <w:ilvl w:val="0"/>
          <w:numId w:val="1"/>
        </w:numPr>
        <w:spacing w:lineRule="auto" w:line="25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white"/>
        </w:rPr>
        <w:t>обнаружение химер (модуль “Расп. химер”, распознавание химер) и т.п.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 </w:t>
      </w:r>
      <w:r>
        <w:rPr>
          <w:rFonts w:ascii="Times New Roman" w:hAnsi="Times New Roman"/>
          <w:sz w:val="24"/>
          <w:highlight w:val="white"/>
        </w:rPr>
        <w:t>В схеме представлены также сервисные модули RapidMiner, которые необходимы для распространения однотипной информации между модулями (“Коп. Групп”, копирование групп). Наличие таких модулей - это особенность программной системы, предполагающей, что в общем случае модули вносят изменения в обрабатываемую информацию без её копирования.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 </w:t>
      </w:r>
      <w:r>
        <w:rPr>
          <w:rFonts w:ascii="Times New Roman" w:hAnsi="Times New Roman"/>
          <w:sz w:val="24"/>
          <w:highlight w:val="white"/>
        </w:rPr>
        <w:t xml:space="preserve">Каждый модуль получает на вход название файла и в результате работы создает новый файл. Функционирование модуля зависит от параметров, задаваемых пользователем при помощи пользовательского интерфейса, </w:t>
      </w:r>
      <w:r>
        <w:rPr>
          <w:rFonts w:ascii="Times New Roman" w:hAnsi="Times New Roman"/>
          <w:sz w:val="24"/>
          <w:highlight w:val="white"/>
        </w:rPr>
        <w:t>индивидуального для каждого модуля</w:t>
      </w:r>
      <w:r>
        <w:rPr>
          <w:rFonts w:ascii="Times New Roman" w:hAnsi="Times New Roman"/>
          <w:sz w:val="24"/>
          <w:highlight w:val="white"/>
        </w:rPr>
        <w:t>. Результаты работы сценария передаются на специальные выходные порты и отображаются системой Rapidminer Studio в удобном пользователю виде. Система поддерживает возможность представления сценария в виде нового блока со своими портами ввода и вывода, а также возможность облачного хранения и исполнения сценариев, что позволяет создавать распределенные вычислительные среды. Богатый набор функций RapidMiner, а также различные сервисы, предоставляемые разработчиками стали основной причиной выбора этой системы в качестве среды разработки информационно-вычислительных ресурсов проекта.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Модули RapidMiner, отождествляемые с операциями NGS, разрабатываются на языке программирования Java. Выбор этого языка обусловлен тем, что сам редактор RapidMiner Studio реализован а системе программирования Java, а стандартизированных интерфейсов к другим системам программирования разработчиками еще не было сделано. В связи с этим процесс программирования операции представляет собой </w:t>
      </w:r>
    </w:p>
    <w:p>
      <w:pPr>
        <w:pStyle w:val="TextBody"/>
        <w:numPr>
          <w:ilvl w:val="0"/>
          <w:numId w:val="2"/>
        </w:numPr>
        <w:spacing w:lineRule="auto" w:line="256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sz w:val="24"/>
          <w:highlight w:val="white"/>
        </w:rPr>
        <w:t>Создание унаследованного класса, реализующего операцию: задание портов ввода и вывода, задание перечня параметров модуля, преобразование данных портов в вызов утилиты Motur, декодирование результатов работы программы, анализ ошибок времени исполнения Motur.</w:t>
      </w:r>
    </w:p>
    <w:p>
      <w:pPr>
        <w:pStyle w:val="TextBody"/>
        <w:numPr>
          <w:ilvl w:val="0"/>
          <w:numId w:val="2"/>
        </w:numPr>
        <w:spacing w:lineRule="auto" w:line="256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sz w:val="24"/>
          <w:highlight w:val="white"/>
        </w:rPr>
        <w:t>Описание интерфейса класса в виде XML-файла, читаемого редактором  RapidMiner Studio.</w:t>
      </w:r>
    </w:p>
    <w:p>
      <w:pPr>
        <w:pStyle w:val="TextBody"/>
        <w:numPr>
          <w:ilvl w:val="0"/>
          <w:numId w:val="2"/>
        </w:numPr>
        <w:spacing w:lineRule="auto" w:line="256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sz w:val="24"/>
          <w:highlight w:val="white"/>
        </w:rPr>
        <w:t>Задание положения модуля в структуре модулей редактора.</w:t>
      </w:r>
    </w:p>
    <w:p>
      <w:pPr>
        <w:pStyle w:val="TextBody"/>
        <w:numPr>
          <w:ilvl w:val="0"/>
          <w:numId w:val="2"/>
        </w:numPr>
        <w:spacing w:lineRule="auto" w:line="256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Разработку пиктограммы операции, отображаемой внутри блока и символизирующей сущность операции. </w:t>
      </w:r>
    </w:p>
    <w:p>
      <w:pPr>
        <w:pStyle w:val="TextBody"/>
        <w:spacing w:lineRule="auto" w:line="25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Дальнейшим направлением развития специализированной версии RapidMiner является а) разработка системы интерпретации метаописаний операций программы Mothur; б) реализация новых операций; в) интеграция с облачным хранилищем (базой данных), разрабатываемым в рамках проекта; г) создание интерфейса пользователя для специалистов-биологов, позволяющей им самостоятельно проводить исследования и в некоторой степени влиять на вычислительный процесс; д) разработка специализированных приложений и библиотек операций, решающих специальные задачи.</w:t>
      </w:r>
    </w:p>
    <w:p>
      <w:pPr>
        <w:pStyle w:val="TextBody"/>
        <w:spacing w:lineRule="auto" w:line="276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Таким образом, для поддержки исследований в метагеномном анализе, который позволяет описывать микробные сообщества с ранее недоступной точностью, положено начало разработки средств автоматизации организации исследований, направленных на обеспечени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 доступа к значительным вычислительные мощностям и мощным алгоритмам анализа ампликонов специалисту-биологу без значительного участия биоинформатиков. Данное свойство системы обеспечивается при помощи визуального представления операций, обобщением функций программного обеспечения и разработке интерфейсов пользователя, ориентированных на специалистов-предметников. В целом, разрабатываемая среда поддержки научных исследования позволит предоставить исследователям удобный интерфейс анализа и обеспечить хранение в унифицированной форме исходных данных и результатов анализа. </w:t>
      </w:r>
    </w:p>
    <w:p>
      <w:pPr>
        <w:pStyle w:val="TextBody"/>
        <w:spacing w:lineRule="auto" w:line="276"/>
        <w:ind w:left="0" w:right="0" w:firstLine="709"/>
        <w:jc w:val="both"/>
        <w:rPr>
          <w:sz w:val="24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76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>Публикации по теме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(ИГУ в печати)</w:t>
      </w:r>
    </w:p>
    <w:p>
      <w:pPr>
        <w:pStyle w:val="Normal"/>
        <w:numPr>
          <w:ilvl w:val="0"/>
          <w:numId w:val="3"/>
        </w:numPr>
        <w:rPr>
          <w:rFonts w:ascii="Brill" w:hAnsi="Brill"/>
        </w:rPr>
      </w:pPr>
      <w:r>
        <w:rPr>
          <w:rFonts w:ascii="Times New Roman" w:hAnsi="Times New Roman"/>
        </w:rPr>
        <w:t xml:space="preserve">E.Cherkashin, A.Shigarov, F.Malkov, K.Pascal, A.Morozov. An Environment for Metagenomic Analysis. Procs. of International Conference on Applied Internet and Information Technologies (ICAIIT) 2017. Zrenjanin, October 5-6, Serbia, 2017. p. 110-117. URL: </w:t>
      </w:r>
      <w:hyperlink r:id="rId4" w:tgtFrame="_blank">
        <w:r>
          <w:rPr>
            <w:rStyle w:val="InternetLink"/>
            <w:rFonts w:ascii="Times New Roman" w:hAnsi="Times New Roman"/>
          </w:rPr>
          <w:t>http://tfzr.rs/aiit/files/</w:t>
        </w:r>
      </w:hyperlink>
      <w:r>
        <w:rPr>
          <w:rFonts w:ascii="Times New Roman" w:hAnsi="Times New Roman"/>
        </w:rPr>
        <w:t xml:space="preserve"> (access date: 18.10.2017) ISBN 978-86-7672-304-1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ril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oto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Noto 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tfzr.rs/aiit/files/ProceedingsAIIT2017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LibreOffice/5.4.3.2$Linux_X86_64 LibreOffice_project/40m0$Build-2</Application>
  <Pages>5</Pages>
  <Words>1279</Words>
  <Characters>9813</Characters>
  <CharactersWithSpaces>11059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2017-12-10T19:25:58Z</dcterms:created>
  <dc:creator/>
  <dc:description/>
  <dc:language>ru-RU</dc:language>
  <cp:lastModifiedBy/>
  <dcterms:modified xsi:type="dcterms:W3CDTF">2017-12-10T21:14:24Z</dcterms:modified>
  <cp:revision>12</cp:revision>
  <dc:subject/>
  <dc:title/>
</cp:coreProperties>
</file>