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A56DB"/>
          <w:sz w:val="56"/>
          <w:szCs w:val="56"/>
        </w:rPr>
        <w:t xml:space="preserve">LIVRAISON EXPRESS CM</w:t>
      </w:r>
    </w:p>
    <w:p>
      <w:pPr>
        <w:spacing w:after="100" w:before="0"/>
        <w:jc w:val="center"/>
      </w:pPr>
      <w:r>
        <w:rPr>
          <w:rFonts w:ascii="Arial" w:cs="Arial" w:eastAsia="Arial" w:hAnsi="Arial"/>
          <w:i/>
          <w:iCs/>
          <w:color w:val="F5A623"/>
          <w:sz w:val="26"/>
          <w:szCs w:val="26"/>
        </w:rPr>
        <w:t xml:space="preserve">— Application Mobile de Livraison par Moto —</w:t>
      </w:r>
    </w:p>
    <w:p>
      <w:pPr>
        <w:spacing w:after="100" w:before="100"/>
      </w:pPr>
      <w:r>
        <w:t xml:space="preserve"/>
      </w:r>
    </w:p>
    <w:p>
      <w:pPr>
        <w:pBdr>
          <w:top w:val="single" w:color="F5A623" w:sz="4"/>
          <w:bottom w:val="single" w:color="F5A623" w:sz="4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2D3748"/>
          <w:sz w:val="36"/>
          <w:szCs w:val="36"/>
        </w:rPr>
        <w:t xml:space="preserve">CAHIER DES CHARGES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026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Livraison Express CM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mobile Android (React Native)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Pays cible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Cameroun (Yaoundé, Douala)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Avril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de lancement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Confidentialité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Confidentiel — usage interne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1. Présentation du Projet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1.1 Contexte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Les villes camerounaises, notamment Yaoundé et Douala, connaissent une croissance urbaine rapide avec une demande croissante de services de livraison à domicile. Les solutions existantes sont informelles, peu fiables et sans suivi. Livraison Express CM vise à professionnaliser ce secteur grâce à une plateforme numérique accessible.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1.2 Objectifs généraux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Connecter les clients aux coursiers motocyclistes vérifiés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Offrir un suivi GPS en temps réel des livraisons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Intégrer les paiements Mobile Money (MTN MoMo, Orange Money)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Générer des revenus via des commissions sur chaque livraison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Lancer à Yaoundé puis s’étendre à Douala et aux autres villes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1.3 Périmètre du projet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1526"/>
      </w:tblGrid>
      <w:tr>
        <w:trPr>
          <w:tblHeader/>
        </w:trPr>
        <w:tc>
          <w:tcPr>
            <w:tcW w:type="dxa" w:w="3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4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26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Client Android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Commande et suivi de livraison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Coursier Android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Réception et exécution des courses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Admin Web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 de la plateforme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(iPhone)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future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 (Phase 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Intégration bancaire directe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Hors scope v1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2. Acteurs et Parties Prenantes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2.1 Utilisateurs de la plateforme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tcW w:type="dxa" w:w="3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tcW w:type="dxa" w:w="4026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 principales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Personne qui commande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S’inscrire, commander, payer, noter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Moto-taximan enregistré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Accepter courses, livrer, recevoir paiement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Administrateur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Équipe interne LEC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Gérer plateforme, valider, arbitrer litiges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Partenaire Business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Restaurants, boutiques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Poster commandes récurrentes, abonnement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2.2 Parties prenantes externes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MTN Cameroun — Partenaire paiement MoMo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Orange Cameroun — Partenaire paiement Orange Money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Google — Fournisseur API Maps &amp; GPS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Supabase — Hébergement base de données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ANTIC (Agence Nationale TIC) — Conformité réglementaire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3. Besoins Fonctionnels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3.1 Module Client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BF-01 : Inscription et authentification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Inscription par numéro de téléphone camerounais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Vérification par code OTP SMS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Connexion avec PIN ou empreinte digitale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Profil éditable (nom, photo, adresses favorites)</w:t>
      </w:r>
    </w:p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BF-02 : Commande de livraison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Sélection du point de départ sur carte (GPS ou saisie manuelle)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Sélection du point d’arrivée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Estimation tarifaire avant confirmation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Description optionnelle du colis (type, poids, valeur)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Choix du mode : Standard (45 min) ou Express (20 min)</w:t>
      </w:r>
    </w:p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BF-03 : Suivi en temps réel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Carte avec position GPS du coursier mise à jour toutes les 5 secondes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Statuts : En attente → Assigné → En route → Livré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Notification push à chaque changement de statut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Appel direct au coursier depuis l’app</w:t>
      </w:r>
    </w:p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BF-04 : Paiement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MTN Mobile Money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Orange Money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Espèces (paiement à la livraison)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Portefeuille in-app rechargeable</w:t>
      </w:r>
    </w:p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BF-05 : Historique et notation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Historique complet des livraisons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Notation du coursier (1-5 étoiles + commentaire)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Facture numérique téléchargeable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3.2 Module Coursier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BF-06 : Inscription et 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Formulaire d’inscription avec upload de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Documents requis : CNI, permis A/B, carte grise, assurance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Validation manuelle par l’administrateur (72h max)</w:t>
      </w:r>
    </w:p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BF-07 : Gestion des courses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Réception des demandes avec son de notification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Affichage : distance, montant, itéraire estimé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Accepter ou refuser (3 refus consécutifs = suspension temporaire)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Navigation GPS intégrée</w:t>
      </w:r>
    </w:p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BF-08 : Portefeuille coursier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Solde disponible visible en temps réel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Retrait vers Mobile Money (lundi et jeudi)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Historique des gains journalier/hebdomadaire/mensuel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3.3 Module Administrateur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BF-09 :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Livraisons en cours sur carte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KPIs : commandes/jour, revenus, coursiers actifs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Alertes : livraisons en retard, litiges ouverts</w:t>
      </w:r>
    </w:p>
    <w:p>
      <w:pPr>
        <w:spacing w:after="100" w:before="1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BF-10 : Gestion des entités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Validation / suspension / suppression des coursiers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Gestion des clients (blocage, remboursement)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Paramétrage des tarifs et zones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4. Besoins Non Fonctionnels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Exigence</w:t>
            </w:r>
          </w:p>
        </w:tc>
        <w:tc>
          <w:tcPr>
            <w:tcW w:type="dxa" w:w="3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3526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cible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Temps de réponse API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secondes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Disponibilité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 plateforme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99% (Supabase SLA)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Sécurité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Chiffrement données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1.3 + RLS Supabase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Utilisateurs simultanés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au lancement, 5000 an 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Compatibilité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 mobiles supportés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7.0+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Français (Anglais phase 2)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Fonctionnement sans réseau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Lecture cache, synchro auto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RGPD local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Conformité ANTIC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Données hébergées en conformité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5. Contraintes du Projet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5.1 Contraintes techniques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Connexion internet instable dans certaines zones : l’app doit fonctionner en mode dégradé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Majorité des utilisateurs sur Android (&gt;90% du marché camerounais)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Faible puissance des appareils : optimisation performances obligatoire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MTN MoMo et Orange Money nécessitent des partenariats commerciaux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5.2 Contraintes légales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Enregistrement officiel de l’application auprès de l’ANTIC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Conformité à la loi camerounaise sur les transactions électroniques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Obligation de conserver les logs de transactions 5 ans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5.3 Contraintes métier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Absence d’adressage standardisé au Cameroun : recours aux repères visuels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Culture du paiement cash persistante : proposer les deux modes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Faible alphabétisation numérique : UX très simple, tutoriel intégré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6. Planning Prévisionnel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500"/>
        <w:gridCol w:w="2026"/>
      </w:tblGrid>
      <w:tr>
        <w:trPr>
          <w:tblHeader/>
        </w:trPr>
        <w:tc>
          <w:tcPr>
            <w:tcW w:type="dxa" w:w="2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  <w:tc>
          <w:tcPr>
            <w:tcW w:type="dxa" w:w="3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Activités</w:t>
            </w:r>
          </w:p>
        </w:tc>
        <w:tc>
          <w:tcPr>
            <w:tcW w:type="dxa" w:w="2026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— Conception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semaines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CDC, maquettes, architecture BDD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Dossier complet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Développement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semaines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Supabase, Apps React Native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 fonctionnelles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— 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semaines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unitaires, beta fermée 50 users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Rapport de tests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— Lancement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semaines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Déploiement Play Store, marketing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en production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 — Itération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Corrections, nouvelles fonctionnalités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Mises à jour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7. Estimation Budgétaire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rPr>
          <w:tblHeader/>
        </w:trPr>
        <w:tc>
          <w:tcPr>
            <w:tcW w:type="dxa" w:w="30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Poste</w:t>
            </w:r>
          </w:p>
        </w:tc>
        <w:tc>
          <w:tcPr>
            <w:tcW w:type="dxa" w:w="35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  <w:tc>
          <w:tcPr>
            <w:tcW w:type="dxa" w:w="2526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Coût estimé (FCFA)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Développement App Client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Ingénieur React Native — 3 mois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900 000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Développement App Coursier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Même développeur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600 000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Développement Dashboard Admin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Développeur Web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données Supabase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Pro — 12 mois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150 000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Quota de lancement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UI/UX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Maquettes + assets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lancement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Facebook, WhatsApp, flyers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300 000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Juridique et ANTIC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Enregistrement officiel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150 000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2 780 000 FCFA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1"/>
        </w:pBdr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8. Critères de Succès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026"/>
      </w:tblGrid>
      <w:tr>
        <w:trPr>
          <w:tblHeader/>
        </w:trPr>
        <w:tc>
          <w:tcPr>
            <w:tcW w:type="dxa" w:w="32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</w:t>
            </w:r>
          </w:p>
        </w:tc>
        <w:tc>
          <w:tcPr>
            <w:tcW w:type="dxa" w:w="2800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 6 mois</w:t>
            </w:r>
          </w:p>
        </w:tc>
        <w:tc>
          <w:tcPr>
            <w:tcW w:type="dxa" w:w="3026"/>
            <w:tcBorders>
              <w:top w:val="single" w:color="1A56DB" w:sz="1"/>
              <w:left w:val="single" w:color="1A56DB" w:sz="1"/>
              <w:bottom w:val="single" w:color="1A56DB" w:sz="1"/>
              <w:right w:val="single" w:color="1A56DB" w:sz="1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 12 mois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Clients inscrits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Coursiers actifs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Livraisons / jour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 app Play Store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4.0 / 5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4.3 / 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Temps moyen livraison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 min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40 min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 mensuel net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500 000 FCFA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2 500 000 FCFA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Taux de satisfaction client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80%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90%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Fin du Cahier des Charges — Livraison Express CM v1.0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DB" w:sz="4" w:space="1"/>
      </w:pBdr>
      <w:spacing w:before="10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Confidentiel — Version 1.0 — Avril 2026   |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6" w:space="1"/>
      </w:pBdr>
      <w:spacing w:after="200"/>
    </w:pPr>
    <w:r>
      <w:rPr>
        <w:rFonts w:ascii="Arial" w:cs="Arial" w:eastAsia="Arial" w:hAnsi="Arial"/>
        <w:b/>
        <w:bCs/>
        <w:color w:val="1A56DB"/>
        <w:sz w:val="22"/>
        <w:szCs w:val="22"/>
      </w:rPr>
      <w:t xml:space="preserve">LIVRAISON EXPRESS CM</w:t>
    </w:r>
    <w:r>
      <w:rPr>
        <w:rFonts w:ascii="Arial" w:cs="Arial" w:eastAsia="Arial" w:hAnsi="Arial"/>
        <w:color w:val="666666"/>
        <w:sz w:val="22"/>
        <w:szCs w:val="22"/>
      </w:rPr>
      <w:t xml:space="preserve">   |   Cahier des Charges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2026-04-06T01:25:03.247Z</dcterms:created>
  <dcterms:modified xsi:type="dcterms:W3CDTF">2026-04-06T01:25:03.248Z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