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keepNext/>
        <w:spacing w:after="80"/>
        <w:ind w:firstLine="0"/>
        <w:jc w:val="center"/>
        <w:outlineLvl w:val="0"/>
        <w:rPr>
          <w:szCs w:val="26"/>
        </w:rPr>
      </w:pPr>
      <w:r w:rsidRPr="000F7C87">
        <w:rPr>
          <w:b/>
          <w:szCs w:val="26"/>
        </w:rPr>
        <w:t>CHƯƠNG 2</w:t>
      </w:r>
    </w:p>
    <w:p w14:paraId="6D6BC851" w14:textId="77777777" w:rsidR="005B561C" w:rsidRPr="000F7C87" w:rsidRDefault="00000000">
      <w:pPr>
        <w:spacing w:after="80"/>
        <w:ind w:firstLine="0"/>
        <w:jc w:val="center"/>
        <w:rPr>
          <w:szCs w:val="26"/>
        </w:rPr>
      </w:pPr>
      <w:r w:rsidRPr="000F7C87">
        <w:rPr>
          <w:b/>
          <w:szCs w:val="26"/>
        </w:rPr>
        <w:t>THỰC TRẠNG QUẢN LÝ QUYỀN SỞ HỮU TRÍ TUỆ</w:t>
      </w:r>
    </w:p>
    <w:p w14:paraId="5AF0BBF7" w14:textId="77777777" w:rsidR="005B561C" w:rsidRPr="000F7C87" w:rsidRDefault="00000000">
      <w:pPr>
        <w:spacing w:after="280"/>
        <w:ind w:firstLine="0"/>
        <w:jc w:val="center"/>
        <w:rPr>
          <w:szCs w:val="26"/>
        </w:rPr>
      </w:pPr>
      <w:r w:rsidRPr="000F7C87">
        <w:rPr>
          <w:b/>
          <w:szCs w:val="26"/>
        </w:rPr>
        <w:t>TẠI TRƯỜNG ĐẠI HỌC THÀNH ĐÔ</w:t>
      </w:r>
    </w:p>
    <w:p w14:paraId="48E95726" w14:textId="77777777" w:rsidR="005B561C" w:rsidRPr="000F7C87" w:rsidRDefault="00000000">
      <w:pPr>
        <w:rPr>
          <w:szCs w:val="26"/>
        </w:rPr>
      </w:pPr>
      <w:r w:rsidRPr="000F7C87">
        <w:rPr>
          <w:szCs w:val="26"/>
        </w:rPr>
        <w:t>Chương 2 phân tích thực trạng quản lý quyền sở hữu trí tuệ tại Trường Đại học Thành Đô giai đoạn 2021 - 2025 theo chu trình tạo lập, xác lập, bảo vệ và khai thác đã xác định tại Chương 1, đặt trong khung thể chế, tổ chức và nguồn lực của Nhà trường. Dữ liệu được tổng hợp từ các danh mục thống kê của Phòng Khoa học Công nghệ, danh sách nhân sự năm 2026, danh mục tài sản trí tuệ, các quy chế nội bộ và Kế hoạch số 07/KH-ĐHTĐ; văn bản pháp luật được đối chiếu theo bản hiện hành đến tháng 9 năm 2026.</w:t>
      </w:r>
    </w:p>
    <w:p w14:paraId="6067EC56" w14:textId="77777777" w:rsidR="005B561C" w:rsidRPr="000F7C87" w:rsidRDefault="00000000">
      <w:pPr>
        <w:keepNext/>
        <w:spacing w:before="280" w:after="160"/>
        <w:ind w:firstLine="0"/>
        <w:outlineLvl w:val="1"/>
        <w:rPr>
          <w:szCs w:val="26"/>
        </w:rPr>
      </w:pPr>
      <w:r w:rsidRPr="000F7C87">
        <w:rPr>
          <w:b/>
          <w:szCs w:val="26"/>
        </w:rPr>
        <w:t>2.1. Khái quát về Nhà trường và nguồn hình thành tài sản trí tuệ</w:t>
      </w:r>
    </w:p>
    <w:p w14:paraId="0DE297E1" w14:textId="77777777" w:rsidR="005B561C" w:rsidRPr="000F7C87" w:rsidRDefault="00000000">
      <w:pPr>
        <w:keepNext/>
        <w:spacing w:before="200" w:after="100"/>
        <w:ind w:firstLine="0"/>
        <w:outlineLvl w:val="2"/>
        <w:rPr>
          <w:szCs w:val="26"/>
        </w:rPr>
      </w:pPr>
      <w:r w:rsidRPr="000F7C87">
        <w:rPr>
          <w:b/>
          <w:szCs w:val="26"/>
        </w:rPr>
        <w:t>2.1.1. Tổ chức và nhân lực</w:t>
      </w:r>
    </w:p>
    <w:p w14:paraId="48E95726" w14:textId="77777777" w:rsidR="005B561C" w:rsidRPr="000F7C87" w:rsidRDefault="00000000">
      <w:pPr>
        <w:rPr>
          <w:szCs w:val="26"/>
        </w:rPr>
      </w:pPr>
      <w:r w:rsidRPr="000F7C87">
        <w:rPr>
          <w:szCs w:val="26"/>
        </w:rPr>
        <w:t>Trường Đại học Thành Đô là cơ sở giáo dục đại học tư thục định hướng ứng dụng, đào tạo mười tám ngành do ba viện quản lý: Viện Quản trị và Công nghệ chín ngành, trong đó có ngành Quản lý kinh tế ở trình độ thạc sĩ và tiến sĩ; Viện Ngôn ngữ - Văn hóa - Quốc tế sáu ngành; Viện Y - Dược ba ngành. Bộ máy gồm ba khối dưới Ban Giám hiệu. Khối Quản trị và Dịch vụ có Phòng Khoa học Công nghệ, Phòng Tài chính - Kế toán, Trung tâm Tuyển sinh và Quản trị thương hiệu, Trung tâm Dịch vụ và Quản trị hành chính tổng hợp cùng một số đơn vị khác. Khối Đào tạo và Nghiên cứu gồm ba viện đào tạo, Viện Nghiên cứu giáo dục và Chuyển giao tri thức, Tạp chí Nghiên cứu Khoa học và Phát triển và các trung tâm. Khối Doanh nghiệp có Công ty Thadotek. Trường Tiểu học và Trung học cơ sở UNIGO trong hệ sinh thái giáo dục là pháp nhân riêng, nên tài sản trí tuệ của trường này không thuộc phạm vi phân tích.</w:t>
      </w:r>
    </w:p>
    <w:p w14:paraId="48E95726" w14:textId="77777777" w:rsidR="005B561C" w:rsidRPr="000F7C87" w:rsidRDefault="00000000">
      <w:pPr>
        <w:rPr>
          <w:szCs w:val="26"/>
        </w:rPr>
      </w:pPr>
      <w:r w:rsidRPr="000F7C87">
        <w:rPr>
          <w:szCs w:val="26"/>
        </w:rPr>
        <w:t>Năm 2026, Nhà trường có 252 nhân sự, trong đó 145 giảng viên. Cơ cấu theo đơn vị và trình độ được trình bày tại Bảng 2.1.</w:t>
      </w:r>
    </w:p>
    <w:p w14:paraId="478B6AC7" w14:textId="77777777" w:rsidR="005B561C" w:rsidRPr="000F7C87" w:rsidRDefault="00000000">
      <w:pPr>
        <w:keepNext/>
        <w:spacing w:before="160" w:after="80"/>
        <w:ind w:firstLine="0"/>
        <w:jc w:val="center"/>
        <w:rPr>
          <w:szCs w:val="26"/>
        </w:rPr>
      </w:pPr>
      <w:r w:rsidRPr="000F7C87">
        <w:rPr>
          <w:b/>
          <w:szCs w:val="26"/>
        </w:rPr>
        <w:t>Bảng 2.1. Nhân lực Trường Đại học Thành Đô theo đơn vị và trình độ, năm 2026</w:t>
      </w:r>
    </w:p>
    <w:tbl>
      <w:tblPr>
        <w:tblStyle w:val="TableGrid"/>
        <w:tblW w:w="0" w:type="auto"/>
        <w:jc w:val="center"/>
        <w:tblLook w:val="04A0" w:firstRow="1" w:lastRow="0" w:firstColumn="1" w:lastColumn="0" w:noHBand="0" w:noVBand="1"/>
      </w:tblPr>
      <w:tblGrid>
        <w:gridCol w:w="3165"/>
        <w:gridCol w:w="852"/>
        <w:gridCol w:w="973"/>
        <w:gridCol w:w="1095"/>
        <w:gridCol w:w="913"/>
        <w:gridCol w:w="1095"/>
        <w:gridCol w:w="973"/>
      </w:tblGrid>
      <w:tr>
        <w:trPr>
          <w:cantSplit/>
          <w:tblHeader/>
        </w:trPr>
        <w:tc>
          <w:tcPr>
            <w:tcW w:w="3165" w:type="dxa"/>
            <w:shd w:val="clear" w:color="auto" w:fill="DCE8F7"/>
            <w:vAlign w:val="center"/>
          </w:tcPr>
          <w:p>
            <w:pPr>
              <w:spacing w:before="20" w:after="20" w:line="252" w:lineRule="auto"/>
              <w:ind w:firstLine="0"/>
              <w:jc w:val="center"/>
            </w:pPr>
            <w:r>
              <w:rPr>
                <w:b/>
                <w:sz w:val="24"/>
              </w:rPr>
              <w:t xml:space="preserve">Đơn vị</w:t>
            </w:r>
          </w:p>
        </w:tc>
        <w:tc>
          <w:tcPr>
            <w:tcW w:w="852" w:type="dxa"/>
            <w:shd w:val="clear" w:color="auto" w:fill="DCE8F7"/>
            <w:vAlign w:val="center"/>
          </w:tcPr>
          <w:p>
            <w:pPr>
              <w:spacing w:before="20" w:after="20" w:line="252" w:lineRule="auto"/>
              <w:ind w:firstLine="0"/>
              <w:jc w:val="center"/>
            </w:pPr>
            <w:r>
              <w:rPr>
                <w:b/>
                <w:sz w:val="24"/>
              </w:rPr>
              <w:t xml:space="preserve">Tổng số</w:t>
            </w:r>
          </w:p>
        </w:tc>
        <w:tc>
          <w:tcPr>
            <w:tcW w:w="973" w:type="dxa"/>
            <w:shd w:val="clear" w:color="auto" w:fill="DCE8F7"/>
            <w:vAlign w:val="center"/>
          </w:tcPr>
          <w:p>
            <w:pPr>
              <w:spacing w:before="20" w:after="20" w:line="252" w:lineRule="auto"/>
              <w:ind w:firstLine="0"/>
              <w:jc w:val="center"/>
            </w:pPr>
            <w:r>
              <w:rPr>
                <w:b/>
                <w:sz w:val="24"/>
              </w:rPr>
              <w:t xml:space="preserve">Giảng viên</w:t>
            </w:r>
          </w:p>
        </w:tc>
        <w:tc>
          <w:tcPr>
            <w:tcW w:w="1095" w:type="dxa"/>
            <w:shd w:val="clear" w:color="auto" w:fill="DCE8F7"/>
            <w:vAlign w:val="center"/>
          </w:tcPr>
          <w:p>
            <w:pPr>
              <w:spacing w:before="20" w:after="20" w:line="252" w:lineRule="auto"/>
              <w:ind w:firstLine="0"/>
              <w:jc w:val="center"/>
            </w:pPr>
            <w:r>
              <w:rPr>
                <w:b/>
                <w:sz w:val="24"/>
              </w:rPr>
              <w:t xml:space="preserve">Tiến sĩ và tương đương</w:t>
            </w:r>
          </w:p>
        </w:tc>
        <w:tc>
          <w:tcPr>
            <w:tcW w:w="913" w:type="dxa"/>
            <w:shd w:val="clear" w:color="auto" w:fill="DCE8F7"/>
            <w:vAlign w:val="center"/>
          </w:tcPr>
          <w:p>
            <w:pPr>
              <w:spacing w:before="20" w:after="20" w:line="252" w:lineRule="auto"/>
              <w:ind w:firstLine="0"/>
              <w:jc w:val="center"/>
            </w:pPr>
            <w:r>
              <w:rPr>
                <w:b/>
                <w:sz w:val="24"/>
              </w:rPr>
              <w:t xml:space="preserve">Trong đó GS, PGS</w:t>
            </w:r>
          </w:p>
        </w:tc>
        <w:tc>
          <w:tcPr>
            <w:tcW w:w="1095" w:type="dxa"/>
            <w:shd w:val="clear" w:color="auto" w:fill="DCE8F7"/>
            <w:vAlign w:val="center"/>
          </w:tcPr>
          <w:p>
            <w:pPr>
              <w:spacing w:before="20" w:after="20" w:line="252" w:lineRule="auto"/>
              <w:ind w:firstLine="0"/>
              <w:jc w:val="center"/>
            </w:pPr>
            <w:r>
              <w:rPr>
                <w:b/>
                <w:sz w:val="24"/>
              </w:rPr>
              <w:t xml:space="preserve">Thạc sĩ và tương đương</w:t>
            </w:r>
          </w:p>
        </w:tc>
        <w:tc>
          <w:tcPr>
            <w:tcW w:w="973" w:type="dxa"/>
            <w:shd w:val="clear" w:color="auto" w:fill="DCE8F7"/>
            <w:vAlign w:val="center"/>
          </w:tcPr>
          <w:p>
            <w:pPr>
              <w:spacing w:before="20" w:after="20" w:line="252" w:lineRule="auto"/>
              <w:ind w:firstLine="0"/>
              <w:jc w:val="center"/>
            </w:pPr>
            <w:r>
              <w:rPr>
                <w:b/>
                <w:sz w:val="24"/>
              </w:rPr>
              <w:t xml:space="preserve">Đại học và khác</w:t>
            </w:r>
          </w:p>
        </w:tc>
      </w:tr>
      <w:tr>
        <w:trPr>
          <w:cantSplit/>
        </w:trPr>
        <w:tc>
          <w:tcPr>
            <w:tcW w:w="3165" w:type="dxa"/>
            <w:vAlign w:val="center"/>
          </w:tcPr>
          <w:p>
            <w:pPr>
              <w:spacing w:before="20" w:after="20" w:line="252" w:lineRule="auto"/>
              <w:ind w:firstLine="0"/>
              <w:jc w:val="left"/>
            </w:pPr>
            <w:r>
              <w:rPr>
                <w:sz w:val="24"/>
              </w:rPr>
              <w:t xml:space="preserve">Viện Y - Dược</w:t>
            </w:r>
          </w:p>
        </w:tc>
        <w:tc>
          <w:tcPr>
            <w:tcW w:w="852" w:type="dxa"/>
            <w:vAlign w:val="center"/>
          </w:tcPr>
          <w:p>
            <w:pPr>
              <w:spacing w:before="20" w:after="20" w:line="252" w:lineRule="auto"/>
              <w:ind w:firstLine="0"/>
              <w:jc w:val="center"/>
            </w:pPr>
            <w:r>
              <w:rPr>
                <w:sz w:val="24"/>
              </w:rPr>
              <w:t xml:space="preserve">70</w:t>
            </w:r>
          </w:p>
        </w:tc>
        <w:tc>
          <w:tcPr>
            <w:tcW w:w="973" w:type="dxa"/>
            <w:vAlign w:val="center"/>
          </w:tcPr>
          <w:p>
            <w:pPr>
              <w:spacing w:before="20" w:after="20" w:line="252" w:lineRule="auto"/>
              <w:ind w:firstLine="0"/>
              <w:jc w:val="center"/>
            </w:pPr>
            <w:r>
              <w:rPr>
                <w:sz w:val="24"/>
              </w:rPr>
              <w:t xml:space="preserve">64</w:t>
            </w:r>
          </w:p>
        </w:tc>
        <w:tc>
          <w:tcPr>
            <w:tcW w:w="1095" w:type="dxa"/>
            <w:vAlign w:val="center"/>
          </w:tcPr>
          <w:p>
            <w:pPr>
              <w:spacing w:before="20" w:after="20" w:line="252" w:lineRule="auto"/>
              <w:ind w:firstLine="0"/>
              <w:jc w:val="center"/>
            </w:pPr>
            <w:r>
              <w:rPr>
                <w:sz w:val="24"/>
              </w:rPr>
              <w:t xml:space="preserve">42</w:t>
            </w:r>
          </w:p>
        </w:tc>
        <w:tc>
          <w:tcPr>
            <w:tcW w:w="913" w:type="dxa"/>
            <w:vAlign w:val="center"/>
          </w:tcPr>
          <w:p>
            <w:pPr>
              <w:spacing w:before="20" w:after="20" w:line="252" w:lineRule="auto"/>
              <w:ind w:firstLine="0"/>
              <w:jc w:val="center"/>
            </w:pPr>
            <w:r>
              <w:rPr>
                <w:sz w:val="24"/>
              </w:rPr>
              <w:t xml:space="preserve">8</w:t>
            </w:r>
          </w:p>
        </w:tc>
        <w:tc>
          <w:tcPr>
            <w:tcW w:w="1095" w:type="dxa"/>
            <w:vAlign w:val="center"/>
          </w:tcPr>
          <w:p>
            <w:pPr>
              <w:spacing w:before="20" w:after="20" w:line="252" w:lineRule="auto"/>
              <w:ind w:firstLine="0"/>
              <w:jc w:val="center"/>
            </w:pPr>
            <w:r>
              <w:rPr>
                <w:sz w:val="24"/>
              </w:rPr>
              <w:t xml:space="preserve">26</w:t>
            </w:r>
          </w:p>
        </w:tc>
        <w:tc>
          <w:tcPr>
            <w:tcW w:w="973" w:type="dxa"/>
            <w:vAlign w:val="center"/>
          </w:tcPr>
          <w:p>
            <w:pPr>
              <w:spacing w:before="20" w:after="20" w:line="252" w:lineRule="auto"/>
              <w:ind w:firstLine="0"/>
              <w:jc w:val="center"/>
            </w:pPr>
            <w:r>
              <w:rPr>
                <w:sz w:val="24"/>
              </w:rPr>
              <w:t xml:space="preserve">2</w:t>
            </w:r>
          </w:p>
        </w:tc>
      </w:tr>
      <w:tr>
        <w:trPr>
          <w:cantSplit/>
        </w:trPr>
        <w:tc>
          <w:tcPr>
            <w:tcW w:w="3165" w:type="dxa"/>
            <w:vAlign w:val="center"/>
          </w:tcPr>
          <w:p>
            <w:pPr>
              <w:spacing w:before="20" w:after="20" w:line="252" w:lineRule="auto"/>
              <w:ind w:firstLine="0"/>
              <w:jc w:val="left"/>
            </w:pPr>
            <w:r>
              <w:rPr>
                <w:sz w:val="24"/>
              </w:rPr>
              <w:t xml:space="preserve">Viện Quản trị và Công nghệ</w:t>
            </w:r>
          </w:p>
        </w:tc>
        <w:tc>
          <w:tcPr>
            <w:tcW w:w="852" w:type="dxa"/>
            <w:vAlign w:val="center"/>
          </w:tcPr>
          <w:p>
            <w:pPr>
              <w:spacing w:before="20" w:after="20" w:line="252" w:lineRule="auto"/>
              <w:ind w:firstLine="0"/>
              <w:jc w:val="center"/>
            </w:pPr>
            <w:r>
              <w:rPr>
                <w:sz w:val="24"/>
              </w:rPr>
              <w:t xml:space="preserve">47</w:t>
            </w:r>
          </w:p>
        </w:tc>
        <w:tc>
          <w:tcPr>
            <w:tcW w:w="973" w:type="dxa"/>
            <w:vAlign w:val="center"/>
          </w:tcPr>
          <w:p>
            <w:pPr>
              <w:spacing w:before="20" w:after="20" w:line="252" w:lineRule="auto"/>
              <w:ind w:firstLine="0"/>
              <w:jc w:val="center"/>
            </w:pPr>
            <w:r>
              <w:rPr>
                <w:sz w:val="24"/>
              </w:rPr>
              <w:t xml:space="preserve">42</w:t>
            </w:r>
          </w:p>
        </w:tc>
        <w:tc>
          <w:tcPr>
            <w:tcW w:w="1095" w:type="dxa"/>
            <w:vAlign w:val="center"/>
          </w:tcPr>
          <w:p>
            <w:pPr>
              <w:spacing w:before="20" w:after="20" w:line="252" w:lineRule="auto"/>
              <w:ind w:firstLine="0"/>
              <w:jc w:val="center"/>
            </w:pPr>
            <w:r>
              <w:rPr>
                <w:sz w:val="24"/>
              </w:rPr>
              <w:t xml:space="preserve">29</w:t>
            </w:r>
          </w:p>
        </w:tc>
        <w:tc>
          <w:tcPr>
            <w:tcW w:w="913" w:type="dxa"/>
            <w:vAlign w:val="center"/>
          </w:tcPr>
          <w:p>
            <w:pPr>
              <w:spacing w:before="20" w:after="20" w:line="252" w:lineRule="auto"/>
              <w:ind w:firstLine="0"/>
              <w:jc w:val="center"/>
            </w:pPr>
            <w:r>
              <w:rPr>
                <w:sz w:val="24"/>
              </w:rPr>
              <w:t xml:space="preserve">9</w:t>
            </w:r>
          </w:p>
        </w:tc>
        <w:tc>
          <w:tcPr>
            <w:tcW w:w="1095" w:type="dxa"/>
            <w:vAlign w:val="center"/>
          </w:tcPr>
          <w:p>
            <w:pPr>
              <w:spacing w:before="20" w:after="20" w:line="252" w:lineRule="auto"/>
              <w:ind w:firstLine="0"/>
              <w:jc w:val="center"/>
            </w:pPr>
            <w:r>
              <w:rPr>
                <w:sz w:val="24"/>
              </w:rPr>
              <w:t xml:space="preserve">17</w:t>
            </w:r>
          </w:p>
        </w:tc>
        <w:tc>
          <w:tcPr>
            <w:tcW w:w="973" w:type="dxa"/>
            <w:vAlign w:val="center"/>
          </w:tcPr>
          <w:p>
            <w:pPr>
              <w:spacing w:before="20" w:after="20" w:line="252" w:lineRule="auto"/>
              <w:ind w:firstLine="0"/>
              <w:jc w:val="center"/>
            </w:pPr>
            <w:r>
              <w:rPr>
                <w:sz w:val="24"/>
              </w:rPr>
              <w:t xml:space="preserve">1</w:t>
            </w:r>
          </w:p>
        </w:tc>
      </w:tr>
      <w:tr>
        <w:trPr>
          <w:cantSplit/>
        </w:trPr>
        <w:tc>
          <w:tcPr>
            <w:tcW w:w="3165" w:type="dxa"/>
            <w:vAlign w:val="center"/>
          </w:tcPr>
          <w:p>
            <w:pPr>
              <w:spacing w:before="20" w:after="20" w:line="252" w:lineRule="auto"/>
              <w:ind w:firstLine="0"/>
              <w:jc w:val="left"/>
            </w:pPr>
            <w:r>
              <w:rPr>
                <w:sz w:val="24"/>
              </w:rPr>
              <w:t xml:space="preserve">Viện Ngôn ngữ - Văn hóa - Quốc tế</w:t>
            </w:r>
          </w:p>
        </w:tc>
        <w:tc>
          <w:tcPr>
            <w:tcW w:w="852" w:type="dxa"/>
            <w:vAlign w:val="center"/>
          </w:tcPr>
          <w:p>
            <w:pPr>
              <w:spacing w:before="20" w:after="20" w:line="252" w:lineRule="auto"/>
              <w:ind w:firstLine="0"/>
              <w:jc w:val="center"/>
            </w:pPr>
            <w:r>
              <w:rPr>
                <w:sz w:val="24"/>
              </w:rPr>
              <w:t xml:space="preserve">29</w:t>
            </w:r>
          </w:p>
        </w:tc>
        <w:tc>
          <w:tcPr>
            <w:tcW w:w="973" w:type="dxa"/>
            <w:vAlign w:val="center"/>
          </w:tcPr>
          <w:p>
            <w:pPr>
              <w:spacing w:before="20" w:after="20" w:line="252" w:lineRule="auto"/>
              <w:ind w:firstLine="0"/>
              <w:jc w:val="center"/>
            </w:pPr>
            <w:r>
              <w:rPr>
                <w:sz w:val="24"/>
              </w:rPr>
              <w:t xml:space="preserve">25</w:t>
            </w:r>
          </w:p>
        </w:tc>
        <w:tc>
          <w:tcPr>
            <w:tcW w:w="1095" w:type="dxa"/>
            <w:vAlign w:val="center"/>
          </w:tcPr>
          <w:p>
            <w:pPr>
              <w:spacing w:before="20" w:after="20" w:line="252" w:lineRule="auto"/>
              <w:ind w:firstLine="0"/>
              <w:jc w:val="center"/>
            </w:pPr>
            <w:r>
              <w:rPr>
                <w:sz w:val="24"/>
              </w:rPr>
              <w:t xml:space="preserve">10</w:t>
            </w:r>
          </w:p>
        </w:tc>
        <w:tc>
          <w:tcPr>
            <w:tcW w:w="913" w:type="dxa"/>
            <w:vAlign w:val="center"/>
          </w:tcPr>
          <w:p>
            <w:pPr>
              <w:spacing w:before="20" w:after="20" w:line="252" w:lineRule="auto"/>
              <w:ind w:firstLine="0"/>
              <w:jc w:val="center"/>
            </w:pPr>
            <w:r>
              <w:rPr>
                <w:sz w:val="24"/>
              </w:rPr>
              <w:t xml:space="preserve">5</w:t>
            </w:r>
          </w:p>
        </w:tc>
        <w:tc>
          <w:tcPr>
            <w:tcW w:w="1095" w:type="dxa"/>
            <w:vAlign w:val="center"/>
          </w:tcPr>
          <w:p>
            <w:pPr>
              <w:spacing w:before="20" w:after="20" w:line="252" w:lineRule="auto"/>
              <w:ind w:firstLine="0"/>
              <w:jc w:val="center"/>
            </w:pPr>
            <w:r>
              <w:rPr>
                <w:sz w:val="24"/>
              </w:rPr>
              <w:t xml:space="preserve">18</w:t>
            </w:r>
          </w:p>
        </w:tc>
        <w:tc>
          <w:tcPr>
            <w:tcW w:w="973" w:type="dxa"/>
            <w:vAlign w:val="center"/>
          </w:tcPr>
          <w:p>
            <w:pPr>
              <w:spacing w:before="20" w:after="20" w:line="252" w:lineRule="auto"/>
              <w:ind w:firstLine="0"/>
              <w:jc w:val="center"/>
            </w:pPr>
            <w:r>
              <w:rPr>
                <w:sz w:val="24"/>
              </w:rPr>
              <w:t xml:space="preserve">1</w:t>
            </w:r>
          </w:p>
        </w:tc>
      </w:tr>
      <w:tr>
        <w:trPr>
          <w:cantSplit/>
        </w:trPr>
        <w:tc>
          <w:tcPr>
            <w:tcW w:w="3165" w:type="dxa"/>
            <w:vAlign w:val="center"/>
          </w:tcPr>
          <w:p>
            <w:pPr>
              <w:spacing w:before="20" w:after="20" w:line="252" w:lineRule="auto"/>
              <w:ind w:firstLine="0"/>
              <w:jc w:val="left"/>
            </w:pPr>
            <w:r>
              <w:rPr>
                <w:sz w:val="24"/>
              </w:rPr>
              <w:t xml:space="preserve">Trung tâm Tuyển sinh và Quản trị thương hiệu</w:t>
            </w:r>
          </w:p>
        </w:tc>
        <w:tc>
          <w:tcPr>
            <w:tcW w:w="852" w:type="dxa"/>
            <w:vAlign w:val="center"/>
          </w:tcPr>
          <w:p>
            <w:pPr>
              <w:spacing w:before="20" w:after="20" w:line="252" w:lineRule="auto"/>
              <w:ind w:firstLine="0"/>
              <w:jc w:val="center"/>
            </w:pPr>
            <w:r>
              <w:rPr>
                <w:sz w:val="24"/>
              </w:rPr>
              <w:t xml:space="preserve">15</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0</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2</w:t>
            </w:r>
          </w:p>
        </w:tc>
        <w:tc>
          <w:tcPr>
            <w:tcW w:w="973" w:type="dxa"/>
            <w:vAlign w:val="center"/>
          </w:tcPr>
          <w:p>
            <w:pPr>
              <w:spacing w:before="20" w:after="20" w:line="252" w:lineRule="auto"/>
              <w:ind w:firstLine="0"/>
              <w:jc w:val="center"/>
            </w:pPr>
            <w:r>
              <w:rPr>
                <w:sz w:val="24"/>
              </w:rPr>
              <w:t xml:space="preserve">13</w:t>
            </w:r>
          </w:p>
        </w:tc>
      </w:tr>
      <w:tr>
        <w:trPr>
          <w:cantSplit/>
        </w:trPr>
        <w:tc>
          <w:tcPr>
            <w:tcW w:w="3165" w:type="dxa"/>
            <w:vAlign w:val="center"/>
          </w:tcPr>
          <w:p>
            <w:pPr>
              <w:spacing w:before="20" w:after="20" w:line="252" w:lineRule="auto"/>
              <w:ind w:firstLine="0"/>
              <w:jc w:val="left"/>
            </w:pPr>
            <w:r>
              <w:rPr>
                <w:sz w:val="24"/>
              </w:rPr>
              <w:t xml:space="preserve">Trung tâm Dịch vụ và Quản trị hành chính tổng hợp</w:t>
            </w:r>
          </w:p>
        </w:tc>
        <w:tc>
          <w:tcPr>
            <w:tcW w:w="852" w:type="dxa"/>
            <w:vAlign w:val="center"/>
          </w:tcPr>
          <w:p>
            <w:pPr>
              <w:spacing w:before="20" w:after="20" w:line="252" w:lineRule="auto"/>
              <w:ind w:firstLine="0"/>
              <w:jc w:val="center"/>
            </w:pPr>
            <w:r>
              <w:rPr>
                <w:sz w:val="24"/>
              </w:rPr>
              <w:t xml:space="preserve">14</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0</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4</w:t>
            </w:r>
          </w:p>
        </w:tc>
        <w:tc>
          <w:tcPr>
            <w:tcW w:w="973" w:type="dxa"/>
            <w:vAlign w:val="center"/>
          </w:tcPr>
          <w:p>
            <w:pPr>
              <w:spacing w:before="20" w:after="20" w:line="252" w:lineRule="auto"/>
              <w:ind w:firstLine="0"/>
              <w:jc w:val="center"/>
            </w:pPr>
            <w:r>
              <w:rPr>
                <w:sz w:val="24"/>
              </w:rPr>
              <w:t xml:space="preserve">10</w:t>
            </w:r>
          </w:p>
        </w:tc>
      </w:tr>
      <w:tr>
        <w:trPr>
          <w:cantSplit/>
        </w:trPr>
        <w:tc>
          <w:tcPr>
            <w:tcW w:w="3165" w:type="dxa"/>
            <w:vAlign w:val="center"/>
          </w:tcPr>
          <w:p>
            <w:pPr>
              <w:spacing w:before="20" w:after="20" w:line="252" w:lineRule="auto"/>
              <w:ind w:firstLine="0"/>
              <w:jc w:val="left"/>
            </w:pPr>
            <w:r>
              <w:rPr>
                <w:sz w:val="24"/>
              </w:rPr>
              <w:t xml:space="preserve">Ban Giáo dục cơ bản</w:t>
            </w:r>
          </w:p>
        </w:tc>
        <w:tc>
          <w:tcPr>
            <w:tcW w:w="852" w:type="dxa"/>
            <w:vAlign w:val="center"/>
          </w:tcPr>
          <w:p>
            <w:pPr>
              <w:spacing w:before="20" w:after="20" w:line="252" w:lineRule="auto"/>
              <w:ind w:firstLine="0"/>
              <w:jc w:val="center"/>
            </w:pPr>
            <w:r>
              <w:rPr>
                <w:sz w:val="24"/>
              </w:rPr>
              <w:t xml:space="preserve">12</w:t>
            </w:r>
          </w:p>
        </w:tc>
        <w:tc>
          <w:tcPr>
            <w:tcW w:w="973" w:type="dxa"/>
            <w:vAlign w:val="center"/>
          </w:tcPr>
          <w:p>
            <w:pPr>
              <w:spacing w:before="20" w:after="20" w:line="252" w:lineRule="auto"/>
              <w:ind w:firstLine="0"/>
              <w:jc w:val="center"/>
            </w:pPr>
            <w:r>
              <w:rPr>
                <w:sz w:val="24"/>
              </w:rPr>
              <w:t xml:space="preserve">10</w:t>
            </w:r>
          </w:p>
        </w:tc>
        <w:tc>
          <w:tcPr>
            <w:tcW w:w="1095" w:type="dxa"/>
            <w:vAlign w:val="center"/>
          </w:tcPr>
          <w:p>
            <w:pPr>
              <w:spacing w:before="20" w:after="20" w:line="252" w:lineRule="auto"/>
              <w:ind w:firstLine="0"/>
              <w:jc w:val="center"/>
            </w:pPr>
            <w:r>
              <w:rPr>
                <w:sz w:val="24"/>
              </w:rPr>
              <w:t xml:space="preserve">6</w:t>
            </w:r>
          </w:p>
        </w:tc>
        <w:tc>
          <w:tcPr>
            <w:tcW w:w="913" w:type="dxa"/>
            <w:vAlign w:val="center"/>
          </w:tcPr>
          <w:p>
            <w:pPr>
              <w:spacing w:before="20" w:after="20" w:line="252" w:lineRule="auto"/>
              <w:ind w:firstLine="0"/>
              <w:jc w:val="center"/>
            </w:pPr>
            <w:r>
              <w:rPr>
                <w:sz w:val="24"/>
              </w:rPr>
              <w:t xml:space="preserve">1</w:t>
            </w:r>
          </w:p>
        </w:tc>
        <w:tc>
          <w:tcPr>
            <w:tcW w:w="1095" w:type="dxa"/>
            <w:vAlign w:val="center"/>
          </w:tcPr>
          <w:p>
            <w:pPr>
              <w:spacing w:before="20" w:after="20" w:line="252" w:lineRule="auto"/>
              <w:ind w:firstLine="0"/>
              <w:jc w:val="center"/>
            </w:pPr>
            <w:r>
              <w:rPr>
                <w:sz w:val="24"/>
              </w:rPr>
              <w:t xml:space="preserve">4</w:t>
            </w:r>
          </w:p>
        </w:tc>
        <w:tc>
          <w:tcPr>
            <w:tcW w:w="973" w:type="dxa"/>
            <w:vAlign w:val="center"/>
          </w:tcPr>
          <w:p>
            <w:pPr>
              <w:spacing w:before="20" w:after="20" w:line="252" w:lineRule="auto"/>
              <w:ind w:firstLine="0"/>
              <w:jc w:val="center"/>
            </w:pPr>
            <w:r>
              <w:rPr>
                <w:sz w:val="24"/>
              </w:rPr>
              <w:t xml:space="preserve">2</w:t>
            </w:r>
          </w:p>
        </w:tc>
      </w:tr>
      <w:tr>
        <w:trPr>
          <w:cantSplit/>
        </w:trPr>
        <w:tc>
          <w:tcPr>
            <w:tcW w:w="3165" w:type="dxa"/>
            <w:vAlign w:val="center"/>
          </w:tcPr>
          <w:p>
            <w:pPr>
              <w:spacing w:before="20" w:after="20" w:line="252" w:lineRule="auto"/>
              <w:ind w:firstLine="0"/>
              <w:jc w:val="left"/>
            </w:pPr>
            <w:r>
              <w:rPr>
                <w:sz w:val="24"/>
              </w:rPr>
              <w:t xml:space="preserve">Viện Nghiên cứu giáo dục và Chuyển giao tri thức</w:t>
            </w:r>
          </w:p>
        </w:tc>
        <w:tc>
          <w:tcPr>
            <w:tcW w:w="852" w:type="dxa"/>
            <w:vAlign w:val="center"/>
          </w:tcPr>
          <w:p>
            <w:pPr>
              <w:spacing w:before="20" w:after="20" w:line="252" w:lineRule="auto"/>
              <w:ind w:firstLine="0"/>
              <w:jc w:val="center"/>
            </w:pPr>
            <w:r>
              <w:rPr>
                <w:sz w:val="24"/>
              </w:rPr>
              <w:t xml:space="preserve">6</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1</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1</w:t>
            </w:r>
          </w:p>
        </w:tc>
        <w:tc>
          <w:tcPr>
            <w:tcW w:w="973" w:type="dxa"/>
            <w:vAlign w:val="center"/>
          </w:tcPr>
          <w:p>
            <w:pPr>
              <w:spacing w:before="20" w:after="20" w:line="252" w:lineRule="auto"/>
              <w:ind w:firstLine="0"/>
              <w:jc w:val="center"/>
            </w:pPr>
            <w:r>
              <w:rPr>
                <w:sz w:val="24"/>
              </w:rPr>
              <w:t xml:space="preserve">4</w:t>
            </w:r>
          </w:p>
        </w:tc>
      </w:tr>
      <w:tr>
        <w:trPr>
          <w:cantSplit/>
        </w:trPr>
        <w:tc>
          <w:tcPr>
            <w:tcW w:w="3165" w:type="dxa"/>
            <w:vAlign w:val="center"/>
          </w:tcPr>
          <w:p>
            <w:pPr>
              <w:spacing w:before="20" w:after="20" w:line="252" w:lineRule="auto"/>
              <w:ind w:firstLine="0"/>
              <w:jc w:val="left"/>
            </w:pPr>
            <w:r>
              <w:rPr>
                <w:sz w:val="24"/>
              </w:rPr>
              <w:t xml:space="preserve">Các đơn vị khác</w:t>
            </w:r>
          </w:p>
        </w:tc>
        <w:tc>
          <w:tcPr>
            <w:tcW w:w="852" w:type="dxa"/>
            <w:vAlign w:val="center"/>
          </w:tcPr>
          <w:p>
            <w:pPr>
              <w:spacing w:before="20" w:after="20" w:line="252" w:lineRule="auto"/>
              <w:ind w:firstLine="0"/>
              <w:jc w:val="center"/>
            </w:pPr>
            <w:r>
              <w:rPr>
                <w:sz w:val="24"/>
              </w:rPr>
              <w:t xml:space="preserve">59</w:t>
            </w:r>
          </w:p>
        </w:tc>
        <w:tc>
          <w:tcPr>
            <w:tcW w:w="973" w:type="dxa"/>
            <w:vAlign w:val="center"/>
          </w:tcPr>
          <w:p>
            <w:pPr>
              <w:spacing w:before="20" w:after="20" w:line="252" w:lineRule="auto"/>
              <w:ind w:firstLine="0"/>
              <w:jc w:val="center"/>
            </w:pPr>
            <w:r>
              <w:rPr>
                <w:sz w:val="24"/>
              </w:rPr>
              <w:t xml:space="preserve">4</w:t>
            </w:r>
          </w:p>
        </w:tc>
        <w:tc>
          <w:tcPr>
            <w:tcW w:w="1095" w:type="dxa"/>
            <w:vAlign w:val="center"/>
          </w:tcPr>
          <w:p>
            <w:pPr>
              <w:spacing w:before="20" w:after="20" w:line="252" w:lineRule="auto"/>
              <w:ind w:firstLine="0"/>
              <w:jc w:val="center"/>
            </w:pPr>
            <w:r>
              <w:rPr>
                <w:sz w:val="24"/>
              </w:rPr>
              <w:t xml:space="preserve">6</w:t>
            </w:r>
          </w:p>
        </w:tc>
        <w:tc>
          <w:tcPr>
            <w:tcW w:w="913" w:type="dxa"/>
            <w:vAlign w:val="center"/>
          </w:tcPr>
          <w:p>
            <w:pPr>
              <w:spacing w:before="20" w:after="20" w:line="252" w:lineRule="auto"/>
              <w:ind w:firstLine="0"/>
              <w:jc w:val="center"/>
            </w:pPr>
            <w:r>
              <w:rPr>
                <w:sz w:val="24"/>
              </w:rPr>
              <w:t xml:space="preserve">2</w:t>
            </w:r>
          </w:p>
        </w:tc>
        <w:tc>
          <w:tcPr>
            <w:tcW w:w="1095" w:type="dxa"/>
            <w:vAlign w:val="center"/>
          </w:tcPr>
          <w:p>
            <w:pPr>
              <w:spacing w:before="20" w:after="20" w:line="252" w:lineRule="auto"/>
              <w:ind w:firstLine="0"/>
              <w:jc w:val="center"/>
            </w:pPr>
            <w:r>
              <w:rPr>
                <w:sz w:val="24"/>
              </w:rPr>
              <w:t xml:space="preserve">22</w:t>
            </w:r>
          </w:p>
        </w:tc>
        <w:tc>
          <w:tcPr>
            <w:tcW w:w="973" w:type="dxa"/>
            <w:vAlign w:val="center"/>
          </w:tcPr>
          <w:p>
            <w:pPr>
              <w:spacing w:before="20" w:after="20" w:line="252" w:lineRule="auto"/>
              <w:ind w:firstLine="0"/>
              <w:jc w:val="center"/>
            </w:pPr>
            <w:r>
              <w:rPr>
                <w:sz w:val="24"/>
              </w:rPr>
              <w:t xml:space="preserve">31</w:t>
            </w:r>
          </w:p>
        </w:tc>
      </w:tr>
      <w:tr>
        <w:trPr>
          <w:cantSplit/>
        </w:trPr>
        <w:tc>
          <w:tcPr>
            <w:tcW w:w="3165" w:type="dxa"/>
            <w:vAlign w:val="center"/>
          </w:tcPr>
          <w:p>
            <w:pPr>
              <w:spacing w:before="20" w:after="20" w:line="252" w:lineRule="auto"/>
              <w:ind w:firstLine="0"/>
              <w:jc w:val="left"/>
            </w:pPr>
            <w:r>
              <w:rPr>
                <w:b/>
                <w:sz w:val="24"/>
              </w:rPr>
              <w:t xml:space="preserve">Tổng cộng</w:t>
            </w:r>
          </w:p>
        </w:tc>
        <w:tc>
          <w:tcPr>
            <w:tcW w:w="852" w:type="dxa"/>
            <w:vAlign w:val="center"/>
          </w:tcPr>
          <w:p>
            <w:pPr>
              <w:spacing w:before="20" w:after="20" w:line="252" w:lineRule="auto"/>
              <w:ind w:firstLine="0"/>
              <w:jc w:val="center"/>
            </w:pPr>
            <w:r>
              <w:rPr>
                <w:b/>
                <w:sz w:val="24"/>
              </w:rPr>
              <w:t xml:space="preserve">252</w:t>
            </w:r>
          </w:p>
        </w:tc>
        <w:tc>
          <w:tcPr>
            <w:tcW w:w="973" w:type="dxa"/>
            <w:vAlign w:val="center"/>
          </w:tcPr>
          <w:p>
            <w:pPr>
              <w:spacing w:before="20" w:after="20" w:line="252" w:lineRule="auto"/>
              <w:ind w:firstLine="0"/>
              <w:jc w:val="center"/>
            </w:pPr>
            <w:r>
              <w:rPr>
                <w:b/>
                <w:sz w:val="24"/>
              </w:rPr>
              <w:t xml:space="preserve">145</w:t>
            </w:r>
          </w:p>
        </w:tc>
        <w:tc>
          <w:tcPr>
            <w:tcW w:w="1095" w:type="dxa"/>
            <w:vAlign w:val="center"/>
          </w:tcPr>
          <w:p>
            <w:pPr>
              <w:spacing w:before="20" w:after="20" w:line="252" w:lineRule="auto"/>
              <w:ind w:firstLine="0"/>
              <w:jc w:val="center"/>
            </w:pPr>
            <w:r>
              <w:rPr>
                <w:b/>
                <w:sz w:val="24"/>
              </w:rPr>
              <w:t xml:space="preserve">94</w:t>
            </w:r>
          </w:p>
        </w:tc>
        <w:tc>
          <w:tcPr>
            <w:tcW w:w="913" w:type="dxa"/>
            <w:vAlign w:val="center"/>
          </w:tcPr>
          <w:p>
            <w:pPr>
              <w:spacing w:before="20" w:after="20" w:line="252" w:lineRule="auto"/>
              <w:ind w:firstLine="0"/>
              <w:jc w:val="center"/>
            </w:pPr>
            <w:r>
              <w:rPr>
                <w:b/>
                <w:sz w:val="24"/>
              </w:rPr>
              <w:t xml:space="preserve">25</w:t>
            </w:r>
          </w:p>
        </w:tc>
        <w:tc>
          <w:tcPr>
            <w:tcW w:w="1095" w:type="dxa"/>
            <w:vAlign w:val="center"/>
          </w:tcPr>
          <w:p>
            <w:pPr>
              <w:spacing w:before="20" w:after="20" w:line="252" w:lineRule="auto"/>
              <w:ind w:firstLine="0"/>
              <w:jc w:val="center"/>
            </w:pPr>
            <w:r>
              <w:rPr>
                <w:b/>
                <w:sz w:val="24"/>
              </w:rPr>
              <w:t xml:space="preserve">94</w:t>
            </w:r>
          </w:p>
        </w:tc>
        <w:tc>
          <w:tcPr>
            <w:tcW w:w="973" w:type="dxa"/>
            <w:vAlign w:val="center"/>
          </w:tcPr>
          <w:p>
            <w:pPr>
              <w:spacing w:before="20" w:after="20" w:line="252" w:lineRule="auto"/>
              <w:ind w:firstLine="0"/>
              <w:jc w:val="center"/>
            </w:pPr>
            <w:r>
              <w:rPr>
                <w:b/>
                <w:sz w:val="24"/>
              </w:rPr>
              <w:t xml:space="preserve">64</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sách nhân sự năm 2026 của Trường Đại học Thành Đô. Tiến sĩ và tương đương gồm người có học hàm giáo sư, phó giáo sư và bác sĩ chuyên khoa II; thạc sĩ và tương đương gồm dược sĩ chuyên khoa I.</w:t>
      </w:r>
    </w:p>
    <w:p w14:paraId="48E95726" w14:textId="77777777" w:rsidR="005B561C" w:rsidRPr="000F7C87" w:rsidRDefault="00000000">
      <w:pPr>
        <w:rPr>
          <w:szCs w:val="26"/>
        </w:rPr>
      </w:pPr>
      <w:r w:rsidRPr="000F7C87">
        <w:rPr>
          <w:szCs w:val="26"/>
        </w:rPr>
        <w:t>Bảng 2.1 cho thấy năng lực chuyên môn và thẩm quyền xử lý hồ sơ sở hữu trí tuệ nằm ở hai khối khác nhau. Ba viện đào tạo chiếm 57,9% nhân sự nhưng có 81 trên 94 người trình độ tiến sĩ, tức 86,2%, và 22 trên 25 người có học hàm. Ngược lại, hai trung tâm thuộc khối Quản trị và Dịch vụ, nơi đang thực hiện việc xác lập quyền đối với nhãn hiệu và giữ đầu mối pháp chế, có 29 nhân sự, không có tiến sĩ và 79,3% có trình độ đại học trở xuống. Phòng Khoa học Công nghệ, đơn vị đầu mối theo quy chế, có 2 nhân sự trình độ thạc sĩ, chức danh trưởng phòng do Hiệu trưởng kiêm nhiệm và không có người được đào tạo về sở hữu trí tuệ. Người có khả năng nhận diện kết quả có thể bảo hộ ở khối Đào tạo và Nghiên cứu, còn người xử lý thủ tục ở khối có năng lực chuyên môn khoa học mỏng hơn; khoảng cách này là tiền đề của các điểm nghẽn về tổ chức phân tích tại Mục 2.2.2.</w:t>
      </w:r>
    </w:p>
    <w:p w14:paraId="0DE297E1" w14:textId="77777777" w:rsidR="005B561C" w:rsidRPr="000F7C87" w:rsidRDefault="00000000">
      <w:pPr>
        <w:keepNext/>
        <w:spacing w:before="200" w:after="100"/>
        <w:ind w:firstLine="0"/>
        <w:outlineLvl w:val="2"/>
        <w:rPr>
          <w:szCs w:val="26"/>
        </w:rPr>
      </w:pPr>
      <w:r w:rsidRPr="000F7C87">
        <w:rPr>
          <w:b/>
          <w:szCs w:val="26"/>
        </w:rPr>
        <w:t>2.1.2. Sản phẩm khoa học giai đoạn 2021 - 2025</w:t>
      </w:r>
    </w:p>
    <w:p w14:paraId="48E95726" w14:textId="77777777" w:rsidR="005B561C" w:rsidRPr="000F7C87" w:rsidRDefault="00000000">
      <w:pPr>
        <w:rPr>
          <w:szCs w:val="26"/>
        </w:rPr>
      </w:pPr>
      <w:r w:rsidRPr="000F7C87">
        <w:rPr>
          <w:szCs w:val="26"/>
        </w:rPr>
        <w:t>Các danh mục thống kê của Phòng Khoa học Công nghệ ghi nhận 582 bản ghi sản phẩm khoa học trong giai đoạn 2021 - 2025, được trình bày tại Bảng 2.2.</w:t>
      </w:r>
    </w:p>
    <w:p w14:paraId="478B6AC7" w14:textId="77777777" w:rsidR="005B561C" w:rsidRPr="000F7C87" w:rsidRDefault="00000000">
      <w:pPr>
        <w:keepNext/>
        <w:spacing w:before="160" w:after="80"/>
        <w:ind w:firstLine="0"/>
        <w:jc w:val="center"/>
        <w:rPr>
          <w:szCs w:val="26"/>
        </w:rPr>
      </w:pPr>
      <w:r w:rsidRPr="000F7C87">
        <w:rPr>
          <w:b/>
          <w:szCs w:val="26"/>
        </w:rPr>
        <w:t>Bảng 2.2. Sản phẩm khoa học của Trường Đại học Thành Đô, giai đoạn 2021 - 2025</w:t>
      </w:r>
    </w:p>
    <w:tbl>
      <w:tblPr>
        <w:tblStyle w:val="TableGrid"/>
        <w:tblW w:w="0" w:type="auto"/>
        <w:jc w:val="center"/>
        <w:tblLook w:val="04A0" w:firstRow="1" w:lastRow="0" w:firstColumn="1" w:lastColumn="0" w:noHBand="0" w:noVBand="1"/>
      </w:tblPr>
      <w:tblGrid>
        <w:gridCol w:w="3856"/>
        <w:gridCol w:w="857"/>
        <w:gridCol w:w="857"/>
        <w:gridCol w:w="857"/>
        <w:gridCol w:w="857"/>
        <w:gridCol w:w="857"/>
        <w:gridCol w:w="928"/>
      </w:tblGrid>
      <w:tr>
        <w:trPr>
          <w:cantSplit/>
          <w:tblHeader/>
        </w:trPr>
        <w:tc>
          <w:tcPr>
            <w:tcW w:w="3856" w:type="dxa"/>
            <w:shd w:val="clear" w:color="auto" w:fill="DCE8F7"/>
            <w:vAlign w:val="center"/>
          </w:tcPr>
          <w:p>
            <w:pPr>
              <w:spacing w:before="20" w:after="20" w:line="252" w:lineRule="auto"/>
              <w:ind w:firstLine="0"/>
              <w:jc w:val="center"/>
            </w:pPr>
            <w:r>
              <w:rPr>
                <w:b/>
                <w:sz w:val="24"/>
              </w:rPr>
              <w:t xml:space="preserve">Loại sản phẩm</w:t>
            </w:r>
          </w:p>
        </w:tc>
        <w:tc>
          <w:tcPr>
            <w:tcW w:w="857" w:type="dxa"/>
            <w:shd w:val="clear" w:color="auto" w:fill="DCE8F7"/>
            <w:vAlign w:val="center"/>
          </w:tcPr>
          <w:p>
            <w:pPr>
              <w:spacing w:before="20" w:after="20" w:line="252" w:lineRule="auto"/>
              <w:ind w:firstLine="0"/>
              <w:jc w:val="center"/>
            </w:pPr>
            <w:r>
              <w:rPr>
                <w:b/>
                <w:sz w:val="24"/>
              </w:rPr>
              <w:t xml:space="preserve">2021</w:t>
            </w:r>
          </w:p>
        </w:tc>
        <w:tc>
          <w:tcPr>
            <w:tcW w:w="857" w:type="dxa"/>
            <w:shd w:val="clear" w:color="auto" w:fill="DCE8F7"/>
            <w:vAlign w:val="center"/>
          </w:tcPr>
          <w:p>
            <w:pPr>
              <w:spacing w:before="20" w:after="20" w:line="252" w:lineRule="auto"/>
              <w:ind w:firstLine="0"/>
              <w:jc w:val="center"/>
            </w:pPr>
            <w:r>
              <w:rPr>
                <w:b/>
                <w:sz w:val="24"/>
              </w:rPr>
              <w:t xml:space="preserve">2022</w:t>
            </w:r>
          </w:p>
        </w:tc>
        <w:tc>
          <w:tcPr>
            <w:tcW w:w="857" w:type="dxa"/>
            <w:shd w:val="clear" w:color="auto" w:fill="DCE8F7"/>
            <w:vAlign w:val="center"/>
          </w:tcPr>
          <w:p>
            <w:pPr>
              <w:spacing w:before="20" w:after="20" w:line="252" w:lineRule="auto"/>
              <w:ind w:firstLine="0"/>
              <w:jc w:val="center"/>
            </w:pPr>
            <w:r>
              <w:rPr>
                <w:b/>
                <w:sz w:val="24"/>
              </w:rPr>
              <w:t xml:space="preserve">2023</w:t>
            </w:r>
          </w:p>
        </w:tc>
        <w:tc>
          <w:tcPr>
            <w:tcW w:w="857" w:type="dxa"/>
            <w:shd w:val="clear" w:color="auto" w:fill="DCE8F7"/>
            <w:vAlign w:val="center"/>
          </w:tcPr>
          <w:p>
            <w:pPr>
              <w:spacing w:before="20" w:after="20" w:line="252" w:lineRule="auto"/>
              <w:ind w:firstLine="0"/>
              <w:jc w:val="center"/>
            </w:pPr>
            <w:r>
              <w:rPr>
                <w:b/>
                <w:sz w:val="24"/>
              </w:rPr>
              <w:t xml:space="preserve">2024</w:t>
            </w:r>
          </w:p>
        </w:tc>
        <w:tc>
          <w:tcPr>
            <w:tcW w:w="857" w:type="dxa"/>
            <w:shd w:val="clear" w:color="auto" w:fill="DCE8F7"/>
            <w:vAlign w:val="center"/>
          </w:tcPr>
          <w:p>
            <w:pPr>
              <w:spacing w:before="20" w:after="20" w:line="252" w:lineRule="auto"/>
              <w:ind w:firstLine="0"/>
              <w:jc w:val="center"/>
            </w:pPr>
            <w:r>
              <w:rPr>
                <w:b/>
                <w:sz w:val="24"/>
              </w:rPr>
              <w:t xml:space="preserve">2025</w:t>
            </w:r>
          </w:p>
        </w:tc>
        <w:tc>
          <w:tcPr>
            <w:tcW w:w="928" w:type="dxa"/>
            <w:shd w:val="clear" w:color="auto" w:fill="DCE8F7"/>
            <w:vAlign w:val="center"/>
          </w:tcPr>
          <w:p>
            <w:pPr>
              <w:spacing w:before="20" w:after="20" w:line="252" w:lineRule="auto"/>
              <w:ind w:firstLine="0"/>
              <w:jc w:val="center"/>
            </w:pPr>
            <w:r>
              <w:rPr>
                <w:b/>
                <w:sz w:val="24"/>
              </w:rPr>
              <w:t xml:space="preserve">Tổng</w:t>
            </w:r>
          </w:p>
        </w:tc>
      </w:tr>
      <w:tr>
        <w:trPr>
          <w:cantSplit/>
        </w:trPr>
        <w:tc>
          <w:tcPr>
            <w:tcW w:w="3856" w:type="dxa"/>
            <w:vAlign w:val="center"/>
          </w:tcPr>
          <w:p>
            <w:pPr>
              <w:spacing w:before="20" w:after="20" w:line="252" w:lineRule="auto"/>
              <w:ind w:firstLine="0"/>
              <w:jc w:val="left"/>
            </w:pPr>
            <w:r>
              <w:rPr>
                <w:sz w:val="24"/>
              </w:rPr>
              <w:t xml:space="preserve">Bài báo đăng tạp chí trong nước</w:t>
            </w:r>
          </w:p>
        </w:tc>
        <w:tc>
          <w:tcPr>
            <w:tcW w:w="857" w:type="dxa"/>
            <w:vAlign w:val="center"/>
          </w:tcPr>
          <w:p>
            <w:pPr>
              <w:spacing w:before="20" w:after="20" w:line="252" w:lineRule="auto"/>
              <w:ind w:firstLine="0"/>
              <w:jc w:val="center"/>
            </w:pPr>
            <w:r>
              <w:rPr>
                <w:sz w:val="24"/>
              </w:rPr>
              <w:t xml:space="preserve">17</w:t>
            </w:r>
          </w:p>
        </w:tc>
        <w:tc>
          <w:tcPr>
            <w:tcW w:w="857" w:type="dxa"/>
            <w:vAlign w:val="center"/>
          </w:tcPr>
          <w:p>
            <w:pPr>
              <w:spacing w:before="20" w:after="20" w:line="252" w:lineRule="auto"/>
              <w:ind w:firstLine="0"/>
              <w:jc w:val="center"/>
            </w:pPr>
            <w:r>
              <w:rPr>
                <w:sz w:val="24"/>
              </w:rPr>
              <w:t xml:space="preserve">42</w:t>
            </w:r>
          </w:p>
        </w:tc>
        <w:tc>
          <w:tcPr>
            <w:tcW w:w="857" w:type="dxa"/>
            <w:vAlign w:val="center"/>
          </w:tcPr>
          <w:p>
            <w:pPr>
              <w:spacing w:before="20" w:after="20" w:line="252" w:lineRule="auto"/>
              <w:ind w:firstLine="0"/>
              <w:jc w:val="center"/>
            </w:pPr>
            <w:r>
              <w:rPr>
                <w:sz w:val="24"/>
              </w:rPr>
              <w:t xml:space="preserve">50</w:t>
            </w:r>
          </w:p>
        </w:tc>
        <w:tc>
          <w:tcPr>
            <w:tcW w:w="857" w:type="dxa"/>
            <w:vAlign w:val="center"/>
          </w:tcPr>
          <w:p>
            <w:pPr>
              <w:spacing w:before="20" w:after="20" w:line="252" w:lineRule="auto"/>
              <w:ind w:firstLine="0"/>
              <w:jc w:val="center"/>
            </w:pPr>
            <w:r>
              <w:rPr>
                <w:sz w:val="24"/>
              </w:rPr>
              <w:t xml:space="preserve">72</w:t>
            </w:r>
          </w:p>
        </w:tc>
        <w:tc>
          <w:tcPr>
            <w:tcW w:w="857" w:type="dxa"/>
            <w:vAlign w:val="center"/>
          </w:tcPr>
          <w:p>
            <w:pPr>
              <w:spacing w:before="20" w:after="20" w:line="252" w:lineRule="auto"/>
              <w:ind w:firstLine="0"/>
              <w:jc w:val="center"/>
            </w:pPr>
            <w:r>
              <w:rPr>
                <w:sz w:val="24"/>
              </w:rPr>
              <w:t xml:space="preserve">109</w:t>
            </w:r>
          </w:p>
        </w:tc>
        <w:tc>
          <w:tcPr>
            <w:tcW w:w="928" w:type="dxa"/>
            <w:vAlign w:val="center"/>
          </w:tcPr>
          <w:p>
            <w:pPr>
              <w:spacing w:before="20" w:after="20" w:line="252" w:lineRule="auto"/>
              <w:ind w:firstLine="0"/>
              <w:jc w:val="center"/>
            </w:pPr>
            <w:r>
              <w:rPr>
                <w:sz w:val="24"/>
              </w:rPr>
              <w:t xml:space="preserve">290</w:t>
            </w:r>
          </w:p>
        </w:tc>
      </w:tr>
      <w:tr>
        <w:trPr>
          <w:cantSplit/>
        </w:trPr>
        <w:tc>
          <w:tcPr>
            <w:tcW w:w="3856" w:type="dxa"/>
            <w:vAlign w:val="center"/>
          </w:tcPr>
          <w:p>
            <w:pPr>
              <w:spacing w:before="20" w:after="20" w:line="252" w:lineRule="auto"/>
              <w:ind w:firstLine="0"/>
              <w:jc w:val="left"/>
            </w:pPr>
            <w:r>
              <w:rPr>
                <w:sz w:val="24"/>
              </w:rPr>
              <w:t xml:space="preserve">Bài báo đăng tạp chí quốc tế</w:t>
            </w:r>
          </w:p>
        </w:tc>
        <w:tc>
          <w:tcPr>
            <w:tcW w:w="857" w:type="dxa"/>
            <w:vAlign w:val="center"/>
          </w:tcPr>
          <w:p>
            <w:pPr>
              <w:spacing w:before="20" w:after="20" w:line="252" w:lineRule="auto"/>
              <w:ind w:firstLine="0"/>
              <w:jc w:val="center"/>
            </w:pPr>
            <w:r>
              <w:rPr>
                <w:sz w:val="24"/>
              </w:rPr>
              <w:t xml:space="preserve">6</w:t>
            </w:r>
          </w:p>
        </w:tc>
        <w:tc>
          <w:tcPr>
            <w:tcW w:w="857" w:type="dxa"/>
            <w:vAlign w:val="center"/>
          </w:tcPr>
          <w:p>
            <w:pPr>
              <w:spacing w:before="20" w:after="20" w:line="252" w:lineRule="auto"/>
              <w:ind w:firstLine="0"/>
              <w:jc w:val="center"/>
            </w:pPr>
            <w:r>
              <w:rPr>
                <w:sz w:val="24"/>
              </w:rPr>
              <w:t xml:space="preserve">13</w:t>
            </w:r>
          </w:p>
        </w:tc>
        <w:tc>
          <w:tcPr>
            <w:tcW w:w="857" w:type="dxa"/>
            <w:vAlign w:val="center"/>
          </w:tcPr>
          <w:p>
            <w:pPr>
              <w:spacing w:before="20" w:after="20" w:line="252" w:lineRule="auto"/>
              <w:ind w:firstLine="0"/>
              <w:jc w:val="center"/>
            </w:pPr>
            <w:r>
              <w:rPr>
                <w:sz w:val="24"/>
              </w:rPr>
              <w:t xml:space="preserve">11</w:t>
            </w:r>
          </w:p>
        </w:tc>
        <w:tc>
          <w:tcPr>
            <w:tcW w:w="857" w:type="dxa"/>
            <w:vAlign w:val="center"/>
          </w:tcPr>
          <w:p>
            <w:pPr>
              <w:spacing w:before="20" w:after="20" w:line="252" w:lineRule="auto"/>
              <w:ind w:firstLine="0"/>
              <w:jc w:val="center"/>
            </w:pPr>
            <w:r>
              <w:rPr>
                <w:sz w:val="24"/>
              </w:rPr>
              <w:t xml:space="preserve">33</w:t>
            </w:r>
          </w:p>
        </w:tc>
        <w:tc>
          <w:tcPr>
            <w:tcW w:w="857" w:type="dxa"/>
            <w:vAlign w:val="center"/>
          </w:tcPr>
          <w:p>
            <w:pPr>
              <w:spacing w:before="20" w:after="20" w:line="252" w:lineRule="auto"/>
              <w:ind w:firstLine="0"/>
              <w:jc w:val="center"/>
            </w:pPr>
            <w:r>
              <w:rPr>
                <w:sz w:val="24"/>
              </w:rPr>
              <w:t xml:space="preserve">52</w:t>
            </w:r>
          </w:p>
        </w:tc>
        <w:tc>
          <w:tcPr>
            <w:tcW w:w="928" w:type="dxa"/>
            <w:vAlign w:val="center"/>
          </w:tcPr>
          <w:p>
            <w:pPr>
              <w:spacing w:before="20" w:after="20" w:line="252" w:lineRule="auto"/>
              <w:ind w:firstLine="0"/>
              <w:jc w:val="center"/>
            </w:pPr>
            <w:r>
              <w:rPr>
                <w:sz w:val="24"/>
              </w:rPr>
              <w:t xml:space="preserve">115</w:t>
            </w:r>
          </w:p>
        </w:tc>
      </w:tr>
      <w:tr>
        <w:trPr>
          <w:cantSplit/>
        </w:trPr>
        <w:tc>
          <w:tcPr>
            <w:tcW w:w="3856" w:type="dxa"/>
            <w:vAlign w:val="center"/>
          </w:tcPr>
          <w:p>
            <w:pPr>
              <w:spacing w:before="20" w:after="20" w:line="252" w:lineRule="auto"/>
              <w:ind w:firstLine="0"/>
              <w:jc w:val="left"/>
            </w:pPr>
            <w:r>
              <w:rPr>
                <w:sz w:val="24"/>
              </w:rPr>
              <w:t xml:space="preserve">Giáo trình, tài liệu giảng dạy</w:t>
            </w:r>
          </w:p>
        </w:tc>
        <w:tc>
          <w:tcPr>
            <w:tcW w:w="857" w:type="dxa"/>
            <w:vAlign w:val="center"/>
          </w:tcPr>
          <w:p>
            <w:pPr>
              <w:spacing w:before="20" w:after="20" w:line="252" w:lineRule="auto"/>
              <w:ind w:firstLine="0"/>
              <w:jc w:val="center"/>
            </w:pPr>
            <w:r>
              <w:rPr>
                <w:sz w:val="24"/>
              </w:rPr>
              <w:t xml:space="preserve">26</w:t>
            </w:r>
          </w:p>
        </w:tc>
        <w:tc>
          <w:tcPr>
            <w:tcW w:w="857" w:type="dxa"/>
            <w:vAlign w:val="center"/>
          </w:tcPr>
          <w:p>
            <w:pPr>
              <w:spacing w:before="20" w:after="20" w:line="252" w:lineRule="auto"/>
              <w:ind w:firstLine="0"/>
              <w:jc w:val="center"/>
            </w:pPr>
            <w:r>
              <w:rPr>
                <w:sz w:val="24"/>
              </w:rPr>
              <w:t xml:space="preserve">31</w:t>
            </w:r>
          </w:p>
        </w:tc>
        <w:tc>
          <w:tcPr>
            <w:tcW w:w="857" w:type="dxa"/>
            <w:vAlign w:val="center"/>
          </w:tcPr>
          <w:p>
            <w:pPr>
              <w:spacing w:before="20" w:after="20" w:line="252" w:lineRule="auto"/>
              <w:ind w:firstLine="0"/>
              <w:jc w:val="center"/>
            </w:pPr>
            <w:r>
              <w:rPr>
                <w:sz w:val="24"/>
              </w:rPr>
              <w:t xml:space="preserve">12</w:t>
            </w:r>
          </w:p>
        </w:tc>
        <w:tc>
          <w:tcPr>
            <w:tcW w:w="857" w:type="dxa"/>
            <w:vAlign w:val="center"/>
          </w:tcPr>
          <w:p>
            <w:pPr>
              <w:spacing w:before="20" w:after="20" w:line="252" w:lineRule="auto"/>
              <w:ind w:firstLine="0"/>
              <w:jc w:val="center"/>
            </w:pPr>
            <w:r>
              <w:rPr>
                <w:sz w:val="24"/>
              </w:rPr>
              <w:t xml:space="preserve">7</w:t>
            </w:r>
          </w:p>
        </w:tc>
        <w:tc>
          <w:tcPr>
            <w:tcW w:w="857" w:type="dxa"/>
            <w:vAlign w:val="center"/>
          </w:tcPr>
          <w:p>
            <w:pPr>
              <w:spacing w:before="20" w:after="20" w:line="252" w:lineRule="auto"/>
              <w:ind w:firstLine="0"/>
              <w:jc w:val="center"/>
            </w:pPr>
            <w:r>
              <w:rPr>
                <w:sz w:val="24"/>
              </w:rPr>
              <w:t xml:space="preserve">11</w:t>
            </w:r>
          </w:p>
        </w:tc>
        <w:tc>
          <w:tcPr>
            <w:tcW w:w="928" w:type="dxa"/>
            <w:vAlign w:val="center"/>
          </w:tcPr>
          <w:p>
            <w:pPr>
              <w:spacing w:before="20" w:after="20" w:line="252" w:lineRule="auto"/>
              <w:ind w:firstLine="0"/>
              <w:jc w:val="center"/>
            </w:pPr>
            <w:r>
              <w:rPr>
                <w:sz w:val="24"/>
              </w:rPr>
              <w:t xml:space="preserve">87</w:t>
            </w:r>
          </w:p>
        </w:tc>
      </w:tr>
      <w:tr>
        <w:trPr>
          <w:cantSplit/>
        </w:trPr>
        <w:tc>
          <w:tcPr>
            <w:tcW w:w="3856" w:type="dxa"/>
            <w:vAlign w:val="center"/>
          </w:tcPr>
          <w:p>
            <w:pPr>
              <w:spacing w:before="20" w:after="20" w:line="252" w:lineRule="auto"/>
              <w:ind w:firstLine="0"/>
              <w:jc w:val="left"/>
            </w:pPr>
            <w:r>
              <w:rPr>
                <w:sz w:val="24"/>
              </w:rPr>
              <w:t xml:space="preserve">Đề tài khoa học công nghệ cấp cơ sở</w:t>
            </w:r>
          </w:p>
        </w:tc>
        <w:tc>
          <w:tcPr>
            <w:tcW w:w="857" w:type="dxa"/>
            <w:vAlign w:val="center"/>
          </w:tcPr>
          <w:p>
            <w:pPr>
              <w:spacing w:before="20" w:after="20" w:line="252" w:lineRule="auto"/>
              <w:ind w:firstLine="0"/>
              <w:jc w:val="center"/>
            </w:pPr>
            <w:r>
              <w:rPr>
                <w:sz w:val="24"/>
              </w:rPr>
              <w:t xml:space="preserve">6</w:t>
            </w:r>
          </w:p>
        </w:tc>
        <w:tc>
          <w:tcPr>
            <w:tcW w:w="857" w:type="dxa"/>
            <w:vAlign w:val="center"/>
          </w:tcPr>
          <w:p>
            <w:pPr>
              <w:spacing w:before="20" w:after="20" w:line="252" w:lineRule="auto"/>
              <w:ind w:firstLine="0"/>
              <w:jc w:val="center"/>
            </w:pPr>
            <w:r>
              <w:rPr>
                <w:sz w:val="24"/>
              </w:rPr>
              <w:t xml:space="preserve">10</w:t>
            </w:r>
          </w:p>
        </w:tc>
        <w:tc>
          <w:tcPr>
            <w:tcW w:w="857" w:type="dxa"/>
            <w:vAlign w:val="center"/>
          </w:tcPr>
          <w:p>
            <w:pPr>
              <w:spacing w:before="20" w:after="20" w:line="252" w:lineRule="auto"/>
              <w:ind w:firstLine="0"/>
              <w:jc w:val="center"/>
            </w:pPr>
            <w:r>
              <w:rPr>
                <w:sz w:val="24"/>
              </w:rPr>
              <w:t xml:space="preserve">7</w:t>
            </w:r>
          </w:p>
        </w:tc>
        <w:tc>
          <w:tcPr>
            <w:tcW w:w="857" w:type="dxa"/>
            <w:vAlign w:val="center"/>
          </w:tcPr>
          <w:p>
            <w:pPr>
              <w:spacing w:before="20" w:after="20" w:line="252" w:lineRule="auto"/>
              <w:ind w:firstLine="0"/>
              <w:jc w:val="center"/>
            </w:pPr>
            <w:r>
              <w:rPr>
                <w:sz w:val="24"/>
              </w:rPr>
              <w:t xml:space="preserve">8</w:t>
            </w:r>
          </w:p>
        </w:tc>
        <w:tc>
          <w:tcPr>
            <w:tcW w:w="857" w:type="dxa"/>
            <w:vAlign w:val="center"/>
          </w:tcPr>
          <w:p>
            <w:pPr>
              <w:spacing w:before="20" w:after="20" w:line="252" w:lineRule="auto"/>
              <w:ind w:firstLine="0"/>
              <w:jc w:val="center"/>
            </w:pPr>
            <w:r>
              <w:rPr>
                <w:sz w:val="24"/>
              </w:rPr>
              <w:t xml:space="preserve">7</w:t>
            </w:r>
          </w:p>
        </w:tc>
        <w:tc>
          <w:tcPr>
            <w:tcW w:w="928" w:type="dxa"/>
            <w:vAlign w:val="center"/>
          </w:tcPr>
          <w:p>
            <w:pPr>
              <w:spacing w:before="20" w:after="20" w:line="252" w:lineRule="auto"/>
              <w:ind w:firstLine="0"/>
              <w:jc w:val="center"/>
            </w:pPr>
            <w:r>
              <w:rPr>
                <w:sz w:val="24"/>
              </w:rPr>
              <w:t xml:space="preserve">38</w:t>
            </w:r>
          </w:p>
        </w:tc>
      </w:tr>
      <w:tr>
        <w:trPr>
          <w:cantSplit/>
        </w:trPr>
        <w:tc>
          <w:tcPr>
            <w:tcW w:w="3856" w:type="dxa"/>
            <w:vAlign w:val="center"/>
          </w:tcPr>
          <w:p>
            <w:pPr>
              <w:spacing w:before="20" w:after="20" w:line="252" w:lineRule="auto"/>
              <w:ind w:firstLine="0"/>
              <w:jc w:val="left"/>
            </w:pPr>
            <w:r>
              <w:rPr>
                <w:sz w:val="24"/>
              </w:rPr>
              <w:t xml:space="preserve">Sách xuất bản</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6</w:t>
            </w:r>
          </w:p>
        </w:tc>
        <w:tc>
          <w:tcPr>
            <w:tcW w:w="928" w:type="dxa"/>
            <w:vAlign w:val="center"/>
          </w:tcPr>
          <w:p>
            <w:pPr>
              <w:spacing w:before="20" w:after="20" w:line="252" w:lineRule="auto"/>
              <w:ind w:firstLine="0"/>
              <w:jc w:val="center"/>
            </w:pPr>
            <w:r>
              <w:rPr>
                <w:sz w:val="24"/>
              </w:rPr>
              <w:t xml:space="preserve">12</w:t>
            </w:r>
          </w:p>
        </w:tc>
      </w:tr>
      <w:tr>
        <w:trPr>
          <w:cantSplit/>
        </w:trPr>
        <w:tc>
          <w:tcPr>
            <w:tcW w:w="3856" w:type="dxa"/>
            <w:vAlign w:val="center"/>
          </w:tcPr>
          <w:p>
            <w:pPr>
              <w:spacing w:before="20" w:after="20" w:line="252" w:lineRule="auto"/>
              <w:ind w:firstLine="0"/>
              <w:jc w:val="left"/>
            </w:pPr>
            <w:r>
              <w:rPr>
                <w:sz w:val="24"/>
              </w:rPr>
              <w:t xml:space="preserve">Tham luận hội thảo quốc tế</w:t>
            </w:r>
          </w:p>
        </w:tc>
        <w:tc>
          <w:tcPr>
            <w:tcW w:w="857" w:type="dxa"/>
            <w:vAlign w:val="center"/>
          </w:tcPr>
          <w:p>
            <w:pPr>
              <w:spacing w:before="20" w:after="20" w:line="252" w:lineRule="auto"/>
              <w:ind w:firstLine="0"/>
              <w:jc w:val="center"/>
            </w:pPr>
            <w:r>
              <w:rPr>
                <w:sz w:val="24"/>
              </w:rPr>
              <w:t xml:space="preserve">1</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3</w:t>
            </w:r>
          </w:p>
        </w:tc>
        <w:tc>
          <w:tcPr>
            <w:tcW w:w="857" w:type="dxa"/>
            <w:vAlign w:val="center"/>
          </w:tcPr>
          <w:p>
            <w:pPr>
              <w:spacing w:before="20" w:after="20" w:line="252" w:lineRule="auto"/>
              <w:ind w:firstLine="0"/>
              <w:jc w:val="center"/>
            </w:pPr>
            <w:r>
              <w:rPr>
                <w:sz w:val="24"/>
              </w:rPr>
              <w:t xml:space="preserve">5</w:t>
            </w:r>
          </w:p>
        </w:tc>
        <w:tc>
          <w:tcPr>
            <w:tcW w:w="857" w:type="dxa"/>
            <w:vAlign w:val="center"/>
          </w:tcPr>
          <w:p>
            <w:pPr>
              <w:spacing w:before="20" w:after="20" w:line="252" w:lineRule="auto"/>
              <w:ind w:firstLine="0"/>
              <w:jc w:val="center"/>
            </w:pPr>
            <w:r>
              <w:rPr>
                <w:sz w:val="24"/>
              </w:rPr>
              <w:t xml:space="preserve">5</w:t>
            </w:r>
          </w:p>
        </w:tc>
        <w:tc>
          <w:tcPr>
            <w:tcW w:w="928" w:type="dxa"/>
            <w:vAlign w:val="center"/>
          </w:tcPr>
          <w:p>
            <w:pPr>
              <w:spacing w:before="20" w:after="20" w:line="252" w:lineRule="auto"/>
              <w:ind w:firstLine="0"/>
              <w:jc w:val="center"/>
            </w:pPr>
            <w:r>
              <w:rPr>
                <w:sz w:val="24"/>
              </w:rPr>
              <w:t xml:space="preserve">16</w:t>
            </w:r>
          </w:p>
        </w:tc>
      </w:tr>
      <w:tr>
        <w:trPr>
          <w:cantSplit/>
        </w:trPr>
        <w:tc>
          <w:tcPr>
            <w:tcW w:w="3856" w:type="dxa"/>
            <w:vAlign w:val="center"/>
          </w:tcPr>
          <w:p>
            <w:pPr>
              <w:spacing w:before="20" w:after="20" w:line="252" w:lineRule="auto"/>
              <w:ind w:firstLine="0"/>
              <w:jc w:val="left"/>
            </w:pPr>
            <w:r>
              <w:rPr>
                <w:sz w:val="24"/>
              </w:rPr>
              <w:t xml:space="preserve">Tham luận hội thảo quốc gia</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928" w:type="dxa"/>
            <w:vAlign w:val="center"/>
          </w:tcPr>
          <w:p>
            <w:pPr>
              <w:spacing w:before="20" w:after="20" w:line="252" w:lineRule="auto"/>
              <w:ind w:firstLine="0"/>
              <w:jc w:val="center"/>
            </w:pPr>
            <w:r>
              <w:rPr>
                <w:sz w:val="24"/>
              </w:rPr>
              <w:t xml:space="preserve">21</w:t>
            </w:r>
          </w:p>
        </w:tc>
      </w:tr>
      <w:tr>
        <w:trPr>
          <w:cantSplit/>
        </w:trPr>
        <w:tc>
          <w:tcPr>
            <w:tcW w:w="3856" w:type="dxa"/>
            <w:vAlign w:val="center"/>
          </w:tcPr>
          <w:p>
            <w:pPr>
              <w:spacing w:before="20" w:after="20" w:line="252" w:lineRule="auto"/>
              <w:ind w:firstLine="0"/>
              <w:jc w:val="left"/>
            </w:pPr>
            <w:r>
              <w:rPr>
                <w:sz w:val="24"/>
              </w:rPr>
              <w:t xml:space="preserve">Đề tài khoa học công nghệ cấp quốc gia</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1</w:t>
            </w:r>
          </w:p>
        </w:tc>
        <w:tc>
          <w:tcPr>
            <w:tcW w:w="857" w:type="dxa"/>
            <w:vAlign w:val="center"/>
          </w:tcPr>
          <w:p>
            <w:pPr>
              <w:spacing w:before="20" w:after="20" w:line="252" w:lineRule="auto"/>
              <w:ind w:firstLine="0"/>
              <w:jc w:val="center"/>
            </w:pPr>
            <w:r>
              <w:rPr>
                <w:sz w:val="24"/>
              </w:rPr>
              <w:t xml:space="preserve">2</w:t>
            </w:r>
          </w:p>
        </w:tc>
        <w:tc>
          <w:tcPr>
            <w:tcW w:w="928" w:type="dxa"/>
            <w:vAlign w:val="center"/>
          </w:tcPr>
          <w:p>
            <w:pPr>
              <w:spacing w:before="20" w:after="20" w:line="252" w:lineRule="auto"/>
              <w:ind w:firstLine="0"/>
              <w:jc w:val="center"/>
            </w:pPr>
            <w:r>
              <w:rPr>
                <w:sz w:val="24"/>
              </w:rPr>
              <w:t xml:space="preserve">3</w:t>
            </w:r>
          </w:p>
        </w:tc>
      </w:tr>
      <w:tr>
        <w:trPr>
          <w:cantSplit/>
        </w:trPr>
        <w:tc>
          <w:tcPr>
            <w:tcW w:w="3856" w:type="dxa"/>
            <w:vAlign w:val="center"/>
          </w:tcPr>
          <w:p>
            <w:pPr>
              <w:spacing w:before="20" w:after="20" w:line="252" w:lineRule="auto"/>
              <w:ind w:firstLine="0"/>
              <w:jc w:val="left"/>
            </w:pPr>
            <w:r>
              <w:rPr>
                <w:b/>
                <w:sz w:val="24"/>
              </w:rPr>
              <w:t xml:space="preserve">Tổng cộng</w:t>
            </w:r>
          </w:p>
        </w:tc>
        <w:tc>
          <w:tcPr>
            <w:tcW w:w="857" w:type="dxa"/>
            <w:vAlign w:val="center"/>
          </w:tcPr>
          <w:p>
            <w:pPr>
              <w:spacing w:before="20" w:after="20" w:line="252" w:lineRule="auto"/>
              <w:ind w:firstLine="0"/>
              <w:jc w:val="center"/>
            </w:pPr>
            <w:r>
              <w:rPr>
                <w:b/>
                <w:sz w:val="24"/>
              </w:rPr>
              <w:t xml:space="preserve">56</w:t>
            </w:r>
          </w:p>
        </w:tc>
        <w:tc>
          <w:tcPr>
            <w:tcW w:w="857" w:type="dxa"/>
            <w:vAlign w:val="center"/>
          </w:tcPr>
          <w:p>
            <w:pPr>
              <w:spacing w:before="20" w:after="20" w:line="252" w:lineRule="auto"/>
              <w:ind w:firstLine="0"/>
              <w:jc w:val="center"/>
            </w:pPr>
            <w:r>
              <w:rPr>
                <w:b/>
                <w:sz w:val="24"/>
              </w:rPr>
              <w:t xml:space="preserve">100</w:t>
            </w:r>
          </w:p>
        </w:tc>
        <w:tc>
          <w:tcPr>
            <w:tcW w:w="857" w:type="dxa"/>
            <w:vAlign w:val="center"/>
          </w:tcPr>
          <w:p>
            <w:pPr>
              <w:spacing w:before="20" w:after="20" w:line="252" w:lineRule="auto"/>
              <w:ind w:firstLine="0"/>
              <w:jc w:val="center"/>
            </w:pPr>
            <w:r>
              <w:rPr>
                <w:b/>
                <w:sz w:val="24"/>
              </w:rPr>
              <w:t xml:space="preserve">85</w:t>
            </w:r>
          </w:p>
        </w:tc>
        <w:tc>
          <w:tcPr>
            <w:tcW w:w="857" w:type="dxa"/>
            <w:vAlign w:val="center"/>
          </w:tcPr>
          <w:p>
            <w:pPr>
              <w:spacing w:before="20" w:after="20" w:line="252" w:lineRule="auto"/>
              <w:ind w:firstLine="0"/>
              <w:jc w:val="center"/>
            </w:pPr>
            <w:r>
              <w:rPr>
                <w:b/>
                <w:sz w:val="24"/>
              </w:rPr>
              <w:t xml:space="preserve">128</w:t>
            </w:r>
          </w:p>
        </w:tc>
        <w:tc>
          <w:tcPr>
            <w:tcW w:w="857" w:type="dxa"/>
            <w:vAlign w:val="center"/>
          </w:tcPr>
          <w:p>
            <w:pPr>
              <w:spacing w:before="20" w:after="20" w:line="252" w:lineRule="auto"/>
              <w:ind w:firstLine="0"/>
              <w:jc w:val="center"/>
            </w:pPr>
            <w:r>
              <w:rPr>
                <w:b/>
                <w:sz w:val="24"/>
              </w:rPr>
              <w:t xml:space="preserve">192</w:t>
            </w:r>
          </w:p>
        </w:tc>
        <w:tc>
          <w:tcPr>
            <w:tcW w:w="928" w:type="dxa"/>
            <w:vAlign w:val="center"/>
          </w:tcPr>
          <w:p>
            <w:pPr>
              <w:spacing w:before="20" w:after="20" w:line="252" w:lineRule="auto"/>
              <w:ind w:firstLine="0"/>
              <w:jc w:val="center"/>
            </w:pPr>
            <w:r>
              <w:rPr>
                <w:b/>
                <w:sz w:val="24"/>
              </w:rPr>
              <w:t xml:space="preserve">582</w:t>
            </w:r>
          </w:p>
        </w:tc>
      </w:tr>
    </w:tbl>
    <w:p w14:paraId="645FDCAF" w14:textId="77777777" w:rsidR="005B561C" w:rsidRPr="000F7C87" w:rsidRDefault="00000000">
      <w:pPr>
        <w:spacing w:after="160"/>
        <w:ind w:firstLine="0"/>
        <w:rPr>
          <w:szCs w:val="26"/>
        </w:rPr>
      </w:pPr>
      <w:r w:rsidRPr="000F7C87">
        <w:rPr>
          <w:i/>
          <w:szCs w:val="26"/>
        </w:rPr>
        <w:t>Nguồn: Nhóm nghiên cứu tổng hợp từ các danh mục thống kê của Phòng Khoa học Công nghệ. Danh mục tham luận hội thảo quốc gia không có trường thời gian nên chỉ có số tổng. Đề tài cấp cơ sở xếp theo năm ghi trong mã số; đề tài cấp quốc gia xếp theo năm phê duyệt kinh phí. Số liệu bài báo, giáo trình và đề tài cấp cơ sở giai đoạn 2021 - 2023 khớp với số liệu tổng kết tại Kế hoạch số 07/KH-ĐHTĐ ngày 01 tháng 7 năm 2024.</w:t>
      </w:r>
    </w:p>
    <w:p w14:paraId="48E95726" w14:textId="77777777" w:rsidR="005B561C" w:rsidRPr="000F7C87" w:rsidRDefault="00000000">
      <w:pPr>
        <w:rPr>
          <w:szCs w:val="26"/>
        </w:rPr>
      </w:pPr>
      <w:r w:rsidRPr="000F7C87">
        <w:rPr>
          <w:szCs w:val="26"/>
        </w:rPr>
        <w:t>Con số 582 là số bản ghi, chưa phải số sản phẩm độc lập. So khớp tên chủ nhiệm đề tài với danh sách tác giả trong ba năm kể từ năm nghiệm thu cho thấy 107 trên 405 bài báo, tức 26,4%, gắn với ít nhất một đề tài và đã được tính hai lần; quy mô thực tế vào khoảng 475 sản phẩm độc lập.</w:t>
      </w:r>
    </w:p>
    <w:p w14:paraId="478B6AC7" w14:textId="77777777" w:rsidR="005B561C" w:rsidRPr="000F7C87" w:rsidRDefault="00000000">
      <w:pPr>
        <w:keepNext/>
        <w:spacing w:before="160" w:after="80"/>
        <w:ind w:firstLine="0"/>
        <w:jc w:val="center"/>
        <w:rPr>
          <w:szCs w:val="26"/>
        </w:rPr>
      </w:pPr>
      <w:r w:rsidRPr="000F7C87">
        <w:rPr>
          <w:b/>
          <w:szCs w:val="26"/>
        </w:rPr>
        <w:t>Hình 2.1. Cơ cấu và diễn biến sản phẩm khoa học theo năm, giai đoạn 2021 - 2025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420000"/>
            <wp:effectExtent l="0" t="0" r="0" b="0"/>
            <wp:docPr id="501" name="Biểu đồ 501" descr="Hình 2.1. Cơ cấu và diễn biến sản phẩm khoa học theo năm, giai đoạn 2021 - 2025"/>
            <wp:cNvGraphicFramePr/>
            <a:graphic>
              <a:graphicData uri="http://schemas.openxmlformats.org/drawingml/2006/chart">
                <c:chart r:id="rId6"/>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các danh mục thống kê của Phòng Khoa học Công nghệ, Trường Đại học Thành Đô. Không gồm 21 tham luận hội thảo quốc gia do danh mục không có trường thời gian.</w:t>
      </w:r>
    </w:p>
    <w:p w14:paraId="48E95726" w14:textId="77777777" w:rsidR="005B561C" w:rsidRPr="000F7C87" w:rsidRDefault="00000000">
      <w:pPr>
        <w:rPr>
          <w:szCs w:val="26"/>
        </w:rPr>
      </w:pPr>
      <w:r w:rsidRPr="000F7C87">
        <w:rPr>
          <w:szCs w:val="26"/>
        </w:rPr>
        <w:t>Hình 2.1 cho thấy sản lượng tăng từ 56 sản phẩm năm 2021 lên 192 sản phẩm năm 2025, bình quân 36,1% một năm, và mức tăng này gần như hoàn toàn đến từ bài báo. Bài báo tăng từ 23 lên 161 bài, gấp 7,0 lần, nâng tỷ trọng từ 41,1% lên 83,9% sản lượng; giáo trình giảm từ 26 xuống 11 tài liệu, tỷ trọng từ 46,4% còn 5,7%. Chất lượng công bố quốc tế cũng tăng: 71 trên 115 bài quốc tế đăng trên tạp chí có phân hạng Q, trong đó 68 bài thuộc hai năm 2024 - 2025.</w:t>
      </w:r>
    </w:p>
    <w:p w14:paraId="48E95726" w14:textId="77777777" w:rsidR="005B561C" w:rsidRPr="000F7C87" w:rsidRDefault="00000000">
      <w:pPr>
        <w:rPr>
          <w:szCs w:val="26"/>
        </w:rPr>
      </w:pPr>
      <w:r w:rsidRPr="000F7C87">
        <w:rPr>
          <w:szCs w:val="26"/>
        </w:rPr>
        <w:t>Đối với quản lý quyền sở hữu trí tuệ, cơ cấu này có hai hàm ý. Thứ nhất, bài báo chỉ phát sinh quyền tác giả và hầu như không có khả năng khai thác thương mại, nên tăng công bố không tự động tạo ra tài sản trí tuệ có giá trị khai thác. Thứ hai, cùng một đội ngũ trong cùng giai đoạn đã tạo được bước nhảy về công bố nhưng không tạo được bước nhảy tương ứng về đơn đăng ký sở hữu công nghiệp; khoảng trống vì vậy không nằm chủ yếu ở năng lực nghiên cứu mà ở cách thiết kế động lực và quy trình, được phân tích tại Mục 2.2.3 và Mục 2.3.3.</w:t>
      </w:r>
    </w:p>
    <w:p w14:paraId="48E95726" w14:textId="77777777" w:rsidR="005B561C" w:rsidRPr="000F7C87" w:rsidRDefault="00000000">
      <w:pPr>
        <w:rPr>
          <w:szCs w:val="26"/>
        </w:rPr>
      </w:pPr>
      <w:r w:rsidRPr="000F7C87">
        <w:rPr>
          <w:szCs w:val="26"/>
        </w:rPr>
        <w:t>Trong hai năm cuối kỳ, Nhà trường chủ trì ba đề tài cấp quốc gia do Quỹ Phát triển khoa học và công nghệ quốc gia tài trợ, tổng kinh phí 4,67 tỷ đồng, đều đang thực hiện. Theo điểm c khoản 1 Điều 86 Luật Sở hữu trí tuệ được bổ sung bởi Luật số 131/2025/QH15, tổ chức được giao quyền quản lý, sử dụng, quyền sở hữu kết quả của nhiệm vụ sử dụng ngân sách nhà nước có quyền đăng ký sáng chế, kiểu dáng công nghiệp, thiết kế bố trí là kết quả của nhiệm vụ đó. Đây là nguồn tài sản trí tuệ tiềm năng lớn nhất của giai đoạn tới, với điều kiện quy trình rà soát được chuẩn bị trước thời điểm nghiệm thu.</w:t>
      </w:r>
    </w:p>
    <w:p w14:paraId="48E95726" w14:textId="77777777" w:rsidR="005B561C" w:rsidRPr="000F7C87" w:rsidRDefault="00000000">
      <w:pPr>
        <w:rPr>
          <w:szCs w:val="26"/>
        </w:rPr>
      </w:pPr>
      <w:r w:rsidRPr="000F7C87">
        <w:rPr>
          <w:szCs w:val="26"/>
        </w:rPr>
        <w:t>Năng lực công bố phân bố không đều. So khớp họ tên tác giả với danh sách nhân sự cho thấy chỉ 88 trên 247 nhân sự có họ tên đầy đủ, tức 35,6%, đứng tên ít nhất một bài báo trong năm năm; hệ số Gini về số bài trên toàn bộ nhân sự là 0,829, và trong nhóm có công bố, 10% người dẫn đầu chiếm 39,3% số lượt đứng tên. Viện Y - Dược có số bài bình quân thấp nhất trong ba viện, 0,79 bài một nhân sự, nhưng lại là nơi phát sinh phần lớn sản phẩm đề tài đủ điều kiện xác lập quyền và cả hai đơn sáng chế. Số lượng công bố và khả năng hình thành tài sản trí tuệ vì vậy là hai đại lượng khác nhau, cần được theo dõi bằng hai thước đo riêng.</w:t>
      </w:r>
    </w:p>
    <w:p w14:paraId="6067EC56" w14:textId="77777777" w:rsidR="005B561C" w:rsidRPr="000F7C87" w:rsidRDefault="00000000">
      <w:pPr>
        <w:keepNext/>
        <w:spacing w:before="280" w:after="160"/>
        <w:ind w:firstLine="0"/>
        <w:outlineLvl w:val="1"/>
        <w:rPr>
          <w:szCs w:val="26"/>
        </w:rPr>
      </w:pPr>
      <w:r w:rsidRPr="000F7C87">
        <w:rPr>
          <w:b/>
          <w:szCs w:val="26"/>
        </w:rPr>
        <w:t>2.2. Thực trạng thể chế, tổ chức và nguồn lực quản lý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2.2.1. Hệ thống quy định nội bộ</w:t>
      </w:r>
    </w:p>
    <w:p w14:paraId="48E95726" w14:textId="77777777" w:rsidR="005B561C" w:rsidRPr="000F7C87" w:rsidRDefault="00000000">
      <w:pPr>
        <w:rPr>
          <w:szCs w:val="26"/>
        </w:rPr>
      </w:pPr>
      <w:r w:rsidRPr="000F7C87">
        <w:rPr>
          <w:szCs w:val="26"/>
        </w:rPr>
        <w:t>Nhà trường có bốn văn bản chứa quy định về quyền sở hữu trí tuệ. Quy chế hoạt động khoa học công nghệ ban hành kèm Quyết định số 213/QĐ-ĐHTĐ ngày 28 tháng 12 năm 2021, sau đây gọi là Quyết định 213, dành Chương VI cho sở hữu trí tuệ và chuyển giao công nghệ: Điều 34 liệt kê phạm vi tài sản khá đầy đủ, từ tên trường, nhãn hiệu, sáng chế, giải pháp hữu ích, kiểu dáng công nghiệp đến giáo trình, ngân hàng đề thi, phần mềm và quy trình công nghệ; Điều 35 quy định quy trình đăng ký một cửa tại Phòng Khoa học Công nghệ; Điều 36 quy định hai công thức chia lợi ích. Năm 2024, Nhà trường ban hành Quy chế quản trị tài sản trí tuệ kèm Quyết định số 217/QĐ-ĐHTĐ, sau đây gọi là Quyết định 217, mở rộng phạm vi tới cơ sở dữ liệu, giáo trình điện tử, bí quyết và tên miền. Điều 10 Quyết định 217 yêu cầu tác giả xin ý kiến Phòng Khoa học Công nghệ trước khi bộc lộ công khai tài sản có thể bảo hộ; Điều 11 giao Phòng nhận diện, lập hồ sơ theo dõi, xúc tiến thương mại hóa và giao bộ phận pháp chế thực hiện thủ tục xác lập quyền. Hai văn bản còn lại là Quy chế chi tiêu nội bộ ban hành ngày 01 tháng 8 năm 2026 và Điều lệ Quỹ Học bổng sau tiến sĩ Ngô Xuân Độ năm 2025.</w:t>
      </w:r>
    </w:p>
    <w:p w14:paraId="48E95726" w14:textId="77777777" w:rsidR="005B561C" w:rsidRPr="000F7C87" w:rsidRDefault="00000000">
      <w:pPr>
        <w:rPr>
          <w:szCs w:val="26"/>
        </w:rPr>
      </w:pPr>
      <w:r w:rsidRPr="000F7C87">
        <w:rPr>
          <w:szCs w:val="26"/>
        </w:rPr>
        <w:t>Quyết định 217 không dẫn chiếu và không thay thế Chương VI Quyết định 213, nên hai văn bản cùng hiệu lực. Bốn văn bản chứa năm quy định khác nhau về phân chia lợi ích, được trình bày tại Bảng 2.3.</w:t>
      </w:r>
    </w:p>
    <w:p w14:paraId="478B6AC7" w14:textId="77777777" w:rsidR="005B561C" w:rsidRPr="000F7C87" w:rsidRDefault="00000000">
      <w:pPr>
        <w:keepNext/>
        <w:spacing w:before="160" w:after="80"/>
        <w:ind w:firstLine="0"/>
        <w:jc w:val="center"/>
        <w:rPr>
          <w:szCs w:val="26"/>
        </w:rPr>
      </w:pPr>
      <w:r w:rsidRPr="000F7C87">
        <w:rPr>
          <w:b/>
          <w:szCs w:val="26"/>
        </w:rPr>
        <w:t>Bảng 2.3. Các quy định về phân chia lợi ích từ tài sản trí tuệ trong nội bộ Trường Đại học Thành Đô</w:t>
      </w:r>
    </w:p>
    <w:tbl>
      <w:tblPr>
        <w:tblStyle w:val="TableGrid"/>
        <w:tblW w:w="0" w:type="auto"/>
        <w:jc w:val="center"/>
        <w:tblLook w:val="04A0" w:firstRow="1" w:lastRow="0" w:firstColumn="1" w:lastColumn="0" w:noHBand="0" w:noVBand="1"/>
      </w:tblPr>
      <w:tblGrid>
        <w:gridCol w:w="1987"/>
        <w:gridCol w:w="869"/>
        <w:gridCol w:w="2112"/>
        <w:gridCol w:w="2857"/>
        <w:gridCol w:w="1242"/>
      </w:tblGrid>
      <w:tr>
        <w:trPr>
          <w:cantSplit/>
          <w:tblHeader/>
        </w:trPr>
        <w:tc>
          <w:tcPr>
            <w:tcW w:w="1987" w:type="dxa"/>
            <w:shd w:val="clear" w:color="auto" w:fill="DCE8F7"/>
            <w:vAlign w:val="center"/>
          </w:tcPr>
          <w:p>
            <w:pPr>
              <w:spacing w:before="20" w:after="20" w:line="252" w:lineRule="auto"/>
              <w:ind w:firstLine="0"/>
              <w:jc w:val="center"/>
            </w:pPr>
            <w:r>
              <w:rPr>
                <w:b/>
                <w:sz w:val="24"/>
              </w:rPr>
              <w:t xml:space="preserve">Văn bản</w:t>
            </w:r>
          </w:p>
        </w:tc>
        <w:tc>
          <w:tcPr>
            <w:tcW w:w="869" w:type="dxa"/>
            <w:shd w:val="clear" w:color="auto" w:fill="DCE8F7"/>
            <w:vAlign w:val="center"/>
          </w:tcPr>
          <w:p>
            <w:pPr>
              <w:spacing w:before="20" w:after="20" w:line="252" w:lineRule="auto"/>
              <w:ind w:firstLine="0"/>
              <w:jc w:val="center"/>
            </w:pPr>
            <w:r>
              <w:rPr>
                <w:b/>
                <w:sz w:val="24"/>
              </w:rPr>
              <w:t xml:space="preserve">Năm</w:t>
            </w:r>
          </w:p>
        </w:tc>
        <w:tc>
          <w:tcPr>
            <w:tcW w:w="2112" w:type="dxa"/>
            <w:shd w:val="clear" w:color="auto" w:fill="DCE8F7"/>
            <w:vAlign w:val="center"/>
          </w:tcPr>
          <w:p>
            <w:pPr>
              <w:spacing w:before="20" w:after="20" w:line="252" w:lineRule="auto"/>
              <w:ind w:firstLine="0"/>
              <w:jc w:val="center"/>
            </w:pPr>
            <w:r>
              <w:rPr>
                <w:b/>
                <w:sz w:val="24"/>
              </w:rPr>
              <w:t xml:space="preserve">Phạm vi áp dụng</w:t>
            </w:r>
          </w:p>
        </w:tc>
        <w:tc>
          <w:tcPr>
            <w:tcW w:w="2857" w:type="dxa"/>
            <w:shd w:val="clear" w:color="auto" w:fill="DCE8F7"/>
            <w:vAlign w:val="center"/>
          </w:tcPr>
          <w:p>
            <w:pPr>
              <w:spacing w:before="20" w:after="20" w:line="252" w:lineRule="auto"/>
              <w:ind w:firstLine="0"/>
              <w:jc w:val="center"/>
            </w:pPr>
            <w:r>
              <w:rPr>
                <w:b/>
                <w:sz w:val="24"/>
              </w:rPr>
              <w:t xml:space="preserve">Công thức chia lợi ích</w:t>
            </w:r>
          </w:p>
        </w:tc>
        <w:tc>
          <w:tcPr>
            <w:tcW w:w="1242" w:type="dxa"/>
            <w:shd w:val="clear" w:color="auto" w:fill="DCE8F7"/>
            <w:vAlign w:val="center"/>
          </w:tcPr>
          <w:p>
            <w:pPr>
              <w:spacing w:before="20" w:after="20" w:line="252" w:lineRule="auto"/>
              <w:ind w:firstLine="0"/>
              <w:jc w:val="center"/>
            </w:pPr>
            <w:r>
              <w:rPr>
                <w:b/>
                <w:sz w:val="24"/>
              </w:rPr>
              <w:t xml:space="preserve">Mức trần</w:t>
            </w:r>
          </w:p>
        </w:tc>
      </w:tr>
      <w:tr>
        <w:trPr>
          <w:cantSplit/>
        </w:trPr>
        <w:tc>
          <w:tcPr>
            <w:tcW w:w="1987" w:type="dxa"/>
            <w:vAlign w:val="center"/>
          </w:tcPr>
          <w:p>
            <w:pPr>
              <w:spacing w:before="20" w:after="20" w:line="252" w:lineRule="auto"/>
              <w:ind w:firstLine="0"/>
              <w:jc w:val="left"/>
            </w:pPr>
            <w:r>
              <w:rPr>
                <w:sz w:val="24"/>
              </w:rPr>
              <w:t xml:space="preserve">Quyết định 213, điểm a khoản 4 Điều 36</w:t>
            </w:r>
          </w:p>
        </w:tc>
        <w:tc>
          <w:tcPr>
            <w:tcW w:w="869" w:type="dxa"/>
            <w:vAlign w:val="center"/>
          </w:tcPr>
          <w:p>
            <w:pPr>
              <w:spacing w:before="20" w:after="20" w:line="252" w:lineRule="auto"/>
              <w:ind w:firstLine="0"/>
              <w:jc w:val="center"/>
            </w:pPr>
            <w:r>
              <w:rPr>
                <w:sz w:val="24"/>
              </w:rPr>
              <w:t xml:space="preserve">2021</w:t>
            </w:r>
          </w:p>
        </w:tc>
        <w:tc>
          <w:tcPr>
            <w:tcW w:w="2112" w:type="dxa"/>
            <w:vAlign w:val="center"/>
          </w:tcPr>
          <w:p>
            <w:pPr>
              <w:spacing w:before="20" w:after="20" w:line="252" w:lineRule="auto"/>
              <w:ind w:firstLine="0"/>
              <w:jc w:val="left"/>
            </w:pPr>
            <w:r>
              <w:rPr>
                <w:sz w:val="24"/>
              </w:rPr>
              <w:t xml:space="preserve">Đề tài sử dụng ngân sách nhà nước do Trường chủ trì</w:t>
            </w:r>
          </w:p>
        </w:tc>
        <w:tc>
          <w:tcPr>
            <w:tcW w:w="2857" w:type="dxa"/>
            <w:vAlign w:val="center"/>
          </w:tcPr>
          <w:p>
            <w:pPr>
              <w:spacing w:before="20" w:after="20" w:line="252" w:lineRule="auto"/>
              <w:ind w:firstLine="0"/>
              <w:jc w:val="left"/>
            </w:pPr>
            <w:r>
              <w:rPr>
                <w:sz w:val="24"/>
              </w:rPr>
              <w:t xml:space="preserve">40% nộp ngân sách nhà nước, 30% Trường, 30% khen thưởng tập thể tác giả</w:t>
            </w:r>
          </w:p>
        </w:tc>
        <w:tc>
          <w:tcPr>
            <w:tcW w:w="1242" w:type="dxa"/>
            <w:vAlign w:val="center"/>
          </w:tcPr>
          <w:p>
            <w:pPr>
              <w:spacing w:before="20" w:after="20" w:line="252" w:lineRule="auto"/>
              <w:ind w:firstLine="0"/>
              <w:jc w:val="left"/>
            </w:pPr>
            <w:r>
              <w:rPr>
                <w:sz w:val="24"/>
              </w:rPr>
              <w:t xml:space="preserve">100 triệu đồng</w:t>
            </w:r>
          </w:p>
        </w:tc>
      </w:tr>
      <w:tr>
        <w:trPr>
          <w:cantSplit/>
        </w:trPr>
        <w:tc>
          <w:tcPr>
            <w:tcW w:w="1987" w:type="dxa"/>
            <w:vAlign w:val="center"/>
          </w:tcPr>
          <w:p>
            <w:pPr>
              <w:spacing w:before="20" w:after="20" w:line="252" w:lineRule="auto"/>
              <w:ind w:firstLine="0"/>
              <w:jc w:val="left"/>
            </w:pPr>
            <w:r>
              <w:rPr>
                <w:sz w:val="24"/>
              </w:rPr>
              <w:t xml:space="preserve">Quyết định 213, điểm b khoản 4 Điều 36</w:t>
            </w:r>
          </w:p>
        </w:tc>
        <w:tc>
          <w:tcPr>
            <w:tcW w:w="869" w:type="dxa"/>
            <w:vAlign w:val="center"/>
          </w:tcPr>
          <w:p>
            <w:pPr>
              <w:spacing w:before="20" w:after="20" w:line="252" w:lineRule="auto"/>
              <w:ind w:firstLine="0"/>
              <w:jc w:val="center"/>
            </w:pPr>
            <w:r>
              <w:rPr>
                <w:sz w:val="24"/>
              </w:rPr>
              <w:t xml:space="preserve">2021</w:t>
            </w:r>
          </w:p>
        </w:tc>
        <w:tc>
          <w:tcPr>
            <w:tcW w:w="2112" w:type="dxa"/>
            <w:vAlign w:val="center"/>
          </w:tcPr>
          <w:p>
            <w:pPr>
              <w:spacing w:before="20" w:after="20" w:line="252" w:lineRule="auto"/>
              <w:ind w:firstLine="0"/>
              <w:jc w:val="left"/>
            </w:pPr>
            <w:r>
              <w:rPr>
                <w:sz w:val="24"/>
              </w:rPr>
              <w:t xml:space="preserve">Tài sản trí tuệ thuộc sở hữu của Trường được chuyển giao</w:t>
            </w:r>
          </w:p>
        </w:tc>
        <w:tc>
          <w:tcPr>
            <w:tcW w:w="2857" w:type="dxa"/>
            <w:vAlign w:val="center"/>
          </w:tcPr>
          <w:p>
            <w:pPr>
              <w:spacing w:before="20" w:after="20" w:line="252" w:lineRule="auto"/>
              <w:ind w:firstLine="0"/>
              <w:jc w:val="left"/>
            </w:pPr>
            <w:r>
              <w:rPr>
                <w:sz w:val="24"/>
              </w:rPr>
              <w:t xml:space="preserve">30% tác giả, 20% đơn vị có tác giả, 50% Quỹ nghiên cứu khoa học của Trường</w:t>
            </w:r>
          </w:p>
        </w:tc>
        <w:tc>
          <w:tcPr>
            <w:tcW w:w="1242" w:type="dxa"/>
            <w:vAlign w:val="center"/>
          </w:tcPr>
          <w:p>
            <w:pPr>
              <w:spacing w:before="20" w:after="20" w:line="252" w:lineRule="auto"/>
              <w:ind w:firstLine="0"/>
              <w:jc w:val="left"/>
            </w:pPr>
            <w:r>
              <w:rPr>
                <w:sz w:val="24"/>
              </w:rPr>
              <w:t xml:space="preserve">Không đặt trần</w:t>
            </w:r>
          </w:p>
        </w:tc>
      </w:tr>
      <w:tr>
        <w:trPr>
          <w:cantSplit/>
        </w:trPr>
        <w:tc>
          <w:tcPr>
            <w:tcW w:w="1987" w:type="dxa"/>
            <w:vAlign w:val="center"/>
          </w:tcPr>
          <w:p>
            <w:pPr>
              <w:spacing w:before="20" w:after="20" w:line="252" w:lineRule="auto"/>
              <w:ind w:firstLine="0"/>
              <w:jc w:val="left"/>
            </w:pPr>
            <w:r>
              <w:rPr>
                <w:sz w:val="24"/>
              </w:rPr>
              <w:t xml:space="preserve">Quyết định 217, Điều 13</w:t>
            </w:r>
          </w:p>
        </w:tc>
        <w:tc>
          <w:tcPr>
            <w:tcW w:w="869" w:type="dxa"/>
            <w:vAlign w:val="center"/>
          </w:tcPr>
          <w:p>
            <w:pPr>
              <w:spacing w:before="20" w:after="20" w:line="252" w:lineRule="auto"/>
              <w:ind w:firstLine="0"/>
              <w:jc w:val="center"/>
            </w:pPr>
            <w:r>
              <w:rPr>
                <w:sz w:val="24"/>
              </w:rPr>
              <w:t xml:space="preserve">2024</w:t>
            </w:r>
          </w:p>
        </w:tc>
        <w:tc>
          <w:tcPr>
            <w:tcW w:w="2112" w:type="dxa"/>
            <w:vAlign w:val="center"/>
          </w:tcPr>
          <w:p>
            <w:pPr>
              <w:spacing w:before="20" w:after="20" w:line="252" w:lineRule="auto"/>
              <w:ind w:firstLine="0"/>
              <w:jc w:val="left"/>
            </w:pPr>
            <w:r>
              <w:rPr>
                <w:sz w:val="24"/>
              </w:rPr>
              <w:t xml:space="preserve">Tài sản trí tuệ của Trường khi các bên không có thỏa thuận</w:t>
            </w:r>
          </w:p>
        </w:tc>
        <w:tc>
          <w:tcPr>
            <w:tcW w:w="2857" w:type="dxa"/>
            <w:vAlign w:val="center"/>
          </w:tcPr>
          <w:p>
            <w:pPr>
              <w:spacing w:before="20" w:after="20" w:line="252" w:lineRule="auto"/>
              <w:ind w:firstLine="0"/>
              <w:jc w:val="left"/>
            </w:pPr>
            <w:r>
              <w:rPr>
                <w:sz w:val="24"/>
              </w:rPr>
              <w:t xml:space="preserve">Sau khi trừ chi phí, Hiệu trưởng quyết định tỷ lệ</w:t>
            </w:r>
          </w:p>
        </w:tc>
        <w:tc>
          <w:tcPr>
            <w:tcW w:w="1242" w:type="dxa"/>
            <w:vAlign w:val="center"/>
          </w:tcPr>
          <w:p>
            <w:pPr>
              <w:spacing w:before="20" w:after="20" w:line="252" w:lineRule="auto"/>
              <w:ind w:firstLine="0"/>
              <w:jc w:val="left"/>
            </w:pPr>
            <w:r>
              <w:rPr>
                <w:sz w:val="24"/>
              </w:rPr>
              <w:t xml:space="preserve">Không quy định</w:t>
            </w:r>
          </w:p>
        </w:tc>
      </w:tr>
      <w:tr>
        <w:trPr>
          <w:cantSplit/>
        </w:trPr>
        <w:tc>
          <w:tcPr>
            <w:tcW w:w="1987" w:type="dxa"/>
            <w:vAlign w:val="center"/>
          </w:tcPr>
          <w:p>
            <w:pPr>
              <w:spacing w:before="20" w:after="20" w:line="252" w:lineRule="auto"/>
              <w:ind w:firstLine="0"/>
              <w:jc w:val="left"/>
            </w:pPr>
            <w:r>
              <w:rPr>
                <w:sz w:val="24"/>
              </w:rPr>
              <w:t xml:space="preserve">Quy chế chi tiêu nội bộ</w:t>
            </w:r>
          </w:p>
        </w:tc>
        <w:tc>
          <w:tcPr>
            <w:tcW w:w="869" w:type="dxa"/>
            <w:vAlign w:val="center"/>
          </w:tcPr>
          <w:p>
            <w:pPr>
              <w:spacing w:before="20" w:after="20" w:line="252" w:lineRule="auto"/>
              <w:ind w:firstLine="0"/>
              <w:jc w:val="center"/>
            </w:pPr>
            <w:r>
              <w:rPr>
                <w:sz w:val="24"/>
              </w:rPr>
              <w:t xml:space="preserve">2026</w:t>
            </w:r>
          </w:p>
        </w:tc>
        <w:tc>
          <w:tcPr>
            <w:tcW w:w="2112" w:type="dxa"/>
            <w:vAlign w:val="center"/>
          </w:tcPr>
          <w:p>
            <w:pPr>
              <w:spacing w:before="20" w:after="20" w:line="252" w:lineRule="auto"/>
              <w:ind w:firstLine="0"/>
              <w:jc w:val="left"/>
            </w:pPr>
            <w:r>
              <w:rPr>
                <w:sz w:val="24"/>
              </w:rPr>
              <w:t xml:space="preserve">Đề tài có đăng ký sở hữu trí tuệ</w:t>
            </w:r>
          </w:p>
        </w:tc>
        <w:tc>
          <w:tcPr>
            <w:tcW w:w="2857" w:type="dxa"/>
            <w:vAlign w:val="center"/>
          </w:tcPr>
          <w:p>
            <w:pPr>
              <w:spacing w:before="20" w:after="20" w:line="252" w:lineRule="auto"/>
              <w:ind w:firstLine="0"/>
              <w:jc w:val="left"/>
            </w:pPr>
            <w:r>
              <w:rPr>
                <w:sz w:val="24"/>
              </w:rPr>
              <w:t xml:space="preserve">Trích 50% kinh phí chuyển giao công nghệ về Trường, không nêu phần của tác giả</w:t>
            </w:r>
          </w:p>
        </w:tc>
        <w:tc>
          <w:tcPr>
            <w:tcW w:w="1242" w:type="dxa"/>
            <w:vAlign w:val="center"/>
          </w:tcPr>
          <w:p>
            <w:pPr>
              <w:spacing w:before="20" w:after="20" w:line="252" w:lineRule="auto"/>
              <w:ind w:firstLine="0"/>
              <w:jc w:val="left"/>
            </w:pPr>
            <w:r>
              <w:rPr>
                <w:sz w:val="24"/>
              </w:rPr>
              <w:t xml:space="preserve">50 triệu đồng kinh phí đề tài</w:t>
            </w:r>
          </w:p>
        </w:tc>
      </w:tr>
      <w:tr>
        <w:trPr>
          <w:cantSplit/>
        </w:trPr>
        <w:tc>
          <w:tcPr>
            <w:tcW w:w="1987" w:type="dxa"/>
            <w:vAlign w:val="center"/>
          </w:tcPr>
          <w:p>
            <w:pPr>
              <w:spacing w:before="20" w:after="20" w:line="252" w:lineRule="auto"/>
              <w:ind w:firstLine="0"/>
              <w:jc w:val="left"/>
            </w:pPr>
            <w:r>
              <w:rPr>
                <w:sz w:val="24"/>
              </w:rPr>
              <w:t xml:space="preserve">Điều lệ Quỹ Ngô Xuân Độ, Điều 9</w:t>
            </w:r>
          </w:p>
        </w:tc>
        <w:tc>
          <w:tcPr>
            <w:tcW w:w="869" w:type="dxa"/>
            <w:vAlign w:val="center"/>
          </w:tcPr>
          <w:p>
            <w:pPr>
              <w:spacing w:before="20" w:after="20" w:line="252" w:lineRule="auto"/>
              <w:ind w:firstLine="0"/>
              <w:jc w:val="center"/>
            </w:pPr>
            <w:r>
              <w:rPr>
                <w:sz w:val="24"/>
              </w:rPr>
              <w:t xml:space="preserve">2025</w:t>
            </w:r>
          </w:p>
        </w:tc>
        <w:tc>
          <w:tcPr>
            <w:tcW w:w="2112" w:type="dxa"/>
            <w:vAlign w:val="center"/>
          </w:tcPr>
          <w:p>
            <w:pPr>
              <w:spacing w:before="20" w:after="20" w:line="252" w:lineRule="auto"/>
              <w:ind w:firstLine="0"/>
              <w:jc w:val="left"/>
            </w:pPr>
            <w:r>
              <w:rPr>
                <w:sz w:val="24"/>
              </w:rPr>
              <w:t xml:space="preserve">Sản phẩm hình thành từ kinh phí của Quỹ</w:t>
            </w:r>
          </w:p>
        </w:tc>
        <w:tc>
          <w:tcPr>
            <w:tcW w:w="2857" w:type="dxa"/>
            <w:vAlign w:val="center"/>
          </w:tcPr>
          <w:p>
            <w:pPr>
              <w:spacing w:before="20" w:after="20" w:line="252" w:lineRule="auto"/>
              <w:ind w:firstLine="0"/>
              <w:jc w:val="left"/>
            </w:pPr>
            <w:r>
              <w:rPr>
                <w:sz w:val="24"/>
              </w:rPr>
              <w:t xml:space="preserve">Năm đầu: 50% tác giả, 50% Trường; từ năm thứ hai: 20% tác giả, 80% Trường</w:t>
            </w:r>
          </w:p>
        </w:tc>
        <w:tc>
          <w:tcPr>
            <w:tcW w:w="1242" w:type="dxa"/>
            <w:vAlign w:val="center"/>
          </w:tcPr>
          <w:p>
            <w:pPr>
              <w:spacing w:before="20" w:after="20" w:line="252" w:lineRule="auto"/>
              <w:ind w:firstLine="0"/>
              <w:jc w:val="left"/>
            </w:pPr>
            <w:r>
              <w:rPr>
                <w:sz w:val="24"/>
              </w:rPr>
              <w:t xml:space="preserve">Không đặt trần</w:t>
            </w:r>
          </w:p>
        </w:tc>
      </w:tr>
    </w:tbl>
    <w:p w14:paraId="645FDCAF" w14:textId="77777777" w:rsidR="005B561C" w:rsidRPr="000F7C87" w:rsidRDefault="00000000">
      <w:pPr>
        <w:spacing w:after="160"/>
        <w:ind w:firstLine="0"/>
        <w:rPr>
          <w:szCs w:val="26"/>
        </w:rPr>
      </w:pPr>
      <w:r w:rsidRPr="000F7C87">
        <w:rPr>
          <w:i/>
          <w:szCs w:val="26"/>
        </w:rPr>
        <w:t>Nguồn: Nhóm nghiên cứu tổng hợp từ Quyết định 213, Quyết định 217, Quy chế chi tiêu nội bộ năm 2026 và Điều lệ Quỹ Học bổng sau tiến sĩ Ngô Xuân Độ.</w:t>
      </w:r>
    </w:p>
    <w:p w14:paraId="478B6AC7" w14:textId="77777777" w:rsidR="005B561C" w:rsidRPr="000F7C87" w:rsidRDefault="00000000">
      <w:pPr>
        <w:keepNext/>
        <w:spacing w:before="160" w:after="80"/>
        <w:ind w:firstLine="0"/>
        <w:jc w:val="center"/>
        <w:rPr>
          <w:szCs w:val="26"/>
        </w:rPr>
      </w:pPr>
      <w:r w:rsidRPr="000F7C87">
        <w:rPr>
          <w:b/>
          <w:szCs w:val="26"/>
        </w:rPr>
        <w:t>Hình 2.2. Mô phỏng phần lợi ích của tác giả theo các quy định nội bộ và mức mặc định của Luật Sở hữu trí tuệ</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420000"/>
            <wp:effectExtent l="0" t="0" r="0" b="0"/>
            <wp:docPr id="502" name="Biểu đồ 502" descr="Hình 2.2. Mô phỏng phần lợi ích của tác giả theo các quy định nội bộ và mức mặc định của Luật Sở hữu trí tuệ"/>
            <wp:cNvGraphicFramePr/>
            <a:graphic>
              <a:graphicData uri="http://schemas.openxmlformats.org/drawingml/2006/chart">
                <c:chart r:id="rId9"/>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mô phỏng từ Điều 36 Quyết định 213, Điều 9 Điều lệ Quỹ Học bổng sau tiến sĩ Ngô Xuân Độ và điểm b khoản 1 Điều 135 Luật Sở hữu trí tuệ. Khoản thu là số tiền nhận được từ một hợp đồng chuyển giao sau khi trừ chi phí hợp lệ; đơn vị: triệu đồng.</w:t>
      </w:r>
    </w:p>
    <w:p w14:paraId="48E95726" w14:textId="77777777" w:rsidR="005B561C" w:rsidRPr="000F7C87" w:rsidRDefault="00000000">
      <w:pPr>
        <w:rPr>
          <w:szCs w:val="26"/>
        </w:rPr>
      </w:pPr>
      <w:r w:rsidRPr="000F7C87">
        <w:rPr>
          <w:szCs w:val="26"/>
        </w:rPr>
        <w:t>Hình 2.2 mô phỏng phần của tác giả từ một hợp đồng chuyển giao theo từng quy định. Với khoản thu 500 triệu đồng, phần của tác giả dao động từ 100 triệu đồng theo điểm a Điều 36 Quyết định 213 hoặc theo Quỹ từ năm thứ hai, 150 triệu đồng theo điểm b, đến 250 triệu đồng theo Quỹ trong năm đầu, chênh lệch 2,5 lần. Đường điểm a gãy tại khoảng 333 triệu đồng do trần 100 triệu đồng; vượt khoảng 667 triệu đồng, đường này nằm dưới mức mặc định 15% của Luật. Điều 13 Quyết định 217 giao Hiệu trưởng quyết định tỷ lệ nên không mô phỏng được.</w:t>
      </w:r>
    </w:p>
    <w:p w14:paraId="48E95726" w14:textId="77777777" w:rsidR="005B561C" w:rsidRPr="000F7C87" w:rsidRDefault="00000000">
      <w:pPr>
        <w:rPr>
          <w:szCs w:val="26"/>
        </w:rPr>
      </w:pPr>
      <w:r w:rsidRPr="000F7C87">
        <w:rPr>
          <w:szCs w:val="26"/>
        </w:rPr>
        <w:t>Về tỷ lệ, quy chế nội bộ không kém hào phóng so với mức mặc định của Luật. Vấn đề là tác giả không biết trước mình thuộc đường nào, trong khi mức thưởng cho công bố được niêm yết theo từng hạng tạp chí. Mức trần 100 triệu đồng được xây dựng theo khung pháp luật trước đây; khoản 2 Điều 135 Luật Sở hữu trí tuệ về khung thù lao cho nhiệm vụ sử dụng ngân sách nhà nước đã bị bãi bỏ, Điều 135 hiện hành chỉ quy định mức áp dụng khi không có thỏa thuận, gồm 10% lợi nhuận trước thuế khi chủ sở hữu tự sử dụng và 15% số tiền nhận được mỗi lần chuyển giao quyền sử dụng, và không đặt trần. Trong bốn văn bản, Điều lệ Quỹ là văn bản duy nhất vừa không đặt trần vừa cho phép các bên thỏa thuận tỷ lệ khác.</w:t>
      </w:r>
    </w:p>
    <w:p w14:paraId="0DE297E1" w14:textId="77777777" w:rsidR="005B561C" w:rsidRPr="000F7C87" w:rsidRDefault="00000000">
      <w:pPr>
        <w:keepNext/>
        <w:spacing w:before="200" w:after="100"/>
        <w:ind w:firstLine="0"/>
        <w:outlineLvl w:val="2"/>
        <w:rPr>
          <w:szCs w:val="26"/>
        </w:rPr>
      </w:pPr>
      <w:r w:rsidRPr="000F7C87">
        <w:rPr>
          <w:b/>
          <w:szCs w:val="26"/>
        </w:rPr>
        <w:t>2.2.2. Tổ chức bộ máy và đầu mối quản lý</w:t>
      </w:r>
    </w:p>
    <w:p w14:paraId="48E95726" w14:textId="77777777" w:rsidR="005B561C" w:rsidRPr="000F7C87" w:rsidRDefault="00000000">
      <w:pPr>
        <w:rPr>
          <w:szCs w:val="26"/>
        </w:rPr>
      </w:pPr>
      <w:r w:rsidRPr="000F7C87">
        <w:rPr>
          <w:szCs w:val="26"/>
        </w:rPr>
        <w:t>Theo Điều 35 Quyết định 213 và Điều 11 Quyết định 217, Phòng Khoa học Công nghệ là đầu mối tiếp nhận hồ sơ, nhận diện và theo dõi tài sản trí tuệ; bộ phận pháp chế thực hiện thủ tục xác lập quyền. Trên thực tế, chức năng này phân tán ở bốn điểm. Phòng Khoa học Công nghệ giữ khâu tiếp nhận hồ sơ nhưng chỉ có 2 nhân sự. Trung tâm Tuyển sinh và Quản trị thương hiệu thực hiện xác lập quyền đối với nhãn hiệu và logo. Bộ phận pháp chế thuộc Trung tâm Dịch vụ và Quản trị hành chính tổng hợp là đầu mối của Mạng lưới Trung tâm Hỗ trợ công nghệ và đổi mới sáng tạo mà Nhà trường tham gia từ năm 2023. Viện Nghiên cứu giáo dục và Chuyển giao tri thức là đơn vị duy nhất đã đăng ký hoạt động khoa học và công nghệ, có con dấu riêng và có hợp đồng khai thác quyền.</w:t>
      </w:r>
    </w:p>
    <w:p w14:paraId="48E95726" w14:textId="77777777" w:rsidR="005B561C" w:rsidRPr="000F7C87" w:rsidRDefault="00000000">
      <w:pPr>
        <w:rPr>
          <w:szCs w:val="26"/>
        </w:rPr>
      </w:pPr>
      <w:r w:rsidRPr="000F7C87">
        <w:rPr>
          <w:szCs w:val="26"/>
        </w:rPr>
        <w:t>Ba trong bốn điểm thuộc khối Quản trị và Dịch vụ, còn kết quả nghiên cứu phát sinh ở khối Đào tạo và Nghiên cứu. Vấn đề vì vậy không phải thiếu đầu mối hay thiếu phân công, vì Quyết định 217 đã phân công rõ, mà nằm ở khâu thực thi: bộ hồ sơ thu thập được không có biểu mẫu khai báo hay hồ sơ theo dõi tài sản trí tuệ do Phòng lập; mỗi đơn vị nắm một đoạn của chu trình và giữa các đoạn không có cơ chế chuyển hồ sơ.</w:t>
      </w:r>
    </w:p>
    <w:p w14:paraId="0DE297E1" w14:textId="77777777" w:rsidR="005B561C" w:rsidRPr="000F7C87" w:rsidRDefault="00000000">
      <w:pPr>
        <w:keepNext/>
        <w:spacing w:before="200" w:after="100"/>
        <w:ind w:firstLine="0"/>
        <w:outlineLvl w:val="2"/>
        <w:rPr>
          <w:szCs w:val="26"/>
        </w:rPr>
      </w:pPr>
      <w:r w:rsidRPr="000F7C87">
        <w:rPr>
          <w:b/>
          <w:szCs w:val="26"/>
        </w:rPr>
        <w:t>2.2.3. Nguồn lực tài chính và cơ chế khuyến khích</w:t>
      </w:r>
    </w:p>
    <w:p w14:paraId="48E95726" w14:textId="77777777" w:rsidR="005B561C" w:rsidRPr="000F7C87" w:rsidRDefault="00000000">
      <w:pPr>
        <w:rPr>
          <w:szCs w:val="26"/>
        </w:rPr>
      </w:pPr>
      <w:r w:rsidRPr="000F7C87">
        <w:rPr>
          <w:szCs w:val="26"/>
        </w:rPr>
        <w:t>Nhà trường có ba kênh tài trợ nghiên cứu với chế độ sở hữu trí tuệ khác nhau, được trình bày tại Bảng 2.4.</w:t>
      </w:r>
    </w:p>
    <w:p w14:paraId="478B6AC7" w14:textId="77777777" w:rsidR="005B561C" w:rsidRPr="000F7C87" w:rsidRDefault="00000000">
      <w:pPr>
        <w:keepNext/>
        <w:spacing w:before="160" w:after="80"/>
        <w:ind w:firstLine="0"/>
        <w:jc w:val="center"/>
        <w:rPr>
          <w:szCs w:val="26"/>
        </w:rPr>
      </w:pPr>
      <w:r w:rsidRPr="000F7C87">
        <w:rPr>
          <w:b/>
          <w:szCs w:val="26"/>
        </w:rPr>
        <w:t>Bảng 2.4. Ba kênh tài trợ nghiên cứu và chế độ sở hữu trí tuệ tương ứng</w:t>
      </w:r>
    </w:p>
    <w:tbl>
      <w:tblPr>
        <w:tblStyle w:val="TableGrid"/>
        <w:tblW w:w="0" w:type="auto"/>
        <w:jc w:val="center"/>
        <w:tblLook w:val="04A0" w:firstRow="1" w:lastRow="0" w:firstColumn="1" w:lastColumn="0" w:noHBand="0" w:noVBand="1"/>
      </w:tblPr>
      <w:tblGrid>
        <w:gridCol w:w="2148"/>
        <w:gridCol w:w="2983"/>
        <w:gridCol w:w="1909"/>
        <w:gridCol w:w="2028"/>
      </w:tblGrid>
      <w:tr>
        <w:trPr>
          <w:cantSplit/>
          <w:tblHeader/>
        </w:trPr>
        <w:tc>
          <w:tcPr>
            <w:tcW w:w="2148" w:type="dxa"/>
            <w:shd w:val="clear" w:color="auto" w:fill="DCE8F7"/>
            <w:vAlign w:val="center"/>
          </w:tcPr>
          <w:p>
            <w:pPr>
              <w:spacing w:before="20" w:after="20" w:line="252" w:lineRule="auto"/>
              <w:ind w:firstLine="0"/>
              <w:jc w:val="center"/>
            </w:pPr>
            <w:r>
              <w:rPr>
                <w:b/>
                <w:sz w:val="24"/>
              </w:rPr>
              <w:t xml:space="preserve">Kênh tài trợ</w:t>
            </w:r>
          </w:p>
        </w:tc>
        <w:tc>
          <w:tcPr>
            <w:tcW w:w="2983" w:type="dxa"/>
            <w:shd w:val="clear" w:color="auto" w:fill="DCE8F7"/>
            <w:vAlign w:val="center"/>
          </w:tcPr>
          <w:p>
            <w:pPr>
              <w:spacing w:before="20" w:after="20" w:line="252" w:lineRule="auto"/>
              <w:ind w:firstLine="0"/>
              <w:jc w:val="center"/>
            </w:pPr>
            <w:r>
              <w:rPr>
                <w:b/>
                <w:sz w:val="24"/>
              </w:rPr>
              <w:t xml:space="preserve">Quy mô</w:t>
            </w:r>
          </w:p>
        </w:tc>
        <w:tc>
          <w:tcPr>
            <w:tcW w:w="1909" w:type="dxa"/>
            <w:shd w:val="clear" w:color="auto" w:fill="DCE8F7"/>
            <w:vAlign w:val="center"/>
          </w:tcPr>
          <w:p>
            <w:pPr>
              <w:spacing w:before="20" w:after="20" w:line="252" w:lineRule="auto"/>
              <w:ind w:firstLine="0"/>
              <w:jc w:val="center"/>
            </w:pPr>
            <w:r>
              <w:rPr>
                <w:b/>
                <w:sz w:val="24"/>
              </w:rPr>
              <w:t xml:space="preserve">Dòng chi cho phí nộp đơn</w:t>
            </w:r>
          </w:p>
        </w:tc>
        <w:tc>
          <w:tcPr>
            <w:tcW w:w="2028" w:type="dxa"/>
            <w:shd w:val="clear" w:color="auto" w:fill="DCE8F7"/>
            <w:vAlign w:val="center"/>
          </w:tcPr>
          <w:p>
            <w:pPr>
              <w:spacing w:before="20" w:after="20" w:line="252" w:lineRule="auto"/>
              <w:ind w:firstLine="0"/>
              <w:jc w:val="center"/>
            </w:pPr>
            <w:r>
              <w:rPr>
                <w:b/>
                <w:sz w:val="24"/>
              </w:rPr>
              <w:t xml:space="preserve">Kết quả tài sản trí tuệ</w:t>
            </w:r>
          </w:p>
        </w:tc>
      </w:tr>
      <w:tr>
        <w:trPr>
          <w:cantSplit/>
        </w:trPr>
        <w:tc>
          <w:tcPr>
            <w:tcW w:w="2148" w:type="dxa"/>
            <w:vAlign w:val="center"/>
          </w:tcPr>
          <w:p>
            <w:pPr>
              <w:spacing w:before="20" w:after="20" w:line="252" w:lineRule="auto"/>
              <w:ind w:firstLine="0"/>
              <w:jc w:val="left"/>
            </w:pPr>
            <w:r>
              <w:rPr>
                <w:sz w:val="24"/>
              </w:rPr>
              <w:t xml:space="preserve">Đề tài cấp cơ sở, ngân sách của Trường</w:t>
            </w:r>
          </w:p>
        </w:tc>
        <w:tc>
          <w:tcPr>
            <w:tcW w:w="2983" w:type="dxa"/>
            <w:vAlign w:val="center"/>
          </w:tcPr>
          <w:p>
            <w:pPr>
              <w:spacing w:before="20" w:after="20" w:line="252" w:lineRule="auto"/>
              <w:ind w:firstLine="0"/>
              <w:jc w:val="left"/>
            </w:pPr>
            <w:r>
              <w:rPr>
                <w:sz w:val="24"/>
              </w:rPr>
              <w:t xml:space="preserve">38 đề tài giai đoạn 2021 - 2025; 19 đề tài được cấp tổng 424,75 triệu đồng, 16 đề tài chỉ quy đổi giờ, 3 đề tài tự tìm tài trợ</w:t>
            </w:r>
          </w:p>
        </w:tc>
        <w:tc>
          <w:tcPr>
            <w:tcW w:w="1909" w:type="dxa"/>
            <w:vAlign w:val="center"/>
          </w:tcPr>
          <w:p>
            <w:pPr>
              <w:spacing w:before="20" w:after="20" w:line="252" w:lineRule="auto"/>
              <w:ind w:firstLine="0"/>
              <w:jc w:val="left"/>
            </w:pPr>
            <w:r>
              <w:rPr>
                <w:sz w:val="24"/>
              </w:rPr>
              <w:t xml:space="preserve">Không có</w:t>
            </w:r>
          </w:p>
        </w:tc>
        <w:tc>
          <w:tcPr>
            <w:tcW w:w="2028" w:type="dxa"/>
            <w:vAlign w:val="center"/>
          </w:tcPr>
          <w:p>
            <w:pPr>
              <w:spacing w:before="20" w:after="20" w:line="252" w:lineRule="auto"/>
              <w:ind w:firstLine="0"/>
              <w:jc w:val="left"/>
            </w:pPr>
            <w:r>
              <w:rPr>
                <w:sz w:val="24"/>
              </w:rPr>
              <w:t xml:space="preserve">11 đề tài có sản phẩm đủ điều kiện, 1 đơn sáng chế</w:t>
            </w:r>
          </w:p>
        </w:tc>
      </w:tr>
      <w:tr>
        <w:trPr>
          <w:cantSplit/>
        </w:trPr>
        <w:tc>
          <w:tcPr>
            <w:tcW w:w="2148" w:type="dxa"/>
            <w:vAlign w:val="center"/>
          </w:tcPr>
          <w:p>
            <w:pPr>
              <w:spacing w:before="20" w:after="20" w:line="252" w:lineRule="auto"/>
              <w:ind w:firstLine="0"/>
              <w:jc w:val="left"/>
            </w:pPr>
            <w:r>
              <w:rPr>
                <w:sz w:val="24"/>
              </w:rPr>
              <w:t xml:space="preserve">Quỹ Học bổng sau tiến sĩ Ngô Xuân Độ</w:t>
            </w:r>
          </w:p>
        </w:tc>
        <w:tc>
          <w:tcPr>
            <w:tcW w:w="2983" w:type="dxa"/>
            <w:vAlign w:val="center"/>
          </w:tcPr>
          <w:p>
            <w:pPr>
              <w:spacing w:before="20" w:after="20" w:line="252" w:lineRule="auto"/>
              <w:ind w:firstLine="0"/>
              <w:jc w:val="left"/>
            </w:pPr>
            <w:r>
              <w:rPr>
                <w:sz w:val="24"/>
              </w:rPr>
              <w:t xml:space="preserve">Ngân sách 5 tỷ đồng giai đoạn 2025 - 2029; 10 đến 15 học bổng mỗi năm, mức 50 đến 500 triệu đồng</w:t>
            </w:r>
          </w:p>
        </w:tc>
        <w:tc>
          <w:tcPr>
            <w:tcW w:w="1909" w:type="dxa"/>
            <w:vAlign w:val="center"/>
          </w:tcPr>
          <w:p>
            <w:pPr>
              <w:spacing w:before="20" w:after="20" w:line="252" w:lineRule="auto"/>
              <w:ind w:firstLine="0"/>
              <w:jc w:val="left"/>
            </w:pPr>
            <w:r>
              <w:rPr>
                <w:sz w:val="24"/>
              </w:rPr>
              <w:t xml:space="preserve">Có, qua khoản chi phí khác tối đa bằng 50% chi trực tiếp</w:t>
            </w:r>
          </w:p>
        </w:tc>
        <w:tc>
          <w:tcPr>
            <w:tcW w:w="2028" w:type="dxa"/>
            <w:vAlign w:val="center"/>
          </w:tcPr>
          <w:p>
            <w:pPr>
              <w:spacing w:before="20" w:after="20" w:line="252" w:lineRule="auto"/>
              <w:ind w:firstLine="0"/>
              <w:jc w:val="left"/>
            </w:pPr>
            <w:r>
              <w:rPr>
                <w:sz w:val="24"/>
              </w:rPr>
              <w:t xml:space="preserve">Quỹ hoạt động từ năm 2025, chưa có kết quả</w:t>
            </w:r>
          </w:p>
        </w:tc>
      </w:tr>
      <w:tr>
        <w:trPr>
          <w:cantSplit/>
        </w:trPr>
        <w:tc>
          <w:tcPr>
            <w:tcW w:w="2148" w:type="dxa"/>
            <w:vAlign w:val="center"/>
          </w:tcPr>
          <w:p>
            <w:pPr>
              <w:spacing w:before="20" w:after="20" w:line="252" w:lineRule="auto"/>
              <w:ind w:firstLine="0"/>
              <w:jc w:val="left"/>
            </w:pPr>
            <w:r>
              <w:rPr>
                <w:sz w:val="24"/>
              </w:rPr>
              <w:t xml:space="preserve">Đề tài cấp quốc gia, Quỹ Phát triển khoa học và công nghệ quốc gia</w:t>
            </w:r>
          </w:p>
        </w:tc>
        <w:tc>
          <w:tcPr>
            <w:tcW w:w="2983" w:type="dxa"/>
            <w:vAlign w:val="center"/>
          </w:tcPr>
          <w:p>
            <w:pPr>
              <w:spacing w:before="20" w:after="20" w:line="252" w:lineRule="auto"/>
              <w:ind w:firstLine="0"/>
              <w:jc w:val="left"/>
            </w:pPr>
            <w:r>
              <w:rPr>
                <w:sz w:val="24"/>
              </w:rPr>
              <w:t xml:space="preserve">3 đề tài, tổng 4,67 tỷ đồng, giao năm 2024 và 2025</w:t>
            </w:r>
          </w:p>
        </w:tc>
        <w:tc>
          <w:tcPr>
            <w:tcW w:w="1909" w:type="dxa"/>
            <w:vAlign w:val="center"/>
          </w:tcPr>
          <w:p>
            <w:pPr>
              <w:spacing w:before="20" w:after="20" w:line="252" w:lineRule="auto"/>
              <w:ind w:firstLine="0"/>
              <w:jc w:val="left"/>
            </w:pPr>
            <w:r>
              <w:rPr>
                <w:sz w:val="24"/>
              </w:rPr>
              <w:t xml:space="preserve">Theo quy định của cơ quan tài trợ</w:t>
            </w:r>
          </w:p>
        </w:tc>
        <w:tc>
          <w:tcPr>
            <w:tcW w:w="2028" w:type="dxa"/>
            <w:vAlign w:val="center"/>
          </w:tcPr>
          <w:p>
            <w:pPr>
              <w:spacing w:before="20" w:after="20" w:line="252" w:lineRule="auto"/>
              <w:ind w:firstLine="0"/>
              <w:jc w:val="left"/>
            </w:pPr>
            <w:r>
              <w:rPr>
                <w:sz w:val="24"/>
              </w:rPr>
              <w:t xml:space="preserve">Đang thực hiện, chưa nghiệm thu</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đề tài cấp cơ sở, danh mục đề tài cấp quốc gia và Điều lệ Quỹ Học bổng sau tiến sĩ Ngô Xuân Độ.</w:t>
      </w:r>
    </w:p>
    <w:p w14:paraId="48E95726" w14:textId="77777777" w:rsidR="005B561C" w:rsidRPr="000F7C87" w:rsidRDefault="00000000">
      <w:pPr>
        <w:rPr>
          <w:szCs w:val="26"/>
        </w:rPr>
      </w:pPr>
      <w:r w:rsidRPr="000F7C87">
        <w:rPr>
          <w:szCs w:val="26"/>
        </w:rPr>
        <w:t>Bảng 2.4 cho thấy nguồn lực không thiếu nhưng đặt chưa đúng chỗ. Quỹ Học bổng sau tiến sĩ Ngô Xuân Độ có ngân sách 5 tỷ đồng, có khoản chi phí khác đủ trang trải chi phí đăng ký và quy định rõ về đồng sở hữu văn bằng, nhưng chỉ dành cho nhà khoa học theo diện học bổng sau tiến sĩ. Đề tài cấp cơ sở, kênh duy nhất đến nay tạo ra sản phẩm đủ điều kiện xác lập quyền, chỉ được Nhà trường cấp 424,75 triệu đồng trong năm năm, bằng 8,5% ngân sách Quỹ, và không có dòng chi cho phí nộp đơn, phí duy trì hiệu lực. Điều 38 Quyết định 213 không có mục chi riêng cho lệ phí đăng ký; Điều 13 Quyết định 217 chỉ coi lệ phí xác lập quyền là khoản được trừ khi chia lợi ích, tức sau khi đã có doanh thu. Giữa hai kênh không có cơ chế chuyển tiếp.</w:t>
      </w:r>
    </w:p>
    <w:p w14:paraId="478B6AC7" w14:textId="77777777" w:rsidR="005B561C" w:rsidRPr="000F7C87" w:rsidRDefault="00000000">
      <w:pPr>
        <w:keepNext/>
        <w:spacing w:before="160" w:after="80"/>
        <w:ind w:firstLine="0"/>
        <w:jc w:val="center"/>
        <w:rPr>
          <w:szCs w:val="26"/>
        </w:rPr>
      </w:pPr>
      <w:r w:rsidRPr="000F7C87">
        <w:rPr>
          <w:b/>
          <w:szCs w:val="26"/>
        </w:rPr>
        <w:t>Hình 2.3. Số đề tài cấp cơ sở theo hình thức kinh phí và kinh phí Nhà trường cấp, giai đoạn 2021 - 2025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3" name="Biểu đồ 503" descr="Hình 2.3. Số đề tài cấp cơ sở theo hình thức kinh phí và kinh phí Nhà trường cấp, giai đoạn 2021 - 2025"/>
            <wp:cNvGraphicFramePr/>
            <a:graphic>
              <a:graphicData uri="http://schemas.openxmlformats.org/drawingml/2006/chart">
                <c:chart r:id="rId10"/>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danh mục đề tài khoa học công nghệ cấp cơ sở giai đoạn 2021 - 2025. Đề tài xếp theo năm ghi trong mã số; kinh phí đơn vị triệu đồng.</w:t>
      </w:r>
    </w:p>
    <w:p w14:paraId="48E95726" w14:textId="77777777" w:rsidR="005B561C" w:rsidRPr="000F7C87" w:rsidRDefault="00000000">
      <w:pPr>
        <w:rPr>
          <w:szCs w:val="26"/>
        </w:rPr>
      </w:pPr>
      <w:r w:rsidRPr="000F7C87">
        <w:rPr>
          <w:szCs w:val="26"/>
        </w:rPr>
        <w:t>Hình 2.3 cho thấy cơ chế cấp kinh phí đề tài cấp cơ sở thay đổi sau năm 2022: toàn bộ 6 đề tài năm 2021 và 7 trên 10 đề tài năm 2022 chỉ được quy đổi giờ nghiên cứu; từ năm 2023, phần lớn đề tài được cấp tiền và tổng kinh phí đạt 145 triệu đồng năm 2025. Mức cấp phân tán mạnh, trung vị 8,5 triệu đồng, cao nhất 80 triệu đồng. Đáng chú ý, cả 11 đề tài có sản phẩm đủ điều kiện xác lập quyền đều thuộc nhóm 19 đề tài được cấp tiền và dùng 396,75 triệu đồng, tức 93,4% tổng kinh phí. Kinh phí bằng tiền là điều kiện cần để tạo ra sản phẩm có thể bảo hộ, nhưng chỉ đủ tạo ra sản phẩm, không có phần cho bước đăng ký.</w:t>
      </w:r>
    </w:p>
    <w:p w14:paraId="48E95726" w14:textId="77777777" w:rsidR="005B561C" w:rsidRPr="000F7C87" w:rsidRDefault="00000000">
      <w:pPr>
        <w:rPr>
          <w:szCs w:val="26"/>
        </w:rPr>
      </w:pPr>
      <w:r w:rsidRPr="000F7C87">
        <w:rPr>
          <w:szCs w:val="26"/>
        </w:rPr>
        <w:t>Về khuyến khích, Quy chế chi tiêu nội bộ năm 2026 quy định kinh phí xét duyệt không quá 50 triệu đồng cho đề tài có đăng ký sở hữu trí tuệ và quy đổi giờ nghiên cứu cho văn bằng, với điều kiện đã có chứng nhận đăng ký thành công. Định mức này được đặt cạnh chế độ dành cho công bố tại hình dưới đây.</w:t>
      </w:r>
    </w:p>
    <w:p w14:paraId="478B6AC7" w14:textId="77777777" w:rsidR="005B561C" w:rsidRPr="000F7C87" w:rsidRDefault="00000000">
      <w:pPr>
        <w:keepNext/>
        <w:spacing w:before="160" w:after="80"/>
        <w:ind w:firstLine="0"/>
        <w:jc w:val="center"/>
        <w:rPr>
          <w:szCs w:val="26"/>
        </w:rPr>
      </w:pPr>
      <w:r w:rsidRPr="000F7C87">
        <w:rPr>
          <w:b/>
          <w:szCs w:val="26"/>
        </w:rPr>
        <w:t>Hình 2.4. Giờ nghiên cứu quy đổi và mức thưởng bằng tiền theo loại sản phẩm khoa học</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600000"/>
            <wp:effectExtent l="0" t="0" r="0" b="0"/>
            <wp:docPr id="504" name="Biểu đồ 504" descr="Hình 2.4. Giờ nghiên cứu quy đổi và mức thưởng bằng tiền theo loại sản phẩm khoa học"/>
            <wp:cNvGraphicFramePr/>
            <a:graphic>
              <a:graphicData uri="http://schemas.openxmlformats.org/drawingml/2006/chart">
                <c:chart r:id="rId11"/>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6 và Bảng 7, Quy chế chi tiêu nội bộ Trường Đại học Thành Đô ban hành ngày 01 tháng 8 năm 2026. Sáng chế chuẩn quốc tế là bằng độc quyền theo chuẩn Mỹ, châu Âu, Đông Bắc Á; sáng chế chuẩn Việt Nam là bằng độc quyền theo chuẩn Việt Nam, Trung Quốc, ASEAN. Mức thưởng là tổng tiền thưởng cho một bài báo.</w:t>
      </w:r>
    </w:p>
    <w:p w14:paraId="48E95726" w14:textId="77777777" w:rsidR="005B561C" w:rsidRPr="000F7C87" w:rsidRDefault="00000000">
      <w:pPr>
        <w:rPr>
          <w:szCs w:val="26"/>
        </w:rPr>
      </w:pPr>
      <w:r w:rsidRPr="000F7C87">
        <w:rPr>
          <w:szCs w:val="26"/>
        </w:rPr>
        <w:t>Hình 2.4 cho thấy, xét riêng giờ quy đổi, văn bằng được định giá cao: sáng chế chuẩn Việt Nam được tính 360 giờ, cao hơn bài WoS hạng Q1 với 300 giờ. Nhưng chỉ bài báo quốc tế được thưởng tiền, từ 10 đến 20 triệu đồng một bài, và được ghi nhận ngay khi đăng; văn bằng không có tiền thưởng và chỉ được ghi nhận khi được cấp, thường từ hai đến ba năm sau khi nộp đơn. Với cùng một kết quả nghiên cứu, lựa chọn hợp lý của giảng viên là công bố trước. Theo khoản 3 và khoản 4 Điều 60 Luật Sở hữu trí tuệ, đơn phải được nộp trong thời hạn mười hai tháng kể từ ngày bộc lộ thì sáng chế mới không bị coi là mất tính mới. Cấu trúc khuyến khích này phù hợp với việc công bố tăng mạnh trong khi đơn đăng ký hầu như vắng mặt.</w:t>
      </w:r>
    </w:p>
    <w:p w14:paraId="0DE297E1" w14:textId="77777777" w:rsidR="005B561C" w:rsidRPr="000F7C87" w:rsidRDefault="00000000">
      <w:pPr>
        <w:keepNext/>
        <w:spacing w:before="200" w:after="100"/>
        <w:ind w:firstLine="0"/>
        <w:outlineLvl w:val="2"/>
        <w:rPr>
          <w:szCs w:val="26"/>
        </w:rPr>
      </w:pPr>
      <w:r w:rsidRPr="000F7C87">
        <w:rPr>
          <w:b/>
          <w:szCs w:val="26"/>
        </w:rPr>
        <w:t>2.2.4. Hệ thống dữ liệu phục vụ quản lý</w:t>
      </w:r>
    </w:p>
    <w:p w14:paraId="48E95726" w14:textId="77777777" w:rsidR="005B561C" w:rsidRPr="000F7C87" w:rsidRDefault="00000000">
      <w:pPr>
        <w:rPr>
          <w:szCs w:val="26"/>
        </w:rPr>
      </w:pPr>
      <w:r w:rsidRPr="000F7C87">
        <w:rPr>
          <w:szCs w:val="26"/>
        </w:rPr>
        <w:t>Hệ thống thống kê của Phòng Khoa học Công nghệ chỉ theo dõi bài báo, sách, giáo trình, đề tài và tham luận; không có danh mục nào theo dõi tài sản trí tuệ đã đăng ký hoặc được cấp văn bằng, dù Điều 11 Quyết định 217 giao Phòng nhiệm vụ này. Danh mục tài sản trí tuệ hiện có do bộ phận quản trị thương hiệu lập và không liên kết với các danh mục trên. Mức độ khai báo trong hồ sơ nghiệm thu thấp: 26 trên 38 đề tài khai tổng cộng 32 công bố, trong khi phép so khớp gắn được 107 bài báo với các đề tài, tức độ phủ khoảng 29,9%. Nếu bài báo, loại sản phẩm dễ nhận diện nhất, còn khai thiếu thì công thức, quy trình càng ít khả năng được ghi nhận. Dữ liệu cũng chưa chuẩn hóa: tên đơn vị ghi nhiều cách, danh mục bài báo không có trường đơn vị, biểu mẫu giáo trình năm 2021 khác các năm sau.</w:t>
      </w:r>
    </w:p>
    <w:p w14:paraId="478B6AC7" w14:textId="77777777" w:rsidR="005B561C" w:rsidRPr="000F7C87" w:rsidRDefault="00000000">
      <w:pPr>
        <w:keepNext/>
        <w:spacing w:before="160" w:after="80"/>
        <w:ind w:firstLine="0"/>
        <w:jc w:val="center"/>
        <w:rPr>
          <w:szCs w:val="26"/>
        </w:rPr>
      </w:pPr>
      <w:r w:rsidRPr="000F7C87">
        <w:rPr>
          <w:b/>
          <w:szCs w:val="26"/>
        </w:rPr>
        <w:t>Hình 2.5. Khả năng tính toán bộ tiêu chí đánh giá hiệu quả quản lý quyền sở hữu trí tuệ từ dữ liệu hiện có</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35999"/>
            <wp:effectExtent l="0" t="0" r="0" b="0"/>
            <wp:docPr id="505" name="Biểu đồ 505" descr="Hình 2.5. Khả năng tính toán bộ tiêu chí đánh giá hiệu quả quản lý quyền sở hữu trí tuệ từ dữ liệu hiện có"/>
            <wp:cNvGraphicFramePr/>
            <a:graphic>
              <a:graphicData uri="http://schemas.openxmlformats.org/drawingml/2006/chart">
                <c:chart r:id="rId12"/>
              </a:graphicData>
            </a:graphic>
          </wp:inline>
        </w:drawing>
      </w:r>
    </w:p>
    <w:p w14:paraId="645FDCAF" w14:textId="77777777" w:rsidR="005B561C" w:rsidRPr="000F7C87" w:rsidRDefault="00000000">
      <w:pPr>
        <w:spacing w:after="160"/>
        <w:ind w:firstLine="0"/>
        <w:rPr>
          <w:szCs w:val="26"/>
        </w:rPr>
      </w:pPr>
      <w:r w:rsidRPr="000F7C87">
        <w:rPr>
          <w:i/>
          <w:szCs w:val="26"/>
        </w:rPr>
        <w:t>Nguồn: Đánh giá của nhóm nghiên cứu đối với 16 tiêu chí tại Mục 1.4.2, căn cứ vào các danh mục và văn bản hiện có của Trường Đại học Thành Đô. Chi tiết từng tiêu chí tại tệp dữ liệu kèm theo.</w:t>
      </w:r>
    </w:p>
    <w:p w14:paraId="48E95726" w14:textId="77777777" w:rsidR="005B561C" w:rsidRPr="000F7C87" w:rsidRDefault="00000000">
      <w:pPr>
        <w:rPr>
          <w:szCs w:val="26"/>
        </w:rPr>
      </w:pPr>
      <w:r w:rsidRPr="000F7C87">
        <w:rPr>
          <w:szCs w:val="26"/>
        </w:rPr>
        <w:t>Hình 2.5 lượng hóa hệ quả: trong 16 tiêu chí đánh giá hiệu quả quản lý quyền sở hữu trí tuệ xây dựng tại Mục 1.4.2, chỉ 5 tiêu chí tính được đầy đủ, 4 tiêu chí tính được một phần và 7 tiêu chí chưa tính được; nhóm kết quả không có tiêu chí nào tính được đầy đủ. Nhà trường đo được đã xác lập bao nhiêu quyền nhưng chưa đo được quyền mang lại giá trị gì. Đây lại là nhóm thông tin phải công khai theo điểm đ khoản 3 Điều 28 Luật Giáo dục đại học số 125/2025/QH15.</w:t>
      </w:r>
    </w:p>
    <w:p w14:paraId="6067EC56" w14:textId="77777777" w:rsidR="005B561C" w:rsidRPr="000F7C87" w:rsidRDefault="00000000">
      <w:pPr>
        <w:keepNext/>
        <w:spacing w:before="280" w:after="160"/>
        <w:ind w:firstLine="0"/>
        <w:outlineLvl w:val="1"/>
        <w:rPr>
          <w:szCs w:val="26"/>
        </w:rPr>
      </w:pPr>
      <w:r w:rsidRPr="000F7C87">
        <w:rPr>
          <w:b/>
          <w:szCs w:val="26"/>
        </w:rPr>
        <w:t>2.3. Thực trạng tạo lập, xác lập và bảo vệ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2.3.1. Đối sánh giữa quy định pháp luật, quy chế nội bộ và thực tế phát sinh</w:t>
      </w:r>
    </w:p>
    <w:p w14:paraId="48E95726" w14:textId="77777777" w:rsidR="005B561C" w:rsidRPr="000F7C87" w:rsidRDefault="00000000">
      <w:pPr>
        <w:rPr>
          <w:szCs w:val="26"/>
        </w:rPr>
      </w:pPr>
      <w:r w:rsidRPr="000F7C87">
        <w:rPr>
          <w:szCs w:val="26"/>
        </w:rPr>
        <w:t>Bảng 2.5 đối sánh ba lớp: đối tượng quyền theo Luật Sở hữu trí tuệ, tài sản được liệt kê tại Điều 34 Quyết định 213 và Điều 3 Quyết định 217, và thực tế phát sinh giai đoạn 2021 - 2025.</w:t>
      </w:r>
    </w:p>
    <w:p w14:paraId="478B6AC7" w14:textId="77777777" w:rsidR="005B561C" w:rsidRPr="000F7C87" w:rsidRDefault="00000000">
      <w:pPr>
        <w:keepNext/>
        <w:spacing w:before="160" w:after="80"/>
        <w:ind w:firstLine="0"/>
        <w:jc w:val="center"/>
        <w:rPr>
          <w:szCs w:val="26"/>
        </w:rPr>
      </w:pPr>
      <w:r w:rsidRPr="000F7C87">
        <w:rPr>
          <w:b/>
          <w:szCs w:val="26"/>
        </w:rPr>
        <w:t>Bảng 2.5. Đối sánh đối tượng quyền theo Luật, theo quy chế nội bộ và theo thực tế phát sinh</w:t>
      </w:r>
    </w:p>
    <w:tbl>
      <w:tblPr>
        <w:tblStyle w:val="TableGrid"/>
        <w:tblW w:w="0" w:type="auto"/>
        <w:jc w:val="center"/>
        <w:tblLook w:val="04A0" w:firstRow="1" w:lastRow="0" w:firstColumn="1" w:lastColumn="0" w:noHBand="0" w:noVBand="1"/>
      </w:tblPr>
      <w:tblGrid>
        <w:gridCol w:w="1531"/>
        <w:gridCol w:w="2238"/>
        <w:gridCol w:w="1531"/>
        <w:gridCol w:w="2238"/>
        <w:gridCol w:w="1531"/>
      </w:tblGrid>
      <w:tr>
        <w:trPr>
          <w:cantSplit/>
          <w:tblHeader/>
        </w:trPr>
        <w:tc>
          <w:tcPr>
            <w:tcW w:w="1531" w:type="dxa"/>
            <w:shd w:val="clear" w:color="auto" w:fill="DCE8F7"/>
            <w:vAlign w:val="center"/>
          </w:tcPr>
          <w:p>
            <w:pPr>
              <w:spacing w:before="20" w:after="20" w:line="252" w:lineRule="auto"/>
              <w:ind w:firstLine="0"/>
              <w:jc w:val="center"/>
            </w:pPr>
            <w:r>
              <w:rPr>
                <w:b/>
                <w:sz w:val="24"/>
              </w:rPr>
              <w:t xml:space="preserve">Nhóm quyền</w:t>
            </w:r>
          </w:p>
        </w:tc>
        <w:tc>
          <w:tcPr>
            <w:tcW w:w="2238" w:type="dxa"/>
            <w:shd w:val="clear" w:color="auto" w:fill="DCE8F7"/>
            <w:vAlign w:val="center"/>
          </w:tcPr>
          <w:p>
            <w:pPr>
              <w:spacing w:before="20" w:after="20" w:line="252" w:lineRule="auto"/>
              <w:ind w:firstLine="0"/>
              <w:jc w:val="center"/>
            </w:pPr>
            <w:r>
              <w:rPr>
                <w:b/>
                <w:sz w:val="24"/>
              </w:rPr>
              <w:t xml:space="preserve">Đối tượng</w:t>
            </w:r>
          </w:p>
        </w:tc>
        <w:tc>
          <w:tcPr>
            <w:tcW w:w="1531" w:type="dxa"/>
            <w:shd w:val="clear" w:color="auto" w:fill="DCE8F7"/>
            <w:vAlign w:val="center"/>
          </w:tcPr>
          <w:p>
            <w:pPr>
              <w:spacing w:before="20" w:after="20" w:line="252" w:lineRule="auto"/>
              <w:ind w:firstLine="0"/>
              <w:jc w:val="center"/>
            </w:pPr>
            <w:r>
              <w:rPr>
                <w:b/>
                <w:sz w:val="24"/>
              </w:rPr>
              <w:t xml:space="preserve">Quy chế có liệt kê</w:t>
            </w:r>
          </w:p>
        </w:tc>
        <w:tc>
          <w:tcPr>
            <w:tcW w:w="2238" w:type="dxa"/>
            <w:shd w:val="clear" w:color="auto" w:fill="DCE8F7"/>
            <w:vAlign w:val="center"/>
          </w:tcPr>
          <w:p>
            <w:pPr>
              <w:spacing w:before="20" w:after="20" w:line="252" w:lineRule="auto"/>
              <w:ind w:firstLine="0"/>
              <w:jc w:val="center"/>
            </w:pPr>
            <w:r>
              <w:rPr>
                <w:b/>
                <w:sz w:val="24"/>
              </w:rPr>
              <w:t xml:space="preserve">Thực tế phát sinh</w:t>
            </w:r>
          </w:p>
        </w:tc>
        <w:tc>
          <w:tcPr>
            <w:tcW w:w="1531" w:type="dxa"/>
            <w:shd w:val="clear" w:color="auto" w:fill="DCE8F7"/>
            <w:vAlign w:val="center"/>
          </w:tcPr>
          <w:p>
            <w:pPr>
              <w:spacing w:before="20" w:after="20" w:line="252" w:lineRule="auto"/>
              <w:ind w:firstLine="0"/>
              <w:jc w:val="center"/>
            </w:pPr>
            <w:r>
              <w:rPr>
                <w:b/>
                <w:sz w:val="24"/>
              </w:rPr>
              <w:t xml:space="preserve">Đã xác lập quyền</w:t>
            </w:r>
          </w:p>
        </w:tc>
      </w:tr>
      <w:tr>
        <w:trPr>
          <w:cantSplit/>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Bài báo, sách</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405 bài báo, 12 sách</w:t>
            </w:r>
          </w:p>
        </w:tc>
        <w:tc>
          <w:tcPr>
            <w:tcW w:w="1531" w:type="dxa"/>
            <w:vAlign w:val="center"/>
          </w:tcPr>
          <w:p>
            <w:pPr>
              <w:spacing w:before="20" w:after="20" w:line="252" w:lineRule="auto"/>
              <w:ind w:firstLine="0"/>
              <w:jc w:val="left"/>
            </w:pPr>
            <w:r>
              <w:rPr>
                <w:sz w:val="24"/>
              </w:rPr>
              <w:t xml:space="preserve">Chưa</w:t>
            </w:r>
          </w:p>
        </w:tc>
      </w:tr>
      <w:tr>
        <w:trPr>
          <w:cantSplit/>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Giáo trình, tài liệu giảng dạy</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87 tài liệu</w:t>
            </w:r>
          </w:p>
        </w:tc>
        <w:tc>
          <w:tcPr>
            <w:tcW w:w="1531" w:type="dxa"/>
            <w:vAlign w:val="center"/>
          </w:tcPr>
          <w:p>
            <w:pPr>
              <w:spacing w:before="20" w:after="20" w:line="252" w:lineRule="auto"/>
              <w:ind w:firstLine="0"/>
              <w:jc w:val="left"/>
            </w:pPr>
            <w:r>
              <w:rPr>
                <w:sz w:val="24"/>
              </w:rPr>
              <w:t xml:space="preserve">Chưa</w:t>
            </w:r>
          </w:p>
        </w:tc>
      </w:tr>
      <w:tr>
        <w:trPr>
          <w:cantSplit/>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Chương trình đào tạo, ngân hàng đề thi, phần mềm</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Chưa thống kê</w:t>
            </w:r>
          </w:p>
        </w:tc>
        <w:tc>
          <w:tcPr>
            <w:tcW w:w="1531" w:type="dxa"/>
            <w:vAlign w:val="center"/>
          </w:tcPr>
          <w:p>
            <w:pPr>
              <w:spacing w:before="20" w:after="20" w:line="252" w:lineRule="auto"/>
              <w:ind w:firstLine="0"/>
              <w:jc w:val="left"/>
            </w:pPr>
            <w:r>
              <w:rPr>
                <w:sz w:val="24"/>
              </w:rPr>
              <w:t xml:space="preserve">Chưa</w:t>
            </w:r>
          </w:p>
        </w:tc>
      </w:tr>
      <w:tr>
        <w:trPr>
          <w:cantSplit/>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Sưu tập dữ liệu</w:t>
            </w:r>
          </w:p>
        </w:tc>
        <w:tc>
          <w:tcPr>
            <w:tcW w:w="1531" w:type="dxa"/>
            <w:vAlign w:val="center"/>
          </w:tcPr>
          <w:p>
            <w:pPr>
              <w:spacing w:before="20" w:after="20" w:line="252" w:lineRule="auto"/>
              <w:ind w:firstLine="0"/>
              <w:jc w:val="left"/>
            </w:pPr>
            <w:r>
              <w:rPr>
                <w:sz w:val="24"/>
              </w:rPr>
              <w:t xml:space="preserve">Có, tại Quyết định 217</w:t>
            </w:r>
          </w:p>
        </w:tc>
        <w:tc>
          <w:tcPr>
            <w:tcW w:w="2238" w:type="dxa"/>
            <w:vAlign w:val="center"/>
          </w:tcPr>
          <w:p>
            <w:pPr>
              <w:spacing w:before="20" w:after="20" w:line="252" w:lineRule="auto"/>
              <w:ind w:firstLine="0"/>
              <w:jc w:val="left"/>
            </w:pPr>
            <w:r>
              <w:rPr>
                <w:sz w:val="24"/>
              </w:rPr>
              <w:t xml:space="preserve">Bộ mẫu cây thuốc, bộ tiêu bản</w:t>
            </w:r>
          </w:p>
        </w:tc>
        <w:tc>
          <w:tcPr>
            <w:tcW w:w="1531" w:type="dxa"/>
            <w:vAlign w:val="center"/>
          </w:tcPr>
          <w:p>
            <w:pPr>
              <w:spacing w:before="20" w:after="20" w:line="252" w:lineRule="auto"/>
              <w:ind w:firstLine="0"/>
              <w:jc w:val="left"/>
            </w:pPr>
            <w:r>
              <w:rPr>
                <w:sz w:val="24"/>
              </w:rPr>
              <w:t xml:space="preserve">Chưa</w:t>
            </w:r>
          </w:p>
        </w:tc>
      </w:tr>
      <w:tr>
        <w:trPr>
          <w:cantSplit/>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Logo, bộ nhận diện</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Có</w:t>
            </w:r>
          </w:p>
        </w:tc>
        <w:tc>
          <w:tcPr>
            <w:tcW w:w="1531" w:type="dxa"/>
            <w:vAlign w:val="center"/>
          </w:tcPr>
          <w:p>
            <w:pPr>
              <w:spacing w:before="20" w:after="20" w:line="252" w:lineRule="auto"/>
              <w:ind w:firstLine="0"/>
              <w:jc w:val="left"/>
            </w:pPr>
            <w:r>
              <w:rPr>
                <w:sz w:val="24"/>
              </w:rPr>
              <w:t xml:space="preserve">2 văn bằng</w:t>
            </w:r>
          </w:p>
        </w:tc>
      </w:tr>
      <w:tr>
        <w:trPr>
          <w:cantSplit/>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Sáng chế</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Có</w:t>
            </w:r>
          </w:p>
        </w:tc>
        <w:tc>
          <w:tcPr>
            <w:tcW w:w="1531" w:type="dxa"/>
            <w:vAlign w:val="center"/>
          </w:tcPr>
          <w:p>
            <w:pPr>
              <w:spacing w:before="20" w:after="20" w:line="252" w:lineRule="auto"/>
              <w:ind w:firstLine="0"/>
              <w:jc w:val="left"/>
            </w:pPr>
            <w:r>
              <w:rPr>
                <w:sz w:val="24"/>
              </w:rPr>
              <w:t xml:space="preserve">2 đơn đang xử lý</w:t>
            </w:r>
          </w:p>
        </w:tc>
      </w:tr>
      <w:tr>
        <w:trPr>
          <w:cantSplit/>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Giải pháp hữu ích</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Công thức, quy trình từ đề tài</w:t>
            </w:r>
          </w:p>
        </w:tc>
        <w:tc>
          <w:tcPr>
            <w:tcW w:w="1531" w:type="dxa"/>
            <w:vAlign w:val="center"/>
          </w:tcPr>
          <w:p>
            <w:pPr>
              <w:spacing w:before="20" w:after="20" w:line="252" w:lineRule="auto"/>
              <w:ind w:firstLine="0"/>
              <w:jc w:val="left"/>
            </w:pPr>
            <w:r>
              <w:rPr>
                <w:sz w:val="24"/>
              </w:rPr>
              <w:t xml:space="preserve">Chưa</w:t>
            </w:r>
          </w:p>
        </w:tc>
      </w:tr>
      <w:tr>
        <w:trPr>
          <w:cantSplit/>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Kiểu dáng công nghiệp</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Có</w:t>
            </w:r>
          </w:p>
        </w:tc>
        <w:tc>
          <w:tcPr>
            <w:tcW w:w="1531" w:type="dxa"/>
            <w:vAlign w:val="center"/>
          </w:tcPr>
          <w:p>
            <w:pPr>
              <w:spacing w:before="20" w:after="20" w:line="252" w:lineRule="auto"/>
              <w:ind w:firstLine="0"/>
              <w:jc w:val="left"/>
            </w:pPr>
            <w:r>
              <w:rPr>
                <w:sz w:val="24"/>
              </w:rPr>
              <w:t xml:space="preserve">5 văn bằng</w:t>
            </w:r>
          </w:p>
        </w:tc>
      </w:tr>
      <w:tr>
        <w:trPr>
          <w:cantSplit/>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Nhãn hiệu</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Có</w:t>
            </w:r>
          </w:p>
        </w:tc>
        <w:tc>
          <w:tcPr>
            <w:tcW w:w="1531" w:type="dxa"/>
            <w:vAlign w:val="center"/>
          </w:tcPr>
          <w:p>
            <w:pPr>
              <w:spacing w:before="20" w:after="20" w:line="252" w:lineRule="auto"/>
              <w:ind w:firstLine="0"/>
              <w:jc w:val="left"/>
            </w:pPr>
            <w:r>
              <w:rPr>
                <w:sz w:val="24"/>
              </w:rPr>
              <w:t xml:space="preserve">2 văn bằng, 1 đơn</w:t>
            </w:r>
          </w:p>
        </w:tc>
      </w:tr>
      <w:tr>
        <w:trPr>
          <w:cantSplit/>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Bí mật kinh doanh</w:t>
            </w:r>
          </w:p>
        </w:tc>
        <w:tc>
          <w:tcPr>
            <w:tcW w:w="1531" w:type="dxa"/>
            <w:vAlign w:val="center"/>
          </w:tcPr>
          <w:p>
            <w:pPr>
              <w:spacing w:before="20" w:after="20" w:line="252" w:lineRule="auto"/>
              <w:ind w:firstLine="0"/>
              <w:jc w:val="left"/>
            </w:pPr>
            <w:r>
              <w:rPr>
                <w:sz w:val="24"/>
              </w:rPr>
              <w:t xml:space="preserve">Có, tại Quyết định 217</w:t>
            </w:r>
          </w:p>
        </w:tc>
        <w:tc>
          <w:tcPr>
            <w:tcW w:w="2238" w:type="dxa"/>
            <w:vAlign w:val="center"/>
          </w:tcPr>
          <w:p>
            <w:pPr>
              <w:spacing w:before="20" w:after="20" w:line="252" w:lineRule="auto"/>
              <w:ind w:firstLine="0"/>
              <w:jc w:val="left"/>
            </w:pPr>
            <w:r>
              <w:rPr>
                <w:sz w:val="24"/>
              </w:rPr>
              <w:t xml:space="preserve">Công thức chưa công bố</w:t>
            </w:r>
          </w:p>
        </w:tc>
        <w:tc>
          <w:tcPr>
            <w:tcW w:w="1531" w:type="dxa"/>
            <w:vAlign w:val="center"/>
          </w:tcPr>
          <w:p>
            <w:pPr>
              <w:spacing w:before="20" w:after="20" w:line="252" w:lineRule="auto"/>
              <w:ind w:firstLine="0"/>
              <w:jc w:val="left"/>
            </w:pPr>
            <w:r>
              <w:rPr>
                <w:sz w:val="24"/>
              </w:rPr>
              <w:t xml:space="preserve">Không áp dụng đăng ký</w:t>
            </w:r>
          </w:p>
        </w:tc>
      </w:tr>
    </w:tbl>
    <w:p w14:paraId="645FDCAF" w14:textId="77777777" w:rsidR="005B561C" w:rsidRPr="000F7C87" w:rsidRDefault="00000000">
      <w:pPr>
        <w:spacing w:after="160"/>
        <w:ind w:firstLine="0"/>
        <w:rPr>
          <w:szCs w:val="26"/>
        </w:rPr>
      </w:pPr>
      <w:r w:rsidRPr="000F7C87">
        <w:rPr>
          <w:i/>
          <w:szCs w:val="26"/>
        </w:rPr>
        <w:t>Nguồn: Nhóm nghiên cứu tổng hợp từ Luật Sở hữu trí tuệ, Quyết định 213, Quyết định 217 và các danh mục của Trường Đại học Thành Đô. Bảng không liệt kê quyền liên quan, thiết kế bố trí, chỉ dẫn địa lý và giống cây trồng do chưa phát sinh hoặc không thuộc phạm vi hoạt động của Nhà trường.</w:t>
      </w:r>
    </w:p>
    <w:p w14:paraId="48E95726" w14:textId="77777777" w:rsidR="005B561C" w:rsidRPr="000F7C87" w:rsidRDefault="00000000">
      <w:pPr>
        <w:rPr>
          <w:szCs w:val="26"/>
        </w:rPr>
      </w:pPr>
      <w:r w:rsidRPr="000F7C87">
        <w:rPr>
          <w:szCs w:val="26"/>
        </w:rPr>
        <w:t>Bảng 2.5 cho thấy Nhà trường phát sinh tài sản ở nhiều nhóm đối tượng nhưng mới xác lập quyền ở bốn nhóm, trong đó ba nhóm đã có văn bằng. Giải pháp hữu ích và sưu tập dữ liệu, hai nhóm mà sản phẩm đề tài cấp cơ sở rơi vào nhiều nhất, đều đã có trong quy chế nhưng chưa sản phẩm nào được xác lập quyền; giáo trình, nhóm có khả năng khai thác trong đào tạo, chưa được đăng ký quyền tác giả. Khoảng trống vì vậy nằm ở khâu nhận diện, không nằm ở phạm vi văn bản.</w:t>
      </w:r>
    </w:p>
    <w:p w14:paraId="0DE297E1" w14:textId="77777777" w:rsidR="005B561C" w:rsidRPr="000F7C87" w:rsidRDefault="00000000">
      <w:pPr>
        <w:keepNext/>
        <w:spacing w:before="200" w:after="100"/>
        <w:ind w:firstLine="0"/>
        <w:outlineLvl w:val="2"/>
        <w:rPr>
          <w:szCs w:val="26"/>
        </w:rPr>
      </w:pPr>
      <w:r w:rsidRPr="000F7C87">
        <w:rPr>
          <w:b/>
          <w:szCs w:val="26"/>
        </w:rPr>
        <w:t>2.3.2. Tài sản trí tuệ đã được xác lập quyền</w:t>
      </w:r>
    </w:p>
    <w:p w14:paraId="48E95726" w14:textId="77777777" w:rsidR="005B561C" w:rsidRPr="000F7C87" w:rsidRDefault="00000000">
      <w:pPr>
        <w:rPr>
          <w:szCs w:val="26"/>
        </w:rPr>
      </w:pPr>
      <w:r w:rsidRPr="000F7C87">
        <w:rPr>
          <w:szCs w:val="26"/>
        </w:rPr>
        <w:t>Đến thời điểm nghiên cứu, Nhà trường sở hữu 12 tài sản trí tuệ đã được xác lập quyền hoặc đang xử lý đơn, được liệt kê tại Bảng 2.6.</w:t>
      </w:r>
    </w:p>
    <w:p w14:paraId="478B6AC7" w14:textId="77777777" w:rsidR="005B561C" w:rsidRPr="000F7C87" w:rsidRDefault="00000000">
      <w:pPr>
        <w:keepNext/>
        <w:spacing w:before="160" w:after="80"/>
        <w:ind w:firstLine="0"/>
        <w:jc w:val="center"/>
        <w:rPr>
          <w:szCs w:val="26"/>
        </w:rPr>
      </w:pPr>
      <w:r w:rsidRPr="000F7C87">
        <w:rPr>
          <w:b/>
          <w:szCs w:val="26"/>
        </w:rPr>
        <w:t>Bảng 2.6. Tài sản trí tuệ thuộc sở hữu của Trường Đại học Thành Đô</w:t>
      </w:r>
    </w:p>
    <w:tbl>
      <w:tblPr>
        <w:tblStyle w:val="TableGrid"/>
        <w:tblW w:w="0" w:type="auto"/>
        <w:jc w:val="center"/>
        <w:tblLook w:val="04A0" w:firstRow="1" w:lastRow="0" w:firstColumn="1" w:lastColumn="0" w:noHBand="0" w:noVBand="1"/>
      </w:tblPr>
      <w:tblGrid>
        <w:gridCol w:w="566"/>
        <w:gridCol w:w="1360"/>
        <w:gridCol w:w="2380"/>
        <w:gridCol w:w="793"/>
        <w:gridCol w:w="1190"/>
        <w:gridCol w:w="1417"/>
        <w:gridCol w:w="1360"/>
      </w:tblGrid>
      <w:tr>
        <w:trPr>
          <w:cantSplit/>
          <w:tblHeader/>
        </w:trPr>
        <w:tc>
          <w:tcPr>
            <w:tcW w:w="566" w:type="dxa"/>
            <w:shd w:val="clear" w:color="auto" w:fill="DCE8F7"/>
            <w:vAlign w:val="center"/>
          </w:tcPr>
          <w:p>
            <w:pPr>
              <w:spacing w:before="20" w:after="20" w:line="252" w:lineRule="auto"/>
              <w:ind w:firstLine="0"/>
              <w:jc w:val="center"/>
            </w:pPr>
            <w:r>
              <w:rPr>
                <w:b/>
                <w:sz w:val="24"/>
              </w:rPr>
              <w:t xml:space="preserve">TT</w:t>
            </w:r>
          </w:p>
        </w:tc>
        <w:tc>
          <w:tcPr>
            <w:tcW w:w="1360" w:type="dxa"/>
            <w:shd w:val="clear" w:color="auto" w:fill="DCE8F7"/>
            <w:vAlign w:val="center"/>
          </w:tcPr>
          <w:p>
            <w:pPr>
              <w:spacing w:before="20" w:after="20" w:line="252" w:lineRule="auto"/>
              <w:ind w:firstLine="0"/>
              <w:jc w:val="center"/>
            </w:pPr>
            <w:r>
              <w:rPr>
                <w:b/>
                <w:sz w:val="24"/>
              </w:rPr>
              <w:t xml:space="preserve">Loại hình</w:t>
            </w:r>
          </w:p>
        </w:tc>
        <w:tc>
          <w:tcPr>
            <w:tcW w:w="2380" w:type="dxa"/>
            <w:shd w:val="clear" w:color="auto" w:fill="DCE8F7"/>
            <w:vAlign w:val="center"/>
          </w:tcPr>
          <w:p>
            <w:pPr>
              <w:spacing w:before="20" w:after="20" w:line="252" w:lineRule="auto"/>
              <w:ind w:firstLine="0"/>
              <w:jc w:val="center"/>
            </w:pPr>
            <w:r>
              <w:rPr>
                <w:b/>
                <w:sz w:val="24"/>
              </w:rPr>
              <w:t xml:space="preserve">Tên tài sản</w:t>
            </w:r>
          </w:p>
        </w:tc>
        <w:tc>
          <w:tcPr>
            <w:tcW w:w="793" w:type="dxa"/>
            <w:shd w:val="clear" w:color="auto" w:fill="DCE8F7"/>
            <w:vAlign w:val="center"/>
          </w:tcPr>
          <w:p>
            <w:pPr>
              <w:spacing w:before="20" w:after="20" w:line="252" w:lineRule="auto"/>
              <w:ind w:firstLine="0"/>
              <w:jc w:val="center"/>
            </w:pPr>
            <w:r>
              <w:rPr>
                <w:b/>
                <w:sz w:val="24"/>
              </w:rPr>
              <w:t xml:space="preserve">Năm</w:t>
            </w:r>
          </w:p>
        </w:tc>
        <w:tc>
          <w:tcPr>
            <w:tcW w:w="1190" w:type="dxa"/>
            <w:shd w:val="clear" w:color="auto" w:fill="DCE8F7"/>
            <w:vAlign w:val="center"/>
          </w:tcPr>
          <w:p>
            <w:pPr>
              <w:spacing w:before="20" w:after="20" w:line="252" w:lineRule="auto"/>
              <w:ind w:firstLine="0"/>
              <w:jc w:val="center"/>
            </w:pPr>
            <w:r>
              <w:rPr>
                <w:b/>
                <w:sz w:val="24"/>
              </w:rPr>
              <w:t xml:space="preserve">Trạng thái</w:t>
            </w:r>
          </w:p>
        </w:tc>
        <w:tc>
          <w:tcPr>
            <w:tcW w:w="1417" w:type="dxa"/>
            <w:shd w:val="clear" w:color="auto" w:fill="DCE8F7"/>
            <w:vAlign w:val="center"/>
          </w:tcPr>
          <w:p>
            <w:pPr>
              <w:spacing w:before="20" w:after="20" w:line="252" w:lineRule="auto"/>
              <w:ind w:firstLine="0"/>
              <w:jc w:val="center"/>
            </w:pPr>
            <w:r>
              <w:rPr>
                <w:b/>
                <w:sz w:val="24"/>
              </w:rPr>
              <w:t xml:space="preserve">Cơ cấu sở hữu</w:t>
            </w:r>
          </w:p>
        </w:tc>
        <w:tc>
          <w:tcPr>
            <w:tcW w:w="1360" w:type="dxa"/>
            <w:shd w:val="clear" w:color="auto" w:fill="DCE8F7"/>
            <w:vAlign w:val="center"/>
          </w:tcPr>
          <w:p>
            <w:pPr>
              <w:spacing w:before="20" w:after="20" w:line="252" w:lineRule="auto"/>
              <w:ind w:firstLine="0"/>
              <w:jc w:val="center"/>
            </w:pPr>
            <w:r>
              <w:rPr>
                <w:b/>
                <w:sz w:val="24"/>
              </w:rPr>
              <w:t xml:space="preserve">Nguồn hình thành</w:t>
            </w:r>
          </w:p>
        </w:tc>
      </w:tr>
      <w:tr>
        <w:trPr>
          <w:cantSplit/>
        </w:trPr>
        <w:tc>
          <w:tcPr>
            <w:tcW w:w="566" w:type="dxa"/>
            <w:vAlign w:val="center"/>
          </w:tcPr>
          <w:p>
            <w:pPr>
              <w:spacing w:before="20" w:after="20" w:line="252" w:lineRule="auto"/>
              <w:ind w:firstLine="0"/>
              <w:jc w:val="center"/>
            </w:pPr>
            <w:r>
              <w:rPr>
                <w:sz w:val="24"/>
              </w:rPr>
              <w:t xml:space="preserve">1</w:t>
            </w:r>
          </w:p>
        </w:tc>
        <w:tc>
          <w:tcPr>
            <w:tcW w:w="1360" w:type="dxa"/>
            <w:vAlign w:val="center"/>
          </w:tcPr>
          <w:p>
            <w:pPr>
              <w:spacing w:before="20" w:after="20" w:line="252" w:lineRule="auto"/>
              <w:ind w:firstLine="0"/>
              <w:jc w:val="left"/>
            </w:pPr>
            <w:r>
              <w:rPr>
                <w:sz w:val="24"/>
              </w:rPr>
              <w:t xml:space="preserve">Quyền tác giả</w:t>
            </w:r>
          </w:p>
        </w:tc>
        <w:tc>
          <w:tcPr>
            <w:tcW w:w="2380" w:type="dxa"/>
            <w:vAlign w:val="center"/>
          </w:tcPr>
          <w:p>
            <w:pPr>
              <w:spacing w:before="20" w:after="20" w:line="252" w:lineRule="auto"/>
              <w:ind w:firstLine="0"/>
              <w:jc w:val="left"/>
            </w:pPr>
            <w:r>
              <w:rPr>
                <w:sz w:val="24"/>
              </w:rPr>
              <w:t xml:space="preserve">Bộ Logo Trường Đại học Thành Đô</w:t>
            </w:r>
          </w:p>
        </w:tc>
        <w:tc>
          <w:tcPr>
            <w:tcW w:w="793" w:type="dxa"/>
            <w:vAlign w:val="center"/>
          </w:tcPr>
          <w:p>
            <w:pPr>
              <w:spacing w:before="20" w:after="20" w:line="252" w:lineRule="auto"/>
              <w:ind w:firstLine="0"/>
              <w:jc w:val="center"/>
            </w:pPr>
            <w:r>
              <w:rPr>
                <w:sz w:val="24"/>
              </w:rPr>
              <w:t xml:space="preserve">2021</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Thương hiệu</w:t>
            </w:r>
          </w:p>
        </w:tc>
      </w:tr>
      <w:tr>
        <w:trPr>
          <w:cantSplit/>
        </w:trPr>
        <w:tc>
          <w:tcPr>
            <w:tcW w:w="566" w:type="dxa"/>
            <w:vAlign w:val="center"/>
          </w:tcPr>
          <w:p>
            <w:pPr>
              <w:spacing w:before="20" w:after="20" w:line="252" w:lineRule="auto"/>
              <w:ind w:firstLine="0"/>
              <w:jc w:val="center"/>
            </w:pPr>
            <w:r>
              <w:rPr>
                <w:sz w:val="24"/>
              </w:rPr>
              <w:t xml:space="preserve">2</w:t>
            </w:r>
          </w:p>
        </w:tc>
        <w:tc>
          <w:tcPr>
            <w:tcW w:w="1360" w:type="dxa"/>
            <w:vAlign w:val="center"/>
          </w:tcPr>
          <w:p>
            <w:pPr>
              <w:spacing w:before="20" w:after="20" w:line="252" w:lineRule="auto"/>
              <w:ind w:firstLine="0"/>
              <w:jc w:val="left"/>
            </w:pPr>
            <w:r>
              <w:rPr>
                <w:sz w:val="24"/>
              </w:rPr>
              <w:t xml:space="preserve">Quyền tác giả</w:t>
            </w:r>
          </w:p>
        </w:tc>
        <w:tc>
          <w:tcPr>
            <w:tcW w:w="2380" w:type="dxa"/>
            <w:vAlign w:val="center"/>
          </w:tcPr>
          <w:p>
            <w:pPr>
              <w:spacing w:before="20" w:after="20" w:line="252" w:lineRule="auto"/>
              <w:ind w:firstLine="0"/>
              <w:jc w:val="left"/>
            </w:pPr>
            <w:r>
              <w:rPr>
                <w:sz w:val="24"/>
              </w:rPr>
              <w:t xml:space="preserve">Bộ Logo Hệ sinh thái giáo dục</w:t>
            </w:r>
          </w:p>
        </w:tc>
        <w:tc>
          <w:tcPr>
            <w:tcW w:w="793" w:type="dxa"/>
            <w:vAlign w:val="center"/>
          </w:tcPr>
          <w:p>
            <w:pPr>
              <w:spacing w:before="20" w:after="20" w:line="252" w:lineRule="auto"/>
              <w:ind w:firstLine="0"/>
              <w:jc w:val="center"/>
            </w:pPr>
            <w:r>
              <w:rPr>
                <w:sz w:val="24"/>
              </w:rPr>
              <w:t xml:space="preserve">2023</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Thương hiệu</w:t>
            </w:r>
          </w:p>
        </w:tc>
      </w:tr>
      <w:tr>
        <w:trPr>
          <w:cantSplit/>
        </w:trPr>
        <w:tc>
          <w:tcPr>
            <w:tcW w:w="566" w:type="dxa"/>
            <w:vAlign w:val="center"/>
          </w:tcPr>
          <w:p>
            <w:pPr>
              <w:spacing w:before="20" w:after="20" w:line="252" w:lineRule="auto"/>
              <w:ind w:firstLine="0"/>
              <w:jc w:val="center"/>
            </w:pPr>
            <w:r>
              <w:rPr>
                <w:sz w:val="24"/>
              </w:rPr>
              <w:t xml:space="preserve">3</w:t>
            </w:r>
          </w:p>
        </w:tc>
        <w:tc>
          <w:tcPr>
            <w:tcW w:w="1360" w:type="dxa"/>
            <w:vAlign w:val="center"/>
          </w:tcPr>
          <w:p>
            <w:pPr>
              <w:spacing w:before="20" w:after="20" w:line="252" w:lineRule="auto"/>
              <w:ind w:firstLine="0"/>
              <w:jc w:val="left"/>
            </w:pPr>
            <w:r>
              <w:rPr>
                <w:sz w:val="24"/>
              </w:rPr>
              <w:t xml:space="preserve">Nhãn hiệu</w:t>
            </w:r>
          </w:p>
        </w:tc>
        <w:tc>
          <w:tcPr>
            <w:tcW w:w="2380" w:type="dxa"/>
            <w:vAlign w:val="center"/>
          </w:tcPr>
          <w:p>
            <w:pPr>
              <w:spacing w:before="20" w:after="20" w:line="252" w:lineRule="auto"/>
              <w:ind w:firstLine="0"/>
              <w:jc w:val="left"/>
            </w:pPr>
            <w:r>
              <w:rPr>
                <w:sz w:val="24"/>
              </w:rPr>
              <w:t xml:space="preserve">Thanh do University</w:t>
            </w:r>
          </w:p>
        </w:tc>
        <w:tc>
          <w:tcPr>
            <w:tcW w:w="793" w:type="dxa"/>
            <w:vAlign w:val="center"/>
          </w:tcPr>
          <w:p>
            <w:pPr>
              <w:spacing w:before="20" w:after="20" w:line="252" w:lineRule="auto"/>
              <w:ind w:firstLine="0"/>
              <w:jc w:val="center"/>
            </w:pPr>
            <w:r>
              <w:rPr>
                <w:sz w:val="24"/>
              </w:rPr>
              <w:t xml:space="preserve">2023</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Thương hiệu</w:t>
            </w:r>
          </w:p>
        </w:tc>
      </w:tr>
      <w:tr>
        <w:trPr>
          <w:cantSplit/>
        </w:trPr>
        <w:tc>
          <w:tcPr>
            <w:tcW w:w="566" w:type="dxa"/>
            <w:vAlign w:val="center"/>
          </w:tcPr>
          <w:p>
            <w:pPr>
              <w:spacing w:before="20" w:after="20" w:line="252" w:lineRule="auto"/>
              <w:ind w:firstLine="0"/>
              <w:jc w:val="center"/>
            </w:pPr>
            <w:r>
              <w:rPr>
                <w:sz w:val="24"/>
              </w:rPr>
              <w:t xml:space="preserve">4</w:t>
            </w:r>
          </w:p>
        </w:tc>
        <w:tc>
          <w:tcPr>
            <w:tcW w:w="1360" w:type="dxa"/>
            <w:vAlign w:val="center"/>
          </w:tcPr>
          <w:p>
            <w:pPr>
              <w:spacing w:before="20" w:after="20" w:line="252" w:lineRule="auto"/>
              <w:ind w:firstLine="0"/>
              <w:jc w:val="left"/>
            </w:pPr>
            <w:r>
              <w:rPr>
                <w:sz w:val="24"/>
              </w:rPr>
              <w:t xml:space="preserve">Nhãn hiệu</w:t>
            </w:r>
          </w:p>
        </w:tc>
        <w:tc>
          <w:tcPr>
            <w:tcW w:w="2380" w:type="dxa"/>
            <w:vAlign w:val="center"/>
          </w:tcPr>
          <w:p>
            <w:pPr>
              <w:spacing w:before="20" w:after="20" w:line="252" w:lineRule="auto"/>
              <w:ind w:firstLine="0"/>
              <w:jc w:val="left"/>
            </w:pPr>
            <w:r>
              <w:rPr>
                <w:sz w:val="24"/>
              </w:rPr>
              <w:t xml:space="preserve">Thado Edupark</w:t>
            </w:r>
          </w:p>
        </w:tc>
        <w:tc>
          <w:tcPr>
            <w:tcW w:w="793" w:type="dxa"/>
            <w:vAlign w:val="center"/>
          </w:tcPr>
          <w:p>
            <w:pPr>
              <w:spacing w:before="20" w:after="20" w:line="252" w:lineRule="auto"/>
              <w:ind w:firstLine="0"/>
              <w:jc w:val="center"/>
            </w:pPr>
            <w:r>
              <w:rPr>
                <w:sz w:val="24"/>
              </w:rPr>
              <w:t xml:space="preserve">2025</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Thương hiệu</w:t>
            </w:r>
          </w:p>
        </w:tc>
      </w:tr>
      <w:tr>
        <w:trPr>
          <w:cantSplit/>
        </w:trPr>
        <w:tc>
          <w:tcPr>
            <w:tcW w:w="566" w:type="dxa"/>
            <w:vAlign w:val="center"/>
          </w:tcPr>
          <w:p>
            <w:pPr>
              <w:spacing w:before="20" w:after="20" w:line="252" w:lineRule="auto"/>
              <w:ind w:firstLine="0"/>
              <w:jc w:val="center"/>
            </w:pPr>
            <w:r>
              <w:rPr>
                <w:sz w:val="24"/>
              </w:rPr>
              <w:t xml:space="preserve">5</w:t>
            </w:r>
          </w:p>
        </w:tc>
        <w:tc>
          <w:tcPr>
            <w:tcW w:w="1360" w:type="dxa"/>
            <w:vAlign w:val="center"/>
          </w:tcPr>
          <w:p>
            <w:pPr>
              <w:spacing w:before="20" w:after="20" w:line="252" w:lineRule="auto"/>
              <w:ind w:firstLine="0"/>
              <w:jc w:val="left"/>
            </w:pPr>
            <w:r>
              <w:rPr>
                <w:sz w:val="24"/>
              </w:rPr>
              <w:t xml:space="preserve">Nhãn hiệu</w:t>
            </w:r>
          </w:p>
        </w:tc>
        <w:tc>
          <w:tcPr>
            <w:tcW w:w="2380" w:type="dxa"/>
            <w:vAlign w:val="center"/>
          </w:tcPr>
          <w:p>
            <w:pPr>
              <w:spacing w:before="20" w:after="20" w:line="252" w:lineRule="auto"/>
              <w:ind w:firstLine="0"/>
              <w:jc w:val="left"/>
            </w:pPr>
            <w:r>
              <w:rPr>
                <w:sz w:val="24"/>
              </w:rPr>
              <w:t xml:space="preserve">Double2n</w:t>
            </w:r>
          </w:p>
        </w:tc>
        <w:tc>
          <w:tcPr>
            <w:tcW w:w="793" w:type="dxa"/>
            <w:vAlign w:val="center"/>
          </w:tcPr>
          <w:p>
            <w:pPr>
              <w:spacing w:before="20" w:after="20" w:line="252" w:lineRule="auto"/>
              <w:ind w:firstLine="0"/>
              <w:jc w:val="center"/>
            </w:pPr>
            <w:r>
              <w:rPr>
                <w:sz w:val="24"/>
              </w:rPr>
              <w:t xml:space="preserve">2023</w:t>
            </w:r>
          </w:p>
        </w:tc>
        <w:tc>
          <w:tcPr>
            <w:tcW w:w="1190" w:type="dxa"/>
            <w:vAlign w:val="center"/>
          </w:tcPr>
          <w:p>
            <w:pPr>
              <w:spacing w:before="20" w:after="20" w:line="252" w:lineRule="auto"/>
              <w:ind w:firstLine="0"/>
              <w:jc w:val="left"/>
            </w:pPr>
            <w:r>
              <w:rPr>
                <w:sz w:val="24"/>
              </w:rPr>
              <w:t xml:space="preserve">Đang xử lý</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cantSplit/>
        </w:trPr>
        <w:tc>
          <w:tcPr>
            <w:tcW w:w="566" w:type="dxa"/>
            <w:vAlign w:val="center"/>
          </w:tcPr>
          <w:p>
            <w:pPr>
              <w:spacing w:before="20" w:after="20" w:line="252" w:lineRule="auto"/>
              <w:ind w:firstLine="0"/>
              <w:jc w:val="center"/>
            </w:pPr>
            <w:r>
              <w:rPr>
                <w:sz w:val="24"/>
              </w:rPr>
              <w:t xml:space="preserve">6</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Dung dịch vệ sinh phụ nữ</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cantSplit/>
        </w:trPr>
        <w:tc>
          <w:tcPr>
            <w:tcW w:w="566" w:type="dxa"/>
            <w:vAlign w:val="center"/>
          </w:tcPr>
          <w:p>
            <w:pPr>
              <w:spacing w:before="20" w:after="20" w:line="252" w:lineRule="auto"/>
              <w:ind w:firstLine="0"/>
              <w:jc w:val="center"/>
            </w:pPr>
            <w:r>
              <w:rPr>
                <w:sz w:val="24"/>
              </w:rPr>
              <w:t xml:space="preserve">7</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Tinh dầu vỏ bưởi đào</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cantSplit/>
        </w:trPr>
        <w:tc>
          <w:tcPr>
            <w:tcW w:w="566" w:type="dxa"/>
            <w:vAlign w:val="center"/>
          </w:tcPr>
          <w:p>
            <w:pPr>
              <w:spacing w:before="20" w:after="20" w:line="252" w:lineRule="auto"/>
              <w:ind w:firstLine="0"/>
              <w:jc w:val="center"/>
            </w:pPr>
            <w:r>
              <w:rPr>
                <w:sz w:val="24"/>
              </w:rPr>
              <w:t xml:space="preserve">8</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Xịt miệng - họng thảo dược</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cantSplit/>
        </w:trPr>
        <w:tc>
          <w:tcPr>
            <w:tcW w:w="566" w:type="dxa"/>
            <w:vAlign w:val="center"/>
          </w:tcPr>
          <w:p>
            <w:pPr>
              <w:spacing w:before="20" w:after="20" w:line="252" w:lineRule="auto"/>
              <w:ind w:firstLine="0"/>
              <w:jc w:val="center"/>
            </w:pPr>
            <w:r>
              <w:rPr>
                <w:sz w:val="24"/>
              </w:rPr>
              <w:t xml:space="preserve">9</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Dầu gội nha đam - bưởi đào</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cantSplit/>
        </w:trPr>
        <w:tc>
          <w:tcPr>
            <w:tcW w:w="566" w:type="dxa"/>
            <w:vAlign w:val="center"/>
          </w:tcPr>
          <w:p>
            <w:pPr>
              <w:spacing w:before="20" w:after="20" w:line="252" w:lineRule="auto"/>
              <w:ind w:firstLine="0"/>
              <w:jc w:val="center"/>
            </w:pPr>
            <w:r>
              <w:rPr>
                <w:sz w:val="24"/>
              </w:rPr>
              <w:t xml:space="preserve">10</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Kem ủ xả tóc từ Bưởi, Bơ, Dừa</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cantSplit/>
        </w:trPr>
        <w:tc>
          <w:tcPr>
            <w:tcW w:w="566" w:type="dxa"/>
            <w:vAlign w:val="center"/>
          </w:tcPr>
          <w:p>
            <w:pPr>
              <w:spacing w:before="20" w:after="20" w:line="252" w:lineRule="auto"/>
              <w:ind w:firstLine="0"/>
              <w:jc w:val="center"/>
            </w:pPr>
            <w:r>
              <w:rPr>
                <w:sz w:val="24"/>
              </w:rPr>
              <w:t xml:space="preserve">11</w:t>
            </w:r>
          </w:p>
        </w:tc>
        <w:tc>
          <w:tcPr>
            <w:tcW w:w="1360" w:type="dxa"/>
            <w:vAlign w:val="center"/>
          </w:tcPr>
          <w:p>
            <w:pPr>
              <w:spacing w:before="20" w:after="20" w:line="252" w:lineRule="auto"/>
              <w:ind w:firstLine="0"/>
              <w:jc w:val="left"/>
            </w:pPr>
            <w:r>
              <w:rPr>
                <w:sz w:val="24"/>
              </w:rPr>
              <w:t xml:space="preserve">Sáng chế</w:t>
            </w:r>
          </w:p>
        </w:tc>
        <w:tc>
          <w:tcPr>
            <w:tcW w:w="2380" w:type="dxa"/>
            <w:vAlign w:val="center"/>
          </w:tcPr>
          <w:p>
            <w:pPr>
              <w:spacing w:before="20" w:after="20" w:line="252" w:lineRule="auto"/>
              <w:ind w:firstLine="0"/>
              <w:jc w:val="left"/>
            </w:pPr>
            <w:r>
              <w:rPr>
                <w:sz w:val="24"/>
              </w:rPr>
              <w:t xml:space="preserve">Hợp chất furofuran lignan glucoside từ lá cây quế hoa</w:t>
            </w:r>
          </w:p>
        </w:tc>
        <w:tc>
          <w:tcPr>
            <w:tcW w:w="793" w:type="dxa"/>
            <w:vAlign w:val="center"/>
          </w:tcPr>
          <w:p>
            <w:pPr>
              <w:spacing w:before="20" w:after="20" w:line="252" w:lineRule="auto"/>
              <w:ind w:firstLine="0"/>
              <w:jc w:val="center"/>
            </w:pPr>
            <w:r>
              <w:rPr>
                <w:sz w:val="24"/>
              </w:rPr>
              <w:t xml:space="preserve">2025</w:t>
            </w:r>
          </w:p>
        </w:tc>
        <w:tc>
          <w:tcPr>
            <w:tcW w:w="1190" w:type="dxa"/>
            <w:vAlign w:val="center"/>
          </w:tcPr>
          <w:p>
            <w:pPr>
              <w:spacing w:before="20" w:after="20" w:line="252" w:lineRule="auto"/>
              <w:ind w:firstLine="0"/>
              <w:jc w:val="left"/>
            </w:pPr>
            <w:r>
              <w:rPr>
                <w:sz w:val="24"/>
              </w:rPr>
              <w:t xml:space="preserve">Đang xử lý</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Nghiên cứu</w:t>
            </w:r>
          </w:p>
        </w:tc>
      </w:tr>
      <w:tr>
        <w:trPr>
          <w:cantSplit/>
        </w:trPr>
        <w:tc>
          <w:tcPr>
            <w:tcW w:w="566" w:type="dxa"/>
            <w:vAlign w:val="center"/>
          </w:tcPr>
          <w:p>
            <w:pPr>
              <w:spacing w:before="20" w:after="20" w:line="252" w:lineRule="auto"/>
              <w:ind w:firstLine="0"/>
              <w:jc w:val="center"/>
            </w:pPr>
            <w:r>
              <w:rPr>
                <w:sz w:val="24"/>
              </w:rPr>
              <w:t xml:space="preserve">12</w:t>
            </w:r>
          </w:p>
        </w:tc>
        <w:tc>
          <w:tcPr>
            <w:tcW w:w="1360" w:type="dxa"/>
            <w:vAlign w:val="center"/>
          </w:tcPr>
          <w:p>
            <w:pPr>
              <w:spacing w:before="20" w:after="20" w:line="252" w:lineRule="auto"/>
              <w:ind w:firstLine="0"/>
              <w:jc w:val="left"/>
            </w:pPr>
            <w:r>
              <w:rPr>
                <w:sz w:val="24"/>
              </w:rPr>
              <w:t xml:space="preserve">Sáng chế</w:t>
            </w:r>
          </w:p>
        </w:tc>
        <w:tc>
          <w:tcPr>
            <w:tcW w:w="2380" w:type="dxa"/>
            <w:vAlign w:val="center"/>
          </w:tcPr>
          <w:p>
            <w:pPr>
              <w:spacing w:before="20" w:after="20" w:line="252" w:lineRule="auto"/>
              <w:ind w:firstLine="0"/>
              <w:jc w:val="left"/>
            </w:pPr>
            <w:r>
              <w:rPr>
                <w:sz w:val="24"/>
              </w:rPr>
              <w:t xml:space="preserve">Phương pháp chiết tách hợp chất Isoembigenin từ cây Piper aduncum L</w:t>
            </w:r>
          </w:p>
        </w:tc>
        <w:tc>
          <w:tcPr>
            <w:tcW w:w="793" w:type="dxa"/>
            <w:vAlign w:val="center"/>
          </w:tcPr>
          <w:p>
            <w:pPr>
              <w:spacing w:before="20" w:after="20" w:line="252" w:lineRule="auto"/>
              <w:ind w:firstLine="0"/>
              <w:jc w:val="center"/>
            </w:pPr>
            <w:r>
              <w:rPr>
                <w:sz w:val="24"/>
              </w:rPr>
              <w:t xml:space="preserve">2026</w:t>
            </w:r>
          </w:p>
        </w:tc>
        <w:tc>
          <w:tcPr>
            <w:tcW w:w="1190" w:type="dxa"/>
            <w:vAlign w:val="center"/>
          </w:tcPr>
          <w:p>
            <w:pPr>
              <w:spacing w:before="20" w:after="20" w:line="252" w:lineRule="auto"/>
              <w:ind w:firstLine="0"/>
              <w:jc w:val="left"/>
            </w:pPr>
            <w:r>
              <w:rPr>
                <w:sz w:val="24"/>
              </w:rPr>
              <w:t xml:space="preserve">Đang xử lý</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Nghiên cứu</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theo dõi đơn nhãn hiệu, kiểu dáng công nghiệp và thống kê văn bằng của Trường Đại học Thành Đô. Năm là năm cấp văn bằng hoặc năm nộp đơn đối với hồ sơ đang xử lý; danh mục chưa ghi số đơn của hai sáng chế.</w:t>
      </w:r>
    </w:p>
    <w:p w14:paraId="478B6AC7" w14:textId="77777777" w:rsidR="005B561C" w:rsidRPr="000F7C87" w:rsidRDefault="00000000">
      <w:pPr>
        <w:keepNext/>
        <w:spacing w:before="160" w:after="80"/>
        <w:ind w:firstLine="0"/>
        <w:jc w:val="center"/>
        <w:rPr>
          <w:szCs w:val="26"/>
        </w:rPr>
      </w:pPr>
      <w:r w:rsidRPr="000F7C87">
        <w:rPr>
          <w:b/>
          <w:szCs w:val="26"/>
        </w:rPr>
        <w:t>Hình 2.6. Tài sản trí tuệ của Nhà trường theo loại hình và tình trạng pháp lý</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35999"/>
            <wp:effectExtent l="0" t="0" r="0" b="0"/>
            <wp:docPr id="506" name="Biểu đồ 506" descr="Hình 2.6. Tài sản trí tuệ của Nhà trường theo loại hình và tình trạng pháp lý"/>
            <wp:cNvGraphicFramePr/>
            <a:graphic>
              <a:graphicData uri="http://schemas.openxmlformats.org/drawingml/2006/chart">
                <c:chart r:id="rId13"/>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2.6.</w:t>
      </w:r>
    </w:p>
    <w:p w14:paraId="48E95726" w14:textId="77777777" w:rsidR="005B561C" w:rsidRPr="000F7C87" w:rsidRDefault="00000000">
      <w:pPr>
        <w:rPr>
          <w:szCs w:val="26"/>
        </w:rPr>
      </w:pPr>
      <w:r w:rsidRPr="000F7C87">
        <w:rPr>
          <w:szCs w:val="26"/>
        </w:rPr>
        <w:t>Bảng 2.6 và Hình 2.6 cho thấy danh mục hình thành từ ba luồng với kết quả rất khác nhau. Luồng thương hiệu gồm 4 tài sản, đều do Nhà trường đơn sở hữu và đều đã có văn bằng. Luồng hợp tác doanh nghiệp gồm 5 kiểu dáng công nghiệp và 1 nhãn hiệu, đều đồng sở hữu với cùng một doanh nghiệp; riêng năm 2024 có 5 kiểu dáng được cấp, nâng số lũy kế từ 4 lên 9 tài sản. Luồng nghiên cứu chỉ có 2 đơn sáng chế nộp năm 2025 và 2026, chưa có văn bằng. Như vậy, khoảng 475 sản phẩm khoa học chỉ đóng góp 2 trên 12 tài sản; năng lực xác lập quyền sở hữu công nghiệp phụ thuộc đáng kể vào một đối tác; và kiểu dáng công nghiệp chỉ bảo hộ hình dáng bên ngoài, không bảo hộ công thức hay quy trình. Giải pháp hữu ích, loại hình phù hợp nhất với sản phẩm đề tài cấp cơ sở, vắng mặt hoàn toàn.</w:t>
      </w:r>
    </w:p>
    <w:p w14:paraId="48E95726" w14:textId="77777777" w:rsidR="005B561C" w:rsidRPr="000F7C87" w:rsidRDefault="00000000">
      <w:pPr>
        <w:rPr>
          <w:szCs w:val="26"/>
        </w:rPr>
      </w:pPr>
      <w:r w:rsidRPr="000F7C87">
        <w:rPr>
          <w:szCs w:val="26"/>
        </w:rPr>
        <w:t>Về bảo vệ quyền, giai đoạn nghiên cứu không ghi nhận tranh chấp, khiếu nại hay xử lý xâm phạm liên quan đến Nhà trường, phù hợp với quy mô tài sản nhỏ và mức khai thác hạn chế. Thời hạn văn bằng được theo dõi trong bảng do bộ phận quản trị thương hiệu lập; do 5 kiểu dáng được cấp cùng năm 2024, việc gia hạn sẽ dồn vào cùng một thời điểm nên cần được đưa vào sổ theo dõi thống nhất.</w:t>
      </w:r>
    </w:p>
    <w:p w14:paraId="0DE297E1" w14:textId="77777777" w:rsidR="005B561C" w:rsidRPr="000F7C87" w:rsidRDefault="00000000">
      <w:pPr>
        <w:keepNext/>
        <w:spacing w:before="200" w:after="100"/>
        <w:ind w:firstLine="0"/>
        <w:outlineLvl w:val="2"/>
        <w:rPr>
          <w:szCs w:val="26"/>
        </w:rPr>
      </w:pPr>
      <w:r w:rsidRPr="000F7C87">
        <w:rPr>
          <w:b/>
          <w:szCs w:val="26"/>
        </w:rPr>
        <w:t>2.3.3. Sản phẩm đề tài đủ điều kiện xác lập quyền</w:t>
      </w:r>
    </w:p>
    <w:p w14:paraId="48E95726" w14:textId="77777777" w:rsidR="005B561C" w:rsidRPr="000F7C87" w:rsidRDefault="00000000">
      <w:pPr>
        <w:rPr>
          <w:szCs w:val="26"/>
        </w:rPr>
      </w:pPr>
      <w:r w:rsidRPr="000F7C87">
        <w:rPr>
          <w:szCs w:val="26"/>
        </w:rPr>
        <w:t>Rà soát cột sản phẩm nghiệm thu của 38 đề tài cấp cơ sở cho thấy 11 đề tài có sản phẩm cụ thể đủ điều kiện xác lập quyền ngoài báo cáo và bài báo, được liệt kê tại Bảng 2.7.</w:t>
      </w:r>
    </w:p>
    <w:p w14:paraId="478B6AC7" w14:textId="77777777" w:rsidR="005B561C" w:rsidRPr="000F7C87" w:rsidRDefault="00000000">
      <w:pPr>
        <w:keepNext/>
        <w:spacing w:before="160" w:after="80"/>
        <w:ind w:firstLine="0"/>
        <w:jc w:val="center"/>
        <w:rPr>
          <w:szCs w:val="26"/>
        </w:rPr>
      </w:pPr>
      <w:r w:rsidRPr="000F7C87">
        <w:rPr>
          <w:b/>
          <w:szCs w:val="26"/>
        </w:rPr>
        <w:t>Bảng 2.7. Đề tài cấp cơ sở có sản phẩm đủ điều kiện xác lập quyền, giai đoạn 2021 - 2025</w:t>
      </w:r>
    </w:p>
    <w:tbl>
      <w:tblPr>
        <w:tblStyle w:val="TableGrid"/>
        <w:tblW w:w="0" w:type="auto"/>
        <w:jc w:val="center"/>
        <w:tblLook w:val="04A0" w:firstRow="1" w:lastRow="0" w:firstColumn="1" w:lastColumn="0" w:noHBand="0" w:noVBand="1"/>
      </w:tblPr>
      <w:tblGrid>
        <w:gridCol w:w="846"/>
        <w:gridCol w:w="1813"/>
        <w:gridCol w:w="3144"/>
        <w:gridCol w:w="1995"/>
        <w:gridCol w:w="1269"/>
      </w:tblGrid>
      <w:tr>
        <w:trPr>
          <w:cantSplit/>
          <w:tblHeader/>
        </w:trPr>
        <w:tc>
          <w:tcPr>
            <w:tcW w:w="846" w:type="dxa"/>
            <w:shd w:val="clear" w:color="auto" w:fill="DCE8F7"/>
            <w:vAlign w:val="center"/>
          </w:tcPr>
          <w:p>
            <w:pPr>
              <w:spacing w:before="20" w:after="20" w:line="252" w:lineRule="auto"/>
              <w:ind w:firstLine="0"/>
              <w:jc w:val="center"/>
            </w:pPr>
            <w:r>
              <w:rPr>
                <w:b/>
                <w:sz w:val="24"/>
              </w:rPr>
              <w:t xml:space="preserve">Năm</w:t>
            </w:r>
          </w:p>
        </w:tc>
        <w:tc>
          <w:tcPr>
            <w:tcW w:w="1813" w:type="dxa"/>
            <w:shd w:val="clear" w:color="auto" w:fill="DCE8F7"/>
            <w:vAlign w:val="center"/>
          </w:tcPr>
          <w:p>
            <w:pPr>
              <w:spacing w:before="20" w:after="20" w:line="252" w:lineRule="auto"/>
              <w:ind w:firstLine="0"/>
              <w:jc w:val="center"/>
            </w:pPr>
            <w:r>
              <w:rPr>
                <w:b/>
                <w:sz w:val="24"/>
              </w:rPr>
              <w:t xml:space="preserve">Đơn vị chủ trì</w:t>
            </w:r>
          </w:p>
        </w:tc>
        <w:tc>
          <w:tcPr>
            <w:tcW w:w="3144" w:type="dxa"/>
            <w:shd w:val="clear" w:color="auto" w:fill="DCE8F7"/>
            <w:vAlign w:val="center"/>
          </w:tcPr>
          <w:p>
            <w:pPr>
              <w:spacing w:before="20" w:after="20" w:line="252" w:lineRule="auto"/>
              <w:ind w:firstLine="0"/>
              <w:jc w:val="center"/>
            </w:pPr>
            <w:r>
              <w:rPr>
                <w:b/>
                <w:sz w:val="24"/>
              </w:rPr>
              <w:t xml:space="preserve">Sản phẩm nghiệm thu</w:t>
            </w:r>
          </w:p>
        </w:tc>
        <w:tc>
          <w:tcPr>
            <w:tcW w:w="1995" w:type="dxa"/>
            <w:shd w:val="clear" w:color="auto" w:fill="DCE8F7"/>
            <w:vAlign w:val="center"/>
          </w:tcPr>
          <w:p>
            <w:pPr>
              <w:spacing w:before="20" w:after="20" w:line="252" w:lineRule="auto"/>
              <w:ind w:firstLine="0"/>
              <w:jc w:val="center"/>
            </w:pPr>
            <w:r>
              <w:rPr>
                <w:b/>
                <w:sz w:val="24"/>
              </w:rPr>
              <w:t xml:space="preserve">Nhóm quyền có thể xác lập</w:t>
            </w:r>
          </w:p>
        </w:tc>
        <w:tc>
          <w:tcPr>
            <w:tcW w:w="1269" w:type="dxa"/>
            <w:shd w:val="clear" w:color="auto" w:fill="DCE8F7"/>
            <w:vAlign w:val="center"/>
          </w:tcPr>
          <w:p>
            <w:pPr>
              <w:spacing w:before="20" w:after="20" w:line="252" w:lineRule="auto"/>
              <w:ind w:firstLine="0"/>
              <w:jc w:val="center"/>
            </w:pPr>
            <w:r>
              <w:rPr>
                <w:b/>
                <w:sz w:val="24"/>
              </w:rPr>
              <w:t xml:space="preserve">Tình trạng</w:t>
            </w:r>
          </w:p>
        </w:tc>
      </w:tr>
      <w:tr>
        <w:trPr>
          <w:cantSplit/>
        </w:trPr>
        <w:tc>
          <w:tcPr>
            <w:tcW w:w="846" w:type="dxa"/>
            <w:vAlign w:val="center"/>
          </w:tcPr>
          <w:p>
            <w:pPr>
              <w:spacing w:before="20" w:after="20" w:line="252" w:lineRule="auto"/>
              <w:ind w:firstLine="0"/>
              <w:jc w:val="center"/>
            </w:pPr>
            <w:r>
              <w:rPr>
                <w:sz w:val="24"/>
              </w:rPr>
              <w:t xml:space="preserve">2022</w:t>
            </w:r>
          </w:p>
        </w:tc>
        <w:tc>
          <w:tcPr>
            <w:tcW w:w="1813" w:type="dxa"/>
            <w:vAlign w:val="center"/>
          </w:tcPr>
          <w:p>
            <w:pPr>
              <w:spacing w:before="20" w:after="20" w:line="252" w:lineRule="auto"/>
              <w:ind w:firstLine="0"/>
              <w:jc w:val="left"/>
            </w:pPr>
            <w:r>
              <w:rPr>
                <w:sz w:val="24"/>
              </w:rPr>
              <w:t xml:space="preserve">Khoa Công nghệ kỹ thuật Ô tô</w:t>
            </w:r>
          </w:p>
        </w:tc>
        <w:tc>
          <w:tcPr>
            <w:tcW w:w="3144" w:type="dxa"/>
            <w:vAlign w:val="center"/>
          </w:tcPr>
          <w:p>
            <w:pPr>
              <w:spacing w:before="20" w:after="20" w:line="252" w:lineRule="auto"/>
              <w:ind w:firstLine="0"/>
              <w:jc w:val="left"/>
            </w:pPr>
            <w:r>
              <w:rPr>
                <w:sz w:val="24"/>
              </w:rPr>
              <w:t xml:space="preserve">Mô hình kiểm tra và sửa chữa hệ thống khởi động điện trên ô tô</w:t>
            </w:r>
          </w:p>
        </w:tc>
        <w:tc>
          <w:tcPr>
            <w:tcW w:w="1995" w:type="dxa"/>
            <w:vAlign w:val="center"/>
          </w:tcPr>
          <w:p>
            <w:pPr>
              <w:spacing w:before="20" w:after="20" w:line="252" w:lineRule="auto"/>
              <w:ind w:firstLine="0"/>
              <w:jc w:val="left"/>
            </w:pPr>
            <w:r>
              <w:rPr>
                <w:sz w:val="24"/>
              </w:rPr>
              <w:t xml:space="preserve">Kiểu dáng công nghiệp hoặc giải pháp hữu ích</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2022</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Sản phẩm cầm máu dạng màng</w:t>
            </w:r>
          </w:p>
        </w:tc>
        <w:tc>
          <w:tcPr>
            <w:tcW w:w="1995" w:type="dxa"/>
            <w:vAlign w:val="center"/>
          </w:tcPr>
          <w:p>
            <w:pPr>
              <w:spacing w:before="20" w:after="20" w:line="252" w:lineRule="auto"/>
              <w:ind w:firstLine="0"/>
              <w:jc w:val="left"/>
            </w:pPr>
            <w:r>
              <w:rPr>
                <w:sz w:val="24"/>
              </w:rPr>
              <w:t xml:space="preserve">Giải pháp hữu ích hoặc sáng chế</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2022</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Bộ mẫu cây thuốc</w:t>
            </w:r>
          </w:p>
        </w:tc>
        <w:tc>
          <w:tcPr>
            <w:tcW w:w="1995" w:type="dxa"/>
            <w:vAlign w:val="center"/>
          </w:tcPr>
          <w:p>
            <w:pPr>
              <w:spacing w:before="20" w:after="20" w:line="252" w:lineRule="auto"/>
              <w:ind w:firstLine="0"/>
              <w:jc w:val="left"/>
            </w:pPr>
            <w:r>
              <w:rPr>
                <w:sz w:val="24"/>
              </w:rPr>
              <w:t xml:space="preserve">Sưu tập dữ liệu</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2023</w:t>
            </w:r>
          </w:p>
        </w:tc>
        <w:tc>
          <w:tcPr>
            <w:tcW w:w="1813" w:type="dxa"/>
            <w:vAlign w:val="center"/>
          </w:tcPr>
          <w:p>
            <w:pPr>
              <w:spacing w:before="20" w:after="20" w:line="252" w:lineRule="auto"/>
              <w:ind w:firstLine="0"/>
              <w:jc w:val="left"/>
            </w:pPr>
            <w:r>
              <w:rPr>
                <w:sz w:val="24"/>
              </w:rPr>
              <w:t xml:space="preserve">Viện Nghiên cứu giáo dục và Chuyển giao tri thức</w:t>
            </w:r>
          </w:p>
        </w:tc>
        <w:tc>
          <w:tcPr>
            <w:tcW w:w="3144" w:type="dxa"/>
            <w:vAlign w:val="center"/>
          </w:tcPr>
          <w:p>
            <w:pPr>
              <w:spacing w:before="20" w:after="20" w:line="252" w:lineRule="auto"/>
              <w:ind w:firstLine="0"/>
              <w:jc w:val="left"/>
            </w:pPr>
            <w:r>
              <w:rPr>
                <w:sz w:val="24"/>
              </w:rPr>
              <w:t xml:space="preserve">Tinh dầu Citrus grandis, hồ sơ ghi chuyển giao cho Trường thương mại hóa</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2024</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Xà phòng hữu cơ tảo biển kèm quy trình và công thức</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2024</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100 tiêu bản hiển vi và cẩm nang phát hiện giun sán</w:t>
            </w:r>
          </w:p>
        </w:tc>
        <w:tc>
          <w:tcPr>
            <w:tcW w:w="1995" w:type="dxa"/>
            <w:vAlign w:val="center"/>
          </w:tcPr>
          <w:p>
            <w:pPr>
              <w:spacing w:before="20" w:after="20" w:line="252" w:lineRule="auto"/>
              <w:ind w:firstLine="0"/>
              <w:jc w:val="left"/>
            </w:pPr>
            <w:r>
              <w:rPr>
                <w:sz w:val="24"/>
              </w:rPr>
              <w:t xml:space="preserve">Sưu tập dữ liệu, quyền tác giả</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2024</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Rutin độ tinh khiết 90% kèm quy trình chiết xuất, tinh chế</w:t>
            </w:r>
          </w:p>
        </w:tc>
        <w:tc>
          <w:tcPr>
            <w:tcW w:w="1995" w:type="dxa"/>
            <w:vAlign w:val="center"/>
          </w:tcPr>
          <w:p>
            <w:pPr>
              <w:spacing w:before="20" w:after="20" w:line="252" w:lineRule="auto"/>
              <w:ind w:firstLine="0"/>
              <w:jc w:val="left"/>
            </w:pPr>
            <w:r>
              <w:rPr>
                <w:sz w:val="24"/>
              </w:rPr>
              <w:t xml:space="preserve">Giải pháp hữu ích hoặc sáng chế</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2024</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Thang thuốc 100 ml kèm công thức và quy trình sắc</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2025</w:t>
            </w:r>
          </w:p>
        </w:tc>
        <w:tc>
          <w:tcPr>
            <w:tcW w:w="1813" w:type="dxa"/>
            <w:vAlign w:val="center"/>
          </w:tcPr>
          <w:p>
            <w:pPr>
              <w:spacing w:before="20" w:after="20" w:line="252" w:lineRule="auto"/>
              <w:ind w:firstLine="0"/>
              <w:jc w:val="left"/>
            </w:pPr>
            <w:r>
              <w:rPr>
                <w:sz w:val="24"/>
              </w:rPr>
              <w:t xml:space="preserve">Viện Y - Dược</w:t>
            </w:r>
          </w:p>
        </w:tc>
        <w:tc>
          <w:tcPr>
            <w:tcW w:w="3144" w:type="dxa"/>
            <w:vAlign w:val="center"/>
          </w:tcPr>
          <w:p>
            <w:pPr>
              <w:spacing w:before="20" w:after="20" w:line="252" w:lineRule="auto"/>
              <w:ind w:firstLine="0"/>
              <w:jc w:val="left"/>
            </w:pPr>
            <w:r>
              <w:rPr>
                <w:sz w:val="24"/>
              </w:rPr>
              <w:t xml:space="preserve">Công thức cồn thuốc xoa bóp, hồ sơ ghi dự kiến đăng ký giải pháp hữu ích</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2025</w:t>
            </w:r>
          </w:p>
        </w:tc>
        <w:tc>
          <w:tcPr>
            <w:tcW w:w="1813" w:type="dxa"/>
            <w:vAlign w:val="center"/>
          </w:tcPr>
          <w:p>
            <w:pPr>
              <w:spacing w:before="20" w:after="20" w:line="252" w:lineRule="auto"/>
              <w:ind w:firstLine="0"/>
              <w:jc w:val="left"/>
            </w:pPr>
            <w:r>
              <w:rPr>
                <w:sz w:val="24"/>
              </w:rPr>
              <w:t xml:space="preserve">Viện Y - Dược</w:t>
            </w:r>
          </w:p>
        </w:tc>
        <w:tc>
          <w:tcPr>
            <w:tcW w:w="3144" w:type="dxa"/>
            <w:vAlign w:val="center"/>
          </w:tcPr>
          <w:p>
            <w:pPr>
              <w:spacing w:before="20" w:after="20" w:line="252" w:lineRule="auto"/>
              <w:ind w:firstLine="0"/>
              <w:jc w:val="left"/>
            </w:pPr>
            <w:r>
              <w:rPr>
                <w:sz w:val="24"/>
              </w:rPr>
              <w:t xml:space="preserve">Quy trình bào chế viên ngậm giảm ho, hồ sơ ghi dự kiến đăng ký giải pháp hữu ích</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2025</w:t>
            </w:r>
          </w:p>
        </w:tc>
        <w:tc>
          <w:tcPr>
            <w:tcW w:w="1813" w:type="dxa"/>
            <w:vAlign w:val="center"/>
          </w:tcPr>
          <w:p>
            <w:pPr>
              <w:spacing w:before="20" w:after="20" w:line="252" w:lineRule="auto"/>
              <w:ind w:firstLine="0"/>
              <w:jc w:val="left"/>
            </w:pPr>
            <w:r>
              <w:rPr>
                <w:sz w:val="24"/>
              </w:rPr>
              <w:t xml:space="preserve">Viện Y - Dược</w:t>
            </w:r>
          </w:p>
        </w:tc>
        <w:tc>
          <w:tcPr>
            <w:tcW w:w="3144" w:type="dxa"/>
            <w:vAlign w:val="center"/>
          </w:tcPr>
          <w:p>
            <w:pPr>
              <w:spacing w:before="20" w:after="20" w:line="252" w:lineRule="auto"/>
              <w:ind w:firstLine="0"/>
              <w:jc w:val="left"/>
            </w:pPr>
            <w:r>
              <w:rPr>
                <w:sz w:val="24"/>
              </w:rPr>
              <w:t xml:space="preserve">Chiết xuất lá Quế hoa, hồ sơ ghi giai đoạn 2 là sáng chế</w:t>
            </w:r>
          </w:p>
        </w:tc>
        <w:tc>
          <w:tcPr>
            <w:tcW w:w="1995" w:type="dxa"/>
            <w:vAlign w:val="center"/>
          </w:tcPr>
          <w:p>
            <w:pPr>
              <w:spacing w:before="20" w:after="20" w:line="252" w:lineRule="auto"/>
              <w:ind w:firstLine="0"/>
              <w:jc w:val="left"/>
            </w:pPr>
            <w:r>
              <w:rPr>
                <w:sz w:val="24"/>
              </w:rPr>
              <w:t xml:space="preserve">Sáng chế</w:t>
            </w:r>
          </w:p>
        </w:tc>
        <w:tc>
          <w:tcPr>
            <w:tcW w:w="1269" w:type="dxa"/>
            <w:vAlign w:val="center"/>
          </w:tcPr>
          <w:p>
            <w:pPr>
              <w:spacing w:before="20" w:after="20" w:line="252" w:lineRule="auto"/>
              <w:ind w:firstLine="0"/>
              <w:jc w:val="left"/>
            </w:pPr>
            <w:r>
              <w:rPr>
                <w:sz w:val="24"/>
              </w:rPr>
              <w:t xml:space="preserve">Đã nộp đơn năm 2025</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đề tài khoa học công nghệ cấp cơ sở giai đoạn 2021 - 2025. Nhóm quyền có thể xác lập là đánh giá sơ bộ dựa trên mô tả sản phẩm trong hồ sơ nghiệm thu.</w:t>
      </w:r>
    </w:p>
    <w:p w14:paraId="478B6AC7" w14:textId="77777777" w:rsidR="005B561C" w:rsidRPr="000F7C87" w:rsidRDefault="00000000">
      <w:pPr>
        <w:keepNext/>
        <w:spacing w:before="160" w:after="80"/>
        <w:ind w:firstLine="0"/>
        <w:jc w:val="center"/>
        <w:rPr>
          <w:szCs w:val="26"/>
        </w:rPr>
      </w:pPr>
      <w:r w:rsidRPr="000F7C87">
        <w:rPr>
          <w:b/>
          <w:szCs w:val="26"/>
        </w:rPr>
        <w:t>Hình 2.7. Sản phẩm đề tài cấp cơ sở đủ điều kiện xác lập quyền theo nhóm quyền có thể xác lập</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2160000"/>
            <wp:effectExtent l="0" t="0" r="0" b="0"/>
            <wp:docPr id="507" name="Biểu đồ 507" descr="Hình 2.7. Sản phẩm đề tài cấp cơ sở đủ điều kiện xác lập quyền theo nhóm quyền có thể xác lập"/>
            <wp:cNvGraphicFramePr/>
            <a:graphic>
              <a:graphicData uri="http://schemas.openxmlformats.org/drawingml/2006/chart">
                <c:chart r:id="rId14"/>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2.7.</w:t>
      </w:r>
    </w:p>
    <w:p w14:paraId="48E95726" w14:textId="77777777" w:rsidR="005B561C" w:rsidRPr="000F7C87" w:rsidRDefault="00000000">
      <w:pPr>
        <w:rPr>
          <w:szCs w:val="26"/>
        </w:rPr>
      </w:pPr>
      <w:r w:rsidRPr="000F7C87">
        <w:rPr>
          <w:szCs w:val="26"/>
        </w:rPr>
        <w:t>Hình 2.7 cho thấy 9 trên 11 sản phẩm thuộc nhóm sở hữu công nghiệp và giải pháp hữu ích phù hợp với 8 sản phẩm. Loại hình này không đòi hỏi trình độ sáng tạo như sáng chế, có thời hạn bảo hộ ngắn hơn và phù hợp với quy mô đề tài cấp cơ sở, nhưng chưa sản phẩm nào được nộp đơn theo hình thức này. Mười trên 11 sản phẩm thuộc lĩnh vực dược, nên tiềm năng sở hữu công nghiệp của Nhà trường có thể được quản lý có trọng tâm.</w:t>
      </w:r>
    </w:p>
    <w:p w14:paraId="478B6AC7" w14:textId="77777777" w:rsidR="005B561C" w:rsidRPr="000F7C87" w:rsidRDefault="00000000">
      <w:pPr>
        <w:keepNext/>
        <w:spacing w:before="160" w:after="80"/>
        <w:ind w:firstLine="0"/>
        <w:jc w:val="center"/>
        <w:rPr>
          <w:szCs w:val="26"/>
        </w:rPr>
      </w:pPr>
      <w:r w:rsidRPr="000F7C87">
        <w:rPr>
          <w:b/>
          <w:szCs w:val="26"/>
        </w:rPr>
        <w:t>Hình 2.8. Chuỗi chuyển hóa từ đề tài cấp cơ sở sang đơn đăng ký sở hữu công nghiệp</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72000"/>
            <wp:effectExtent l="0" t="0" r="0" b="0"/>
            <wp:docPr id="508" name="Biểu đồ 508" descr="Hình 2.8. Chuỗi chuyển hóa từ đề tài cấp cơ sở sang đơn đăng ký sở hữu công nghiệp"/>
            <wp:cNvGraphicFramePr/>
            <a:graphic>
              <a:graphicData uri="http://schemas.openxmlformats.org/drawingml/2006/chart">
                <c:chart r:id="rId15"/>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tính toán từ danh mục đề tài cấp cơ sở và Bảng 2.7.</w:t>
      </w:r>
    </w:p>
    <w:p w14:paraId="48E95726" w14:textId="77777777" w:rsidR="005B561C" w:rsidRPr="000F7C87" w:rsidRDefault="00000000">
      <w:pPr>
        <w:rPr>
          <w:szCs w:val="26"/>
        </w:rPr>
      </w:pPr>
      <w:r w:rsidRPr="000F7C87">
        <w:rPr>
          <w:szCs w:val="26"/>
        </w:rPr>
        <w:t>Hình 2.8 cho thấy điểm đứt gãy nằm ở bậc thứ hai của chuỗi. Có 28,9% số đề tài tạo ra sản phẩm có thể xác lập quyền, tỷ lệ đáng ghi nhận với một trường có phần lớn ngành thuộc kinh tế, xã hội và ngôn ngữ; nhưng chỉ 9,1% số đề tài đủ điều kiện được nộp đơn. Nếu chỉ xét đề tài giao đến năm 2024, đã đủ thời gian để nộp đơn, có 8 đề tài đủ điều kiện và không đề tài nào nộp đơn. Vấn đề không nằm ở đầu vào mà ở khâu nối giữa nghiệm thu và đăng ký.</w:t>
      </w:r>
    </w:p>
    <w:p w14:paraId="48E95726" w14:textId="77777777" w:rsidR="005B561C" w:rsidRPr="000F7C87" w:rsidRDefault="00000000">
      <w:pPr>
        <w:rPr>
          <w:szCs w:val="26"/>
        </w:rPr>
      </w:pPr>
      <w:r w:rsidRPr="000F7C87">
        <w:rPr>
          <w:szCs w:val="26"/>
        </w:rPr>
        <w:t>Đề tài chiết xuất lá Quế hoa năm 2025 là đề tài cấp cơ sở duy nhất trong năm năm chuyển thành đơn sáng chế, và đơn được nộp ngay trong năm nghiệm thu. Trường hợp này cho thấy kênh chuyển hóa vận hành được trong điều kiện hiện có, nhưng mới vận hành một lần, do một chủ nhiệm đồng thời chủ trì đề tài cấp quốc gia. Hai đề tài năm 2025 khác ghi dự kiến đăng ký giải pháp hữu ích nhưng chưa có đơn; hai sản phẩm này vẫn có thể được nộp đơn nếu còn trong thời hạn mười hai tháng kể từ ngày bộc lộ. Đề tài tinh dầu Citrus grandis năm 2023 có liên hệ về tên gọi với kiểu dáng tinh dầu vỏ bưởi đào cấp năm 2024, nhưng hồ sơ chưa đủ để khẳng định; kể cả khi liên hệ được xác nhận, công thức và quy trình chiết xuất vẫn chưa được đăng ký. Hai danh mục do hai bộ phận lập và không có trường liên kết, là bằng chứng trực tiếp cho sự tách rời giữa luồng thương hiệu và luồng nghiên cứu.</w:t>
      </w:r>
    </w:p>
    <w:p w14:paraId="6067EC56" w14:textId="77777777" w:rsidR="005B561C" w:rsidRPr="000F7C87" w:rsidRDefault="00000000">
      <w:pPr>
        <w:keepNext/>
        <w:spacing w:before="280" w:after="160"/>
        <w:ind w:firstLine="0"/>
        <w:outlineLvl w:val="1"/>
        <w:rPr>
          <w:szCs w:val="26"/>
        </w:rPr>
      </w:pPr>
      <w:r w:rsidRPr="000F7C87">
        <w:rPr>
          <w:b/>
          <w:szCs w:val="26"/>
        </w:rPr>
        <w:t>2.4. Thực trạng sử dụng, chuyển giao và khai thác tài sản trí tuệ</w:t>
      </w:r>
    </w:p>
    <w:p w14:paraId="48E95726" w14:textId="77777777" w:rsidR="005B561C" w:rsidRPr="000F7C87" w:rsidRDefault="00000000">
      <w:pPr>
        <w:rPr>
          <w:szCs w:val="26"/>
        </w:rPr>
      </w:pPr>
      <w:r w:rsidRPr="000F7C87">
        <w:rPr>
          <w:szCs w:val="26"/>
        </w:rPr>
        <w:t>Khai thác tài sản trí tuệ tại Nhà trường được xem xét ở ba mức: sử dụng nội bộ, chuyển giao trong hệ thống và khai thác có thu phí.</w:t>
      </w:r>
    </w:p>
    <w:p w14:paraId="48E95726" w14:textId="77777777" w:rsidR="005B561C" w:rsidRPr="000F7C87" w:rsidRDefault="00000000">
      <w:pPr>
        <w:rPr>
          <w:szCs w:val="26"/>
        </w:rPr>
      </w:pPr>
      <w:r w:rsidRPr="000F7C87">
        <w:rPr>
          <w:szCs w:val="26"/>
        </w:rPr>
        <w:t>Ở mức sử dụng nội bộ, 61 giáo trình và tài liệu giai đoạn 2022 - 2025 đều ghi số tín chỉ, tức gắn với học phần cụ thể; 26 tài liệu năm 2021 không có thông tin này do biểu mẫu chưa có trường số tín chỉ. Hồ sơ nghiệm thu của sáu đề tài năm 2023 ghi địa chỉ ứng dụng tại Trường, trong khi đề tài các năm khác phần lớn chỉ ghi báo cáo và bài báo; khác biệt này phụ thuộc vào biểu mẫu nghiệm thu hơn là bản chất đề tài.</w:t>
      </w:r>
    </w:p>
    <w:p w14:paraId="48E95726" w14:textId="77777777" w:rsidR="005B561C" w:rsidRPr="000F7C87" w:rsidRDefault="00000000">
      <w:pPr>
        <w:rPr>
          <w:szCs w:val="26"/>
        </w:rPr>
      </w:pPr>
      <w:r w:rsidRPr="000F7C87">
        <w:rPr>
          <w:szCs w:val="26"/>
        </w:rPr>
        <w:t>Ở mức chuyển giao trong hệ thống, đề tài tinh dầu Citrus grandis năm 2023 do Viện Nghiên cứu giáo dục và Chuyển giao tri thức chủ trì ghi sản phẩm là chuyển giao công nghệ cho Nhà trường thương mại hóa, nhưng không có hợp đồng, biên bản chuyển giao hay kết quả thương mại hóa kèm theo. Ý định chuyển giao được ghi vào hồ sơ nhưng không có bước nào biến ý định thành giao dịch.</w:t>
      </w:r>
    </w:p>
    <w:p w14:paraId="48E95726" w14:textId="77777777" w:rsidR="005B561C" w:rsidRPr="000F7C87" w:rsidRDefault="00000000">
      <w:pPr>
        <w:rPr>
          <w:szCs w:val="26"/>
        </w:rPr>
      </w:pPr>
      <w:r w:rsidRPr="000F7C87">
        <w:rPr>
          <w:szCs w:val="26"/>
        </w:rPr>
        <w:t>Ở mức khai thác có thu phí, thống kê của Viện Nghiên cứu giáo dục và Chuyển giao tri thức ghi nhận năm hợp đồng giai đoạn 2023 - 2024. Hai hợp đồng chuyển giao quyền sử dụng tác phẩm đối với sách “Giáo dục và khoa học mở: Cẩm nang hướng dẫn” và “Từng bước nhập môn Nghiên cứu định lượng”, với mức 10% trên tổng số bán được, là giao dịch khai thác quyền đúng nghĩa. Ba hợp đồng còn lại là dịch vụ đào tạo, giảng dạy, tổng trị giá 100 triệu đồng, thuộc khai thác tri thức chuyên môn chứ không phải khai thác một tài sản đã xác lập quyền.</w:t>
      </w:r>
    </w:p>
    <w:p w14:paraId="48E95726" w14:textId="77777777" w:rsidR="005B561C" w:rsidRPr="000F7C87" w:rsidRDefault="00000000">
      <w:pPr>
        <w:rPr>
          <w:szCs w:val="26"/>
        </w:rPr>
      </w:pPr>
      <w:r w:rsidRPr="000F7C87">
        <w:rPr>
          <w:szCs w:val="26"/>
        </w:rPr>
        <w:t>Như vậy, khai thác tài sản trí tuệ hiện chủ yếu ở dạng phi thương mại, phục vụ đào tạo của chính Nhà trường. Khai thác có thu phí mới có hai hợp đồng, do một đơn vị thực hiện và đối với sách chuyên khảo; chín văn bằng đã được cấp chưa phát sinh giao dịch chuyển giao quyền nào. Năng lực khai thác gắn với tư cách pháp lý và chức năng được giao của Viện Nghiên cứu giáo dục và Chuyển giao tri thức, không phân bố theo năng lực chuyên môn. Đây cũng là nội dung có dữ liệu mỏng nhất, vì hệ thống thống kê không theo dõi việc sử dụng và khai thác tài sản trí tuệ; bản thân việc thiếu dữ liệu này là một phát hiện về thực trạng quản lý.</w:t>
      </w:r>
    </w:p>
    <w:p w14:paraId="6067EC56" w14:textId="77777777" w:rsidR="005B561C" w:rsidRPr="000F7C87" w:rsidRDefault="00000000">
      <w:pPr>
        <w:keepNext/>
        <w:spacing w:before="280" w:after="160"/>
        <w:ind w:firstLine="0"/>
        <w:outlineLvl w:val="1"/>
        <w:rPr>
          <w:szCs w:val="26"/>
        </w:rPr>
      </w:pPr>
      <w:r w:rsidRPr="000F7C87">
        <w:rPr>
          <w:b/>
          <w:szCs w:val="26"/>
        </w:rPr>
        <w:t>2.5. Đánh giá chung về công tác quản lý quyền sở hữu trí tuệ tại Trường Đại học Thành Đô</w:t>
      </w:r>
    </w:p>
    <w:p w14:paraId="48E95726" w14:textId="77777777" w:rsidR="005B561C" w:rsidRPr="000F7C87" w:rsidRDefault="00000000">
      <w:pPr>
        <w:rPr>
          <w:szCs w:val="26"/>
        </w:rPr>
      </w:pPr>
      <w:r w:rsidRPr="000F7C87">
        <w:rPr>
          <w:szCs w:val="26"/>
        </w:rPr>
        <w:t>Kết quả hai năm 2024 - 2025 được đối chiếu trước hết với Kế hoạch hoạt động khoa học công nghệ giai đoạn 2024 - 2028 ban hành kèm Kế hoạch số 07/KH-ĐHTĐ ngày 01 tháng 7 năm 2024. Đây là thước đo khách quan vì do chính Nhà trường đặt ra, và 2024 - 2025 là hai năm đầu của kế hoạch.</w:t>
      </w:r>
    </w:p>
    <w:p w14:paraId="478B6AC7" w14:textId="77777777" w:rsidR="005B561C" w:rsidRPr="000F7C87" w:rsidRDefault="00000000">
      <w:pPr>
        <w:keepNext/>
        <w:spacing w:before="160" w:after="80"/>
        <w:ind w:firstLine="0"/>
        <w:jc w:val="center"/>
        <w:rPr>
          <w:szCs w:val="26"/>
        </w:rPr>
      </w:pPr>
      <w:r w:rsidRPr="000F7C87">
        <w:rPr>
          <w:b/>
          <w:szCs w:val="26"/>
        </w:rPr>
        <w:t>Hình 2.9. Tỷ lệ thực hiện so với chỉ tiêu Kế hoạch 07/KH-ĐHTĐ, cộng dồn hai năm 2024 - 2025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096000"/>
            <wp:effectExtent l="0" t="0" r="0" b="0"/>
            <wp:docPr id="509" name="Biểu đồ 509" descr="Hình 2.9. Tỷ lệ thực hiện so với chỉ tiêu Kế hoạch 07/KH-ĐHTĐ, cộng dồn hai năm 2024 - 2025"/>
            <wp:cNvGraphicFramePr/>
            <a:graphic>
              <a:graphicData uri="http://schemas.openxmlformats.org/drawingml/2006/chart">
                <c:chart r:id="rId16"/>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tính toán từ mục 2.2.4 Kế hoạch số 07/KH-ĐHTĐ ngày 01 tháng 7 năm 2024 và các danh mục thống kê của Phòng Khoa học Công nghệ. Chỉ tiêu bài báo trong nước gồm bài đăng tạp chí trong nước và tạp chí của Trường; văn bằng sở hữu trí tuệ gồm sáng chế, kiểu dáng công nghiệp, quyền tác giả được cấp; không gồm tham luận hội thảo quốc gia do danh mục không có năm. Màu xanh dương: công bố; xanh lục: đề tài và học liệu; cam: tài sản trí tuệ.</w:t>
      </w:r>
    </w:p>
    <w:p w14:paraId="48E95726" w14:textId="77777777" w:rsidR="005B561C" w:rsidRPr="000F7C87" w:rsidRDefault="00000000">
      <w:pPr>
        <w:rPr>
          <w:szCs w:val="26"/>
        </w:rPr>
      </w:pPr>
      <w:r w:rsidRPr="000F7C87">
        <w:rPr>
          <w:szCs w:val="26"/>
        </w:rPr>
        <w:t>Hình 2.9 cho thấy 7 trên 10 chỉ tiêu đạt hoặc vượt kế hoạch, nhưng kết quả phân hóa rõ theo nhóm. Nhóm công bố vượt xa chỉ tiêu: bài báo quốc tế đạt 85 bài so với 30 bài, tức 283%; sách 267%; tham luận cấp trường 223%; bài báo trong nước 165%. Nhóm đề tài và học liệu dao động quanh kế hoạch, từ 90% với giáo trình đến 150% với đề tài cấp Bộ, Nhà nước. Ở nhóm tài sản trí tuệ, chỉ tiêu văn bằng đạt 150% với 6 văn bằng, nhưng đó là 5 kiểu dáng đồng sở hữu với doanh nghiệp và nhãn hiệu Thado Edupark, không văn bằng nào hình thành từ đề tài; chỉ tiêu chuyển giao công nghệ năm 2025 không đạt.</w:t>
      </w:r>
    </w:p>
    <w:p w14:paraId="48E95726" w14:textId="77777777" w:rsidR="005B561C" w:rsidRPr="000F7C87" w:rsidRDefault="00000000">
      <w:pPr>
        <w:rPr>
          <w:szCs w:val="26"/>
        </w:rPr>
      </w:pPr>
      <w:r w:rsidRPr="000F7C87">
        <w:rPr>
          <w:szCs w:val="26"/>
        </w:rPr>
        <w:t>Do Kế hoạch gộp sáng chế với kiểu dáng công nghiệp và quyền tác giả trong một chỉ tiêu, chỉ tiêu này có thể hoàn thành mà không cần kết quả nghiên cứu nào được bảo hộ. Kế hoạch 07/KH-ĐHTĐ từng tự đánh giá giai đoạn 2019 - 2023 là chưa có công trình được chuyển giao công nghệ và tài sản trí tuệ còn hạn chế; sau hai năm thực hiện, nhận định này về cơ bản vẫn giữ nguyên.</w:t>
      </w:r>
    </w:p>
    <w:p w14:paraId="0DE297E1" w14:textId="77777777" w:rsidR="005B561C" w:rsidRPr="000F7C87" w:rsidRDefault="00000000">
      <w:pPr>
        <w:keepNext/>
        <w:spacing w:before="200" w:after="100"/>
        <w:ind w:firstLine="0"/>
        <w:outlineLvl w:val="2"/>
        <w:rPr>
          <w:szCs w:val="26"/>
        </w:rPr>
      </w:pPr>
      <w:r w:rsidRPr="000F7C87">
        <w:rPr>
          <w:b/>
          <w:szCs w:val="26"/>
        </w:rPr>
        <w:t>2.5.1. Kết quả đạt được</w:t>
      </w:r>
    </w:p>
    <w:p w14:paraId="48E95726" w14:textId="77777777" w:rsidR="005B561C" w:rsidRPr="000F7C87" w:rsidRDefault="00000000">
      <w:pPr>
        <w:rPr>
          <w:szCs w:val="26"/>
        </w:rPr>
      </w:pPr>
      <w:r w:rsidRPr="000F7C87">
        <w:rPr>
          <w:szCs w:val="26"/>
        </w:rPr>
        <w:t>Thứ nhất, Nhà trường có hệ thống quy định về sở hữu trí tuệ từ sớm. Quyết định 213 năm 2021 đã có một chương riêng với phạm vi tài sản khá đầy đủ và quy trình đăng ký một cửa; Quyết định 217 năm 2024 mở rộng phạm vi tài sản, bổ sung nguyên tắc công bố và bảo mật, phân công đầu mối.</w:t>
      </w:r>
    </w:p>
    <w:p w14:paraId="48E95726" w14:textId="77777777" w:rsidR="005B561C" w:rsidRPr="000F7C87" w:rsidRDefault="00000000">
      <w:pPr>
        <w:rPr>
          <w:szCs w:val="26"/>
        </w:rPr>
      </w:pPr>
      <w:r w:rsidRPr="000F7C87">
        <w:rPr>
          <w:szCs w:val="26"/>
        </w:rPr>
        <w:t>Thứ hai, Nhà trường đã xác lập 12 tài sản trí tuệ, trong đó 9 tài sản có văn bằng; nhóm thương hiệu gồm tên trường, bộ nhận diện và thương hiệu hệ sinh thái được bảo hộ liên tục từ năm 2021, có ý nghĩa trong cạnh tranh tuyển sinh.</w:t>
      </w:r>
    </w:p>
    <w:p w14:paraId="48E95726" w14:textId="77777777" w:rsidR="005B561C" w:rsidRPr="000F7C87" w:rsidRDefault="00000000">
      <w:pPr>
        <w:rPr>
          <w:szCs w:val="26"/>
        </w:rPr>
      </w:pPr>
      <w:r w:rsidRPr="000F7C87">
        <w:rPr>
          <w:szCs w:val="26"/>
        </w:rPr>
        <w:t>Thứ ba, năng lực nghiên cứu tăng nhanh: số bài báo tăng bình quân 62,7% một năm, đạt 1,11 bài trên một giảng viên năm 2025; 7 trên 10 chỉ tiêu khoa học công nghệ của Kế hoạch 07/KH-ĐHTĐ đạt hoặc vượt; ba đề tài cấp quốc gia với tổng kinh phí 4,67 tỷ đồng được giao.</w:t>
      </w:r>
    </w:p>
    <w:p w14:paraId="48E95726" w14:textId="77777777" w:rsidR="005B561C" w:rsidRPr="000F7C87" w:rsidRDefault="00000000">
      <w:pPr>
        <w:rPr>
          <w:szCs w:val="26"/>
        </w:rPr>
      </w:pPr>
      <w:r w:rsidRPr="000F7C87">
        <w:rPr>
          <w:szCs w:val="26"/>
        </w:rPr>
        <w:t>Thứ tư, kênh chuyển hóa từ đề tài sang quyền sở hữu công nghiệp đã vận hành được, với đơn sáng chế từ đề tài chiết xuất lá Quế hoa năm 2025 và đơn sáng chế thứ hai năm 2026.</w:t>
      </w:r>
    </w:p>
    <w:p w14:paraId="48E95726" w14:textId="77777777" w:rsidR="005B561C" w:rsidRPr="000F7C87" w:rsidRDefault="00000000">
      <w:pPr>
        <w:rPr>
          <w:szCs w:val="26"/>
        </w:rPr>
      </w:pPr>
      <w:r w:rsidRPr="000F7C87">
        <w:rPr>
          <w:szCs w:val="26"/>
        </w:rPr>
        <w:t>Thứ năm, Nhà trường đã có nguồn lực tài chính gắn cơ chế sở hữu trí tuệ tương đối hoàn chỉnh là Quỹ Học bổng sau tiến sĩ Ngô Xuân Độ với ngân sách 5 tỷ đồng, và có kết nối với Mạng lưới Trung tâm Hỗ trợ công nghệ và đổi mới sáng tạo từ năm 2023.</w:t>
      </w:r>
    </w:p>
    <w:p w14:paraId="0DE297E1" w14:textId="77777777" w:rsidR="005B561C" w:rsidRPr="000F7C87" w:rsidRDefault="00000000">
      <w:pPr>
        <w:keepNext/>
        <w:spacing w:before="200" w:after="100"/>
        <w:ind w:firstLine="0"/>
        <w:outlineLvl w:val="2"/>
        <w:rPr>
          <w:szCs w:val="26"/>
        </w:rPr>
      </w:pPr>
      <w:r w:rsidRPr="000F7C87">
        <w:rPr>
          <w:b/>
          <w:szCs w:val="26"/>
        </w:rPr>
        <w:t>2.5.2. Hạn chế</w:t>
      </w:r>
    </w:p>
    <w:p w14:paraId="48E95726" w14:textId="77777777" w:rsidR="005B561C" w:rsidRPr="000F7C87" w:rsidRDefault="00000000">
      <w:pPr>
        <w:rPr>
          <w:szCs w:val="26"/>
        </w:rPr>
      </w:pPr>
      <w:r w:rsidRPr="000F7C87">
        <w:rPr>
          <w:szCs w:val="26"/>
        </w:rPr>
        <w:t>Thứ nhất, kết quả nghiên cứu hầu như không được chuyển hóa thành quyền: 11 trên 38 đề tài có sản phẩm đủ điều kiện nhưng chỉ 1 đề tài nộp đơn; 8 đề tài đủ điều kiện giai đoạn 2021 - 2024 đều không nộp đơn; hoạt động nghiên cứu chỉ đóng góp 2 trên 12 tài sản trí tuệ.</w:t>
      </w:r>
    </w:p>
    <w:p w14:paraId="48E95726" w14:textId="77777777" w:rsidR="005B561C" w:rsidRPr="000F7C87" w:rsidRDefault="00000000">
      <w:pPr>
        <w:rPr>
          <w:szCs w:val="26"/>
        </w:rPr>
      </w:pPr>
      <w:r w:rsidRPr="000F7C87">
        <w:rPr>
          <w:szCs w:val="26"/>
        </w:rPr>
        <w:t>Thứ hai, hệ thống quy định chồng lấn và chưa theo kịp pháp luật: bốn văn bản chứa năm quy định chia lợi ích, và mức trần 100 triệu đồng không còn tương thích với Điều 135 Luật Sở hữu trí tuệ hiện hành.</w:t>
      </w:r>
    </w:p>
    <w:p w14:paraId="48E95726" w14:textId="77777777" w:rsidR="005B561C" w:rsidRPr="000F7C87" w:rsidRDefault="00000000">
      <w:pPr>
        <w:rPr>
          <w:szCs w:val="26"/>
        </w:rPr>
      </w:pPr>
      <w:r w:rsidRPr="000F7C87">
        <w:rPr>
          <w:szCs w:val="26"/>
        </w:rPr>
        <w:t>Thứ ba, quản lý quyền diễn ra theo hai luồng tách rời: luồng thương hiệu vận hành đều và có kết quả, luồng nghiên cứu gần như không; danh mục tài sản và danh mục sản phẩm đề tài gần như không có điểm giao.</w:t>
      </w:r>
    </w:p>
    <w:p w14:paraId="48E95726" w14:textId="77777777" w:rsidR="005B561C" w:rsidRPr="000F7C87" w:rsidRDefault="00000000">
      <w:pPr>
        <w:rPr>
          <w:szCs w:val="26"/>
        </w:rPr>
      </w:pPr>
      <w:r w:rsidRPr="000F7C87">
        <w:rPr>
          <w:szCs w:val="26"/>
        </w:rPr>
        <w:t>Thứ tư, năng lực xác lập quyền sở hữu công nghiệp phụ thuộc đối tác: 6 trên 12 tài sản, gồm toàn bộ kiểu dáng công nghiệp, đồng sở hữu với một doanh nghiệp.</w:t>
      </w:r>
    </w:p>
    <w:p w14:paraId="48E95726" w14:textId="77777777" w:rsidR="005B561C" w:rsidRPr="000F7C87" w:rsidRDefault="00000000">
      <w:pPr>
        <w:rPr>
          <w:szCs w:val="26"/>
        </w:rPr>
      </w:pPr>
      <w:r w:rsidRPr="000F7C87">
        <w:rPr>
          <w:szCs w:val="26"/>
        </w:rPr>
        <w:t>Thứ năm, hệ thống dữ liệu chưa đáp ứng yêu cầu quản lý và nghĩa vụ công khai: không có danh mục tài sản trí tuệ trong hệ thống thống kê, độ phủ khai báo khoảng 29,9%, 7 trên 16 tiêu chí đánh giá chưa tính được.</w:t>
      </w:r>
    </w:p>
    <w:p w14:paraId="48E95726" w14:textId="77777777" w:rsidR="005B561C" w:rsidRPr="000F7C87" w:rsidRDefault="00000000">
      <w:pPr>
        <w:rPr>
          <w:szCs w:val="26"/>
        </w:rPr>
      </w:pPr>
      <w:r w:rsidRPr="000F7C87">
        <w:rPr>
          <w:szCs w:val="26"/>
        </w:rPr>
        <w:t>Thứ sáu, khai thác có thu phí rất hẹp: hai hợp đồng chuyển giao quyền sử dụng tác phẩm trong năm năm, chín văn bằng chưa phát sinh giao dịch chuyển giao quyền.</w:t>
      </w:r>
    </w:p>
    <w:p w14:paraId="48E95726" w14:textId="77777777" w:rsidR="005B561C" w:rsidRPr="000F7C87" w:rsidRDefault="00000000">
      <w:pPr>
        <w:rPr>
          <w:szCs w:val="26"/>
        </w:rPr>
      </w:pPr>
      <w:r w:rsidRPr="000F7C87">
        <w:rPr>
          <w:szCs w:val="26"/>
        </w:rPr>
        <w:t>Thứ bảy, nghiệm thu chưa gắn với sản phẩm có thể bảo hộ: 20 trên 38 đề tài xếp loại Tốt trở lên, 7 đề tài chỉ có báo cáo tổng kết nhưng 5 trong số đó vẫn xếp loại Tốt, và quy trình nghiệm thu không có khâu đánh giá khả năng bảo hộ.</w:t>
      </w:r>
    </w:p>
    <w:p w14:paraId="0DE297E1" w14:textId="77777777" w:rsidR="005B561C" w:rsidRPr="000F7C87" w:rsidRDefault="00000000">
      <w:pPr>
        <w:keepNext/>
        <w:spacing w:before="200" w:after="100"/>
        <w:ind w:firstLine="0"/>
        <w:outlineLvl w:val="2"/>
        <w:rPr>
          <w:szCs w:val="26"/>
        </w:rPr>
      </w:pPr>
      <w:r w:rsidRPr="000F7C87">
        <w:rPr>
          <w:b/>
          <w:szCs w:val="26"/>
        </w:rPr>
        <w:t>2.5.3. Nguyên nhân của hạn chế</w:t>
      </w:r>
    </w:p>
    <w:p w14:paraId="0DE297E1" w14:textId="77777777" w:rsidR="005B561C" w:rsidRPr="000F7C87" w:rsidRDefault="00000000">
      <w:pPr>
        <w:keepNext/>
        <w:spacing w:before="200" w:after="100"/>
        <w:ind w:firstLine="0"/>
        <w:rPr>
          <w:szCs w:val="26"/>
        </w:rPr>
      </w:pPr>
      <w:r w:rsidRPr="000F7C87">
        <w:rPr>
          <w:b/>
          <w:szCs w:val="26"/>
        </w:rPr>
        <w:t>a) Nguyên nhân khách quan</w:t>
      </w:r>
    </w:p>
    <w:p w14:paraId="48E95726" w14:textId="77777777" w:rsidR="005B561C" w:rsidRPr="000F7C87" w:rsidRDefault="00000000">
      <w:pPr>
        <w:rPr>
          <w:szCs w:val="26"/>
        </w:rPr>
      </w:pPr>
      <w:r w:rsidRPr="000F7C87">
        <w:rPr>
          <w:szCs w:val="26"/>
        </w:rPr>
        <w:t>Thứ nhất, khung pháp luật thay đổi dồn dập trong giai đoạn 2025 - 2026, gồm Luật Khoa học, công nghệ và đổi mới sáng tạo số 93/2025/QH15 có hiệu lực từ ngày 01 tháng 10 năm 2025, Luật Giáo dục đại học số 125/2025/QH15, Luật số 131/2025/QH15 sửa đổi Luật Sở hữu trí tuệ có hiệu lực từ ngày 01 tháng 4 năm 2026, Kết luận số 51-KL/TW ngày 17 tháng 6 năm 2026 và Quyết định số 1624/QĐ-TTg ngày 21 tháng 8 năm 2026. Quy chế ban hành năm 2021 được xây dựng trên khung cũ nên một số quy định như mức trần thù lao không còn tương thích.</w:t>
      </w:r>
    </w:p>
    <w:p w14:paraId="48E95726" w14:textId="77777777" w:rsidR="005B561C" w:rsidRPr="000F7C87" w:rsidRDefault="00000000">
      <w:pPr>
        <w:rPr>
          <w:szCs w:val="26"/>
        </w:rPr>
      </w:pPr>
      <w:r w:rsidRPr="000F7C87">
        <w:rPr>
          <w:szCs w:val="26"/>
        </w:rPr>
        <w:t>Thứ hai, thủ tục xác lập quyền sở hữu công nghiệp kéo dài và phát sinh chi phí tra cứu, soạn đơn, lệ phí, phí duy trì; là trường tư thục, Nhà trường phải tự cân đối các khoản này từ nguồn thu của mình.</w:t>
      </w:r>
    </w:p>
    <w:p w14:paraId="48E95726" w14:textId="77777777" w:rsidR="005B561C" w:rsidRPr="000F7C87" w:rsidRDefault="00000000">
      <w:pPr>
        <w:rPr>
          <w:szCs w:val="26"/>
        </w:rPr>
      </w:pPr>
      <w:r w:rsidRPr="000F7C87">
        <w:rPr>
          <w:szCs w:val="26"/>
        </w:rPr>
        <w:t>Thứ ba, cơ cấu ngành chủ yếu thuộc kinh tế, quản lý, ngôn ngữ, giáo dục và pháp luật, vốn chủ yếu tạo ra tác phẩm thuộc quyền tác giả; tiềm năng sở hữu công nghiệp tập trung ở lĩnh vực dược.</w:t>
      </w:r>
    </w:p>
    <w:p w14:paraId="48E95726" w14:textId="77777777" w:rsidR="005B561C" w:rsidRPr="000F7C87" w:rsidRDefault="00000000">
      <w:pPr>
        <w:rPr>
          <w:szCs w:val="26"/>
        </w:rPr>
      </w:pPr>
      <w:r w:rsidRPr="000F7C87">
        <w:rPr>
          <w:szCs w:val="26"/>
        </w:rPr>
        <w:t>Các nguyên nhân khách quan giải thích vì sao quy mô tài sản trí tuệ còn nhỏ, nhưng không giải thích được vì sao 8 đề tài đủ điều kiện giai đoạn 2021 - 2024 đều không được nộp đơn.</w:t>
      </w:r>
    </w:p>
    <w:p w14:paraId="0DE297E1" w14:textId="77777777" w:rsidR="005B561C" w:rsidRPr="000F7C87" w:rsidRDefault="00000000">
      <w:pPr>
        <w:keepNext/>
        <w:spacing w:before="200" w:after="100"/>
        <w:ind w:firstLine="0"/>
        <w:rPr>
          <w:szCs w:val="26"/>
        </w:rPr>
      </w:pPr>
      <w:r w:rsidRPr="000F7C87">
        <w:rPr>
          <w:b/>
          <w:szCs w:val="26"/>
        </w:rPr>
        <w:t>b) Nguyên nhân chủ quan</w:t>
      </w:r>
    </w:p>
    <w:p w14:paraId="48E95726" w14:textId="77777777" w:rsidR="005B561C" w:rsidRPr="000F7C87" w:rsidRDefault="00000000">
      <w:pPr>
        <w:rPr>
          <w:szCs w:val="26"/>
        </w:rPr>
      </w:pPr>
      <w:r w:rsidRPr="000F7C87">
        <w:rPr>
          <w:szCs w:val="26"/>
        </w:rPr>
        <w:t>Về thể chế, bốn văn bản chứa năm quy định chia lợi ích với phạm vi không rõ ranh giới; Quyết định 217 không thay thế Chương VI Quyết định 213, nên người có sản phẩm không xác định được quy định nào áp dụng.</w:t>
      </w:r>
    </w:p>
    <w:p w14:paraId="48E95726" w14:textId="77777777" w:rsidR="005B561C" w:rsidRPr="000F7C87" w:rsidRDefault="00000000">
      <w:pPr>
        <w:rPr>
          <w:szCs w:val="26"/>
        </w:rPr>
      </w:pPr>
      <w:r w:rsidRPr="000F7C87">
        <w:rPr>
          <w:szCs w:val="26"/>
        </w:rPr>
        <w:t>Về quy trình, Điều 35 Quyết định 213 thiết kế theo cơ chế tác giả chủ động nộp đơn, không có khâu rà soát bắt buộc khả năng bảo hộ khi nghiệm thu; Điều 10 Quyết định 217 tiếp tục đặt trách nhiệm tự nhận diện lên tác giả. Quy trình có trên văn bản nhưng không được kích hoạt.</w:t>
      </w:r>
    </w:p>
    <w:p w14:paraId="48E95726" w14:textId="77777777" w:rsidR="005B561C" w:rsidRPr="000F7C87" w:rsidRDefault="00000000">
      <w:pPr>
        <w:rPr>
          <w:szCs w:val="26"/>
        </w:rPr>
      </w:pPr>
      <w:r w:rsidRPr="000F7C87">
        <w:rPr>
          <w:szCs w:val="26"/>
        </w:rPr>
        <w:t>Về nguồn lực, kênh sinh ra sản phẩm có thể bảo hộ không có dòng chi cho phí nộp đơn và duy trì hiệu lực; kênh có đủ cơ chế là Quỹ Học bổng sau tiến sĩ chỉ dành cho đối tượng hẹp; đơn vị đầu mối chỉ có 2 nhân sự và không có người chuyên trách về sở hữu trí tuệ.</w:t>
      </w:r>
    </w:p>
    <w:p w14:paraId="48E95726" w14:textId="77777777" w:rsidR="005B561C" w:rsidRPr="000F7C87" w:rsidRDefault="00000000">
      <w:pPr>
        <w:rPr>
          <w:szCs w:val="26"/>
        </w:rPr>
      </w:pPr>
      <w:r w:rsidRPr="000F7C87">
        <w:rPr>
          <w:szCs w:val="26"/>
        </w:rPr>
        <w:t>Về động lực, văn bằng được quy đổi từ 180 đến 600 giờ nghiên cứu nhưng không có tiền thưởng và chỉ được ghi nhận sau khi được cấp, trong khi bài báo quốc tế được thưởng từ 10 đến 20 triệu đồng ngay khi đăng.</w:t>
      </w:r>
    </w:p>
    <w:p w14:paraId="48E95726" w14:textId="77777777" w:rsidR="005B561C" w:rsidRPr="000F7C87" w:rsidRDefault="00000000">
      <w:pPr>
        <w:rPr>
          <w:szCs w:val="26"/>
        </w:rPr>
      </w:pPr>
      <w:r w:rsidRPr="000F7C87">
        <w:rPr>
          <w:szCs w:val="26"/>
        </w:rPr>
        <w:t>Về tổ chức, chức năng quản lý bị chia cho bốn đơn vị, ba đơn vị thuộc khối Quản trị và Dịch vụ, và không đơn vị nào thực hiện trọn chu trình từ nhận diện đến khai thác.</w:t>
      </w:r>
    </w:p>
    <w:p w14:paraId="48E95726" w14:textId="77777777" w:rsidR="005B561C" w:rsidRPr="000F7C87" w:rsidRDefault="00000000">
      <w:pPr>
        <w:rPr>
          <w:szCs w:val="26"/>
        </w:rPr>
      </w:pPr>
      <w:r w:rsidRPr="000F7C87">
        <w:rPr>
          <w:szCs w:val="26"/>
        </w:rPr>
        <w:t>Về dữ liệu, không có danh mục tài sản trí tuệ và độ phủ khai báo thấp nên đơn vị đầu mối không có công cụ phát hiện sản phẩm cần rà soát.</w:t>
      </w:r>
    </w:p>
    <w:p w14:paraId="48E95726" w14:textId="77777777" w:rsidR="005B561C" w:rsidRPr="000F7C87" w:rsidRDefault="00000000">
      <w:pPr>
        <w:rPr>
          <w:szCs w:val="26"/>
        </w:rPr>
      </w:pPr>
      <w:r w:rsidRPr="000F7C87">
        <w:rPr>
          <w:szCs w:val="26"/>
        </w:rPr>
        <w:t>Về con người, năng lực nghiên cứu tập trung ở khoảng một phần ba nhân sự, và trường hợp chuyển hóa thành công duy nhất thuộc về một chủ nhiệm đồng thời chủ trì đề tài cấp quốc gia, nên hoạt động xác lập quyền mang tính đơn lẻ.</w:t>
      </w:r>
    </w:p>
    <w:p w14:paraId="48E95726" w14:textId="77777777" w:rsidR="005B561C" w:rsidRPr="000F7C87" w:rsidRDefault="00000000">
      <w:pPr>
        <w:rPr>
          <w:szCs w:val="26"/>
        </w:rPr>
      </w:pPr>
      <w:r w:rsidRPr="000F7C87">
        <w:rPr>
          <w:szCs w:val="26"/>
        </w:rPr>
        <w:t>Bảy nguyên nhân chủ quan liên kết thành một chuỗi: thiếu dữ liệu nên đầu mối không phát hiện sản phẩm; thiếu khâu rà soát nên trách nhiệm dồn về tác giả; tác giả đối diện quy định không thống nhất, không có kinh phí nộp đơn và phần thưởng đến chậm nên chọn công bố; sau mười hai tháng, sản phẩm mất khả năng xác lập quyền sáng chế và giải pháp hữu ích. Việc Nhà trường tham gia Mạng lưới Trung tâm Hỗ trợ công nghệ và đổi mới sáng tạo từ năm 2023 mà hai năm 2023 - 2024 không có đơn nào xuất phát từ đề tài cho thấy điểm nghẽn không nằm ở khả năng tiếp cận thông tin mà ở khâu nhận diện và khởi động quy trình. Hệ thống giải pháp tại Chương 3 vì vậy cần tác động đồng thời vào cả chuỗi, trong đó khâu rà soát khả năng bảo hộ tại thời điểm nghiệm thu là điểm can thiệp ưu tiên.</w:t>
      </w:r>
    </w:p>
    <w:p w14:paraId="6067EC56" w14:textId="77777777" w:rsidR="005B561C" w:rsidRPr="000F7C87" w:rsidRDefault="00000000">
      <w:pPr>
        <w:spacing w:before="280" w:after="160"/>
        <w:ind w:firstLine="0"/>
        <w:outlineLvl w:val="1"/>
        <w:rPr>
          <w:szCs w:val="26"/>
        </w:rPr>
      </w:pPr>
      <w:r w:rsidRPr="000F7C87">
        <w:rPr>
          <w:b/>
          <w:szCs w:val="26"/>
        </w:rPr>
        <w:t>TIỂU KẾT CHƯƠNG 2</w:t>
      </w:r>
    </w:p>
    <w:p w14:paraId="48E95726" w14:textId="77777777" w:rsidR="005B561C" w:rsidRPr="000F7C87" w:rsidRDefault="00000000">
      <w:pPr>
        <w:rPr>
          <w:szCs w:val="26"/>
        </w:rPr>
      </w:pPr>
      <w:r w:rsidRPr="000F7C87">
        <w:rPr>
          <w:szCs w:val="26"/>
        </w:rPr>
        <w:t>Chương 2 đã phân tích thực trạng quản lý quyền sở hữu trí tuệ tại Trường Đại học Thành Đô giai đoạn 2021 - 2025 trên cơ sở các danh mục thống kê, văn bản nội bộ và kế hoạch của Nhà trường. Kết quả cho thấy Nhà trường có nền tảng thể chế từ sớm, năng lực công bố tăng nhanh, 12 tài sản trí tuệ đã được xác lập hoặc đang xử lý đơn và kênh chuyển hóa từ đề tài sang đơn sáng chế đã vận hành. Tuy nhiên, điểm nghẽn cốt lõi nằm ở khâu nối giữa nghiệm thu và đăng ký: 11 trên 38 đề tài có sản phẩm đủ điều kiện xác lập quyền nhưng chỉ 1 đề tài được nộp đơn, hoạt động nghiên cứu chỉ đóng góp 2 trên 12 tài sản, và khai thác có thu phí mới dừng ở hai hợp đồng chuyển giao quyền sử dụng tác phẩm.</w:t>
      </w:r>
    </w:p>
    <w:p w14:paraId="48E95726" w14:textId="77777777" w:rsidR="005B561C" w:rsidRPr="000F7C87" w:rsidRDefault="00000000">
      <w:pPr>
        <w:rPr>
          <w:szCs w:val="26"/>
        </w:rPr>
      </w:pPr>
      <w:r w:rsidRPr="000F7C87">
        <w:rPr>
          <w:szCs w:val="26"/>
        </w:rPr>
        <w:t>Nguyên nhân chủ yếu thuộc về chủ quan: bốn văn bản với năm quy định chia lợi ích chưa thống nhất, quy trình thiếu khâu rà soát bắt buộc, kênh đề tài cấp cơ sở không có kinh phí nộp đơn, cơ chế khuyến khích nghiêng về công bố, chức năng quản lý phân tán ở bốn đơn vị và hệ thống dữ liệu chưa theo dõi tài sản trí tuệ. Các nguyên nhân này liên kết thành một chuỗi, nên hệ thống giải pháp tại Chương 3 cần tác động đồng thời, trong đó khâu rà soát khả năng bảo hộ tại thời điểm nghiệm thu là điểm can thiệp ưu tiên.</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chart" Target="charts/chart1.xml"/><Relationship Id="rId9" Type="http://schemas.openxmlformats.org/officeDocument/2006/relationships/chart" Target="charts/chart2.xml"/><Relationship Id="rId10" Type="http://schemas.openxmlformats.org/officeDocument/2006/relationships/chart" Target="charts/chart3.xml"/><Relationship Id="rId11" Type="http://schemas.openxmlformats.org/officeDocument/2006/relationships/chart" Target="charts/chart4.xml"/><Relationship Id="rId12" Type="http://schemas.openxmlformats.org/officeDocument/2006/relationships/chart" Target="charts/chart5.xml"/><Relationship Id="rId13" Type="http://schemas.openxmlformats.org/officeDocument/2006/relationships/chart" Target="charts/chart6.xml"/><Relationship Id="rId14" Type="http://schemas.openxmlformats.org/officeDocument/2006/relationships/chart" Target="charts/chart7.xml"/><Relationship Id="rId15" Type="http://schemas.openxmlformats.org/officeDocument/2006/relationships/chart" Target="charts/chart8.xml"/><Relationship Id="rId16" Type="http://schemas.openxmlformats.org/officeDocument/2006/relationships/chart" Target="charts/chart9.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chart1.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21052631578947367"/>
          <c:w val="0.87096774193548387"/>
          <c:h val="0.70526315789473681"/>
        </c:manualLayout>
      </c:layout>
      <c:barChart>
        <c:barDir val="col"/>
        <c:grouping val="stacked"/>
        <c:ser>
          <c:idx val="0"/>
          <c:order val="0"/>
          <c:tx>
            <c:strRef>
              <c:f>'Du_lieu'!$B$1</c:f>
              <c:strCache>
                <c:ptCount val="1"/>
                <c:pt idx="0">
                  <c:v>Bài báo trong nước</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ser>
        <c:ser>
          <c:idx val="1"/>
          <c:order val="1"/>
          <c:tx>
            <c:strRef>
              <c:f>'Du_lieu'!$C$1</c:f>
              <c:strCache>
                <c:ptCount val="1"/>
                <c:pt idx="0">
                  <c:v>Bài báo quốc tế</c:v>
                </c:pt>
              </c:strCache>
            </c:strRef>
          </c:tx>
          <c:spPr>
            <a:solidFill>
              <a:srgbClr val="EB683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ser>
        <c:ser>
          <c:idx val="2"/>
          <c:order val="2"/>
          <c:tx>
            <c:strRef>
              <c:f>'Du_lieu'!$D$1</c:f>
              <c:strCache>
                <c:ptCount val="1"/>
                <c:pt idx="0">
                  <c:v>Giáo trình, tài liệu</c:v>
                </c:pt>
              </c:strCache>
            </c:strRef>
          </c:tx>
          <c:spPr>
            <a:solidFill>
              <a:srgbClr val="1BAF7A"/>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ser>
        <c:ser>
          <c:idx val="3"/>
          <c:order val="3"/>
          <c:tx>
            <c:strRef>
              <c:f>'Du_lieu'!$E$1</c:f>
              <c:strCache>
                <c:ptCount val="1"/>
                <c:pt idx="0">
                  <c:v>Đề tài cấp cơ sở</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ser>
        <c:ser>
          <c:idx val="4"/>
          <c:order val="4"/>
          <c:tx>
            <c:strRef>
              <c:f>'Du_lieu'!$F$1</c:f>
              <c:strCache>
                <c:ptCount val="1"/>
                <c:pt idx="0">
                  <c:v>Sách</c:v>
                </c:pt>
              </c:strCache>
            </c:strRef>
          </c:tx>
          <c:spPr>
            <a:solidFill>
              <a:srgbClr val="E87BA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ser>
        <c:ser>
          <c:idx val="5"/>
          <c:order val="5"/>
          <c:tx>
            <c:strRef>
              <c:f>'Du_lieu'!$G$1</c:f>
              <c:strCache>
                <c:ptCount val="1"/>
                <c:pt idx="0">
                  <c:v>Tham luận quốc tế</c:v>
                </c:pt>
              </c:strCache>
            </c:strRef>
          </c:tx>
          <c:spPr>
            <a:solidFill>
              <a:srgbClr val="0083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ser>
        <c:ser>
          <c:idx val="6"/>
          <c:order val="6"/>
          <c:tx>
            <c:strRef>
              <c:f>'Du_lieu'!$H$1</c:f>
              <c:strCache>
                <c:ptCount val="1"/>
                <c:pt idx="0">
                  <c:v>Đề tài cấp quốc gia</c:v>
                </c:pt>
              </c:strCache>
            </c:strRef>
          </c:tx>
          <c:spPr>
            <a:solidFill>
              <a:srgbClr val="4A3AA7"/>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ser>
        <c:gapWidth val="45"/>
        <c:overlap val="100"/>
        <c:axId val="50010001"/>
        <c:axId val="50010002"/>
      </c:barChart>
      <c:lineChart>
        <c:grouping val="standard"/>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ser>
        <c:marker val="1"/>
        <c:axId val="50010001"/>
        <c:axId val="5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0526315789473684"/>
          <c:w val="0.95999999999999996"/>
          <c:h val="0.173684210526315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2.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21052631578947367"/>
          <c:w val="0.87096774193548387"/>
          <c:h val="0.64210526315789473"/>
        </c:manualLayout>
      </c:layout>
      <c:lineChart>
        <c:grouping val="standard"/>
        <c:ser>
          <c:idx val="0"/>
          <c:order val="0"/>
          <c:tx>
            <c:strRef>
              <c:f>'Du_lieu'!$B$1</c:f>
              <c:strCache>
                <c:ptCount val="1"/>
                <c:pt idx="0">
                  <c:v>Quyết định 213, điểm a</c:v>
                </c:pt>
              </c:strCache>
            </c:strRef>
          </c:tx>
          <c:spPr>
            <a:ln w="28575">
              <a:solidFill>
                <a:srgbClr val="2A78D6"/>
              </a:solidFill>
            </a:ln>
          </c:spPr>
          <c:marker>
            <c:symbol val="circle"/>
            <c:size val="6"/>
            <c:spPr>
              <a:solidFill>
                <a:srgbClr val="2A78D6"/>
              </a:solidFill>
              <a:ln>
                <a:solidFill>
                  <a:srgbClr val="2A78D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'Du_lieu'!$B$2:$B$9</c:f>
              <c:numCache>
                <c:formatCode>General</c:formatCode>
                <c:ptCount val="8"/>
                <c:pt idx="0">
                  <c:v>0</c:v>
                </c:pt>
                <c:pt idx="1">
                  <c:v>30</c:v>
                </c:pt>
                <c:pt idx="2">
                  <c:v>60</c:v>
                </c:pt>
                <c:pt idx="3">
                  <c:v>90</c:v>
                </c:pt>
                <c:pt idx="4">
                  <c:v>100</c:v>
                </c:pt>
                <c:pt idx="5">
                  <c:v>100</c:v>
                </c:pt>
                <c:pt idx="6">
                  <c:v>100</c:v>
                </c:pt>
                <c:pt idx="7">
                  <c:v>100</c:v>
                </c:pt>
              </c:numCache>
            </c:numRef>
          </c:val>
          <c:smooth val="0"/>
        </c:ser>
        <c:ser>
          <c:idx val="1"/>
          <c:order val="1"/>
          <c:tx>
            <c:strRef>
              <c:f>'Du_lieu'!$C$1</c:f>
              <c:strCache>
                <c:ptCount val="1"/>
                <c:pt idx="0">
                  <c:v>Quyết định 213, điểm b</c:v>
                </c:pt>
              </c:strCache>
            </c:strRef>
          </c:tx>
          <c:spPr>
            <a:ln w="28575">
              <a:solidFill>
                <a:srgbClr val="1BAF7A"/>
              </a:solidFill>
              <a:prstDash val="dash"/>
            </a:ln>
          </c:spPr>
          <c:marker>
            <c:symbol val="circle"/>
            <c:size val="6"/>
            <c:spPr>
              <a:solidFill>
                <a:srgbClr val="1BAF7A"/>
              </a:solidFill>
              <a:ln>
                <a:solidFill>
                  <a:srgbClr val="1BAF7A"/>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'Du_lieu'!$C$2:$C$9</c:f>
              <c:numCache>
                <c:formatCode>General</c:formatCode>
                <c:ptCount val="8"/>
                <c:pt idx="0">
                  <c:v>0</c:v>
                </c:pt>
                <c:pt idx="1">
                  <c:v>30</c:v>
                </c:pt>
                <c:pt idx="2">
                  <c:v>60</c:v>
                </c:pt>
                <c:pt idx="3">
                  <c:v>90</c:v>
                </c:pt>
                <c:pt idx="4">
                  <c:v>120</c:v>
                </c:pt>
                <c:pt idx="5">
                  <c:v>150</c:v>
                </c:pt>
                <c:pt idx="6">
                  <c:v>180</c:v>
                </c:pt>
                <c:pt idx="7">
                  <c:v>210</c:v>
                </c:pt>
              </c:numCache>
            </c:numRef>
          </c:val>
          <c:smooth val="0"/>
        </c:ser>
        <c:ser>
          <c:idx val="2"/>
          <c:order val="2"/>
          <c:tx>
            <c:strRef>
              <c:f>'Du_lieu'!$D$1</c:f>
              <c:strCache>
                <c:ptCount val="1"/>
                <c:pt idx="0">
                  <c:v>Quỹ Ngô Xuân Độ, năm đầu</c:v>
                </c:pt>
              </c:strCache>
            </c:strRef>
          </c:tx>
          <c:spPr>
            <a:ln w="28575">
              <a:solidFill>
                <a:srgbClr val="EB6834"/>
              </a:solidFill>
            </a:ln>
          </c:spPr>
          <c:marker>
            <c:symbol val="circle"/>
            <c:size val="6"/>
            <c:spPr>
              <a:solidFill>
                <a:srgbClr val="EB6834"/>
              </a:solidFill>
              <a:ln>
                <a:solidFill>
                  <a:srgbClr val="EB6834"/>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'Du_lieu'!$D$2:$D$9</c:f>
              <c:numCache>
                <c:formatCode>General</c:formatCode>
                <c:ptCount val="8"/>
                <c:pt idx="0">
                  <c:v>0</c:v>
                </c:pt>
                <c:pt idx="1">
                  <c:v>50</c:v>
                </c:pt>
                <c:pt idx="2">
                  <c:v>100</c:v>
                </c:pt>
                <c:pt idx="3">
                  <c:v>150</c:v>
                </c:pt>
                <c:pt idx="4">
                  <c:v>200</c:v>
                </c:pt>
                <c:pt idx="5">
                  <c:v>250</c:v>
                </c:pt>
                <c:pt idx="6">
                  <c:v>300</c:v>
                </c:pt>
                <c:pt idx="7">
                  <c:v>350</c:v>
                </c:pt>
              </c:numCache>
            </c:numRef>
          </c:val>
          <c:smooth val="0"/>
        </c:ser>
        <c:ser>
          <c:idx val="3"/>
          <c:order val="3"/>
          <c:tx>
            <c:strRef>
              <c:f>'Du_lieu'!$E$1</c:f>
              <c:strCache>
                <c:ptCount val="1"/>
                <c:pt idx="0">
                  <c:v>Quỹ Ngô Xuân Độ, từ năm thứ hai</c:v>
                </c:pt>
              </c:strCache>
            </c:strRef>
          </c:tx>
          <c:spPr>
            <a:ln w="28575">
              <a:solidFill>
                <a:srgbClr val="4A3AA7"/>
              </a:solidFill>
              <a:prstDash val="dash"/>
            </a:ln>
          </c:spPr>
          <c:marker>
            <c:symbol val="circle"/>
            <c:size val="6"/>
            <c:spPr>
              <a:solidFill>
                <a:srgbClr val="4A3AA7"/>
              </a:solidFill>
              <a:ln>
                <a:solidFill>
                  <a:srgbClr val="4A3AA7"/>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'Du_lieu'!$E$2:$E$9</c:f>
              <c:numCache>
                <c:formatCode>General</c:formatCode>
                <c:ptCount val="8"/>
                <c:pt idx="0">
                  <c:v>0</c:v>
                </c:pt>
                <c:pt idx="1">
                  <c:v>20</c:v>
                </c:pt>
                <c:pt idx="2">
                  <c:v>40</c:v>
                </c:pt>
                <c:pt idx="3">
                  <c:v>60</c:v>
                </c:pt>
                <c:pt idx="4">
                  <c:v>80</c:v>
                </c:pt>
                <c:pt idx="5">
                  <c:v>100</c:v>
                </c:pt>
                <c:pt idx="6">
                  <c:v>120</c:v>
                </c:pt>
                <c:pt idx="7">
                  <c:v>140</c:v>
                </c:pt>
              </c:numCache>
            </c:numRef>
          </c:val>
          <c:smooth val="0"/>
        </c:ser>
        <c:ser>
          <c:idx val="4"/>
          <c:order val="4"/>
          <c:tx>
            <c:strRef>
              <c:f>'Du_lieu'!$F$1</c:f>
              <c:strCache>
                <c:ptCount val="1"/>
                <c:pt idx="0">
                  <c:v>Luật Sở hữu trí tuệ, Điều 135</c:v>
                </c:pt>
              </c:strCache>
            </c:strRef>
          </c:tx>
          <c:spPr>
            <a:ln w="19050">
              <a:solidFill>
                <a:srgbClr val="3B3A36"/>
              </a:solidFill>
              <a:prstDash val="sysDot"/>
            </a:ln>
          </c:spPr>
          <c:marker>
            <c:symbol val="circle"/>
            <c:size val="6"/>
            <c:spPr>
              <a:solidFill>
                <a:srgbClr val="3B3A36"/>
              </a:solidFill>
              <a:ln>
                <a:solidFill>
                  <a:srgbClr val="3B3A3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'Du_lieu'!$F$2:$F$9</c:f>
              <c:numCache>
                <c:formatCode>General</c:formatCode>
                <c:ptCount val="8"/>
                <c:pt idx="0">
                  <c:v>0</c:v>
                </c:pt>
                <c:pt idx="1">
                  <c:v>15</c:v>
                </c:pt>
                <c:pt idx="2">
                  <c:v>30</c:v>
                </c:pt>
                <c:pt idx="3">
                  <c:v>45</c:v>
                </c:pt>
                <c:pt idx="4">
                  <c:v>60</c:v>
                </c:pt>
                <c:pt idx="5">
                  <c:v>75</c:v>
                </c:pt>
                <c:pt idx="6">
                  <c:v>90</c:v>
                </c:pt>
                <c:pt idx="7">
                  <c:v>105</c:v>
                </c:pt>
              </c:numCache>
            </c:numRef>
          </c:val>
          <c:smooth val="0"/>
        </c:ser>
        <c:marker val="1"/>
        <c:axId val="50010001"/>
        <c:axId val="50010002"/>
      </c:lineChart>
      <c:catAx>
        <c:axId val="50010001"/>
        <c:scaling>
          <c:orientation val="minMax"/>
        </c:scaling>
        <c:axPos val="b"/>
        <c:title>
          <c:tx>
            <c:rich>
              <a:bodyPr/>
              <a:lstStyle/>
              <a:p>
                <a:pPr>
                  <a:defRPr sz="1000" b="1" baseline="0">
                    <a:solidFill>
                      <a:srgbClr val="262522"/>
                    </a:solidFill>
                    <a:latin typeface="Times New Roman"/>
                  </a:defRPr>
                </a:pPr>
                <a:r>
                  <a:rPr lang="en-US" sz="1000" b="1" baseline="0">
                    <a:solidFill>
                      <a:srgbClr val="262522"/>
                    </a:solidFill>
                    <a:latin typeface="Times New Roman"/>
                  </a:rPr>
                  <a:t>Khoản thu từ một hợp đồng chuyển giao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Phần của tác giả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0526315789473684"/>
          <c:w val="0.95999999999999996"/>
          <c:h val="0.173684210526315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3.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6666666666666666"/>
          <c:w val="0.78709677419354829"/>
          <c:h val="0.74444444444444446"/>
        </c:manualLayout>
      </c:layout>
      <c:barChart>
        <c:barDir val="col"/>
        <c:grouping val="stacked"/>
        <c:ser>
          <c:idx val="0"/>
          <c:order val="0"/>
          <c:tx>
            <c:strRef>
              <c:f>'Du_lieu'!$B$1</c:f>
              <c:strCache>
                <c:ptCount val="1"/>
                <c:pt idx="0">
                  <c:v>Được cấp kinh phí bằng tiền</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ser>
        <c:ser>
          <c:idx val="1"/>
          <c:order val="1"/>
          <c:tx>
            <c:strRef>
              <c:f>'Du_lieu'!$C$1</c:f>
              <c:strCache>
                <c:ptCount val="1"/>
                <c:pt idx="0">
                  <c:v>Chỉ quy đổi giờ nghiên cứu</c:v>
                </c:pt>
              </c:strCache>
            </c:strRef>
          </c:tx>
          <c:spPr>
            <a:solidFill>
              <a:srgbClr val="A8A7A1"/>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ser>
        <c:ser>
          <c:idx val="2"/>
          <c:order val="2"/>
          <c:tx>
            <c:strRef>
              <c:f>'Du_lieu'!$D$1</c:f>
              <c:strCache>
                <c:ptCount val="1"/>
                <c:pt idx="0">
                  <c:v>Tự tìm nguồn tài trợ</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ser>
        <c:gapWidth val="60"/>
        <c:overlap val="100"/>
        <c:axId val="50010001"/>
        <c:axId val="50010002"/>
      </c:barChart>
      <c:lineChart>
        <c:grouping val="standard"/>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dLbl>
              <c:idx val="0"/>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ser>
        <c:marker val="1"/>
        <c:axId val="60010001"/>
        <c:axId val="6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numFmt formatCode="General" sourceLinked="1"/>
        <c:tickLblPos val="none"/>
        <c:crossAx val="60010002"/>
        <c:crosses val="autoZero"/>
        <c:auto val="1"/>
        <c:lblAlgn val="ctr"/>
        <c:lblOffset val="100"/>
      </c:catAx>
      <c:spPr>
        <a:ln>
          <a:noFill/>
        </a:ln>
      </c:spPr>
    </c:plotArea>
    <c:legend>
      <c:legendPos val="t"/>
      <c:layout>
        <c:manualLayout>
          <c:xMode val="edge"/>
          <c:yMode val="edge"/>
          <c:x val="0.02"/>
          <c:y val="0.011111111111111112"/>
          <c:w val="0.95999999999999996"/>
          <c:h val="0.127777777777777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4.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0000000000000001"/>
          <c:w val="0.78709677419354829"/>
          <c:h val="0.64000000000000001"/>
        </c:manualLayout>
      </c:layout>
      <c:barChart>
        <c:barDir val="col"/>
        <c:grouping val="clustered"/>
        <c:ser>
          <c:idx val="0"/>
          <c:order val="0"/>
          <c:tx>
            <c:strRef>
              <c:f>'Du_lieu'!$B$1</c:f>
              <c:strCache>
                <c:ptCount val="1"/>
                <c:pt idx="0">
                  <c:v>Giờ nghiên cứu quy đổi</c:v>
                </c:pt>
              </c:strCache>
            </c:strRef>
          </c:tx>
          <c:spPr>
            <a:solidFill>
              <a:srgbClr val="2A78D6"/>
            </a:solidFill>
            <a:ln w="9525">
              <a:solidFill>
                <a:srgbClr val="FFFFFF"/>
              </a:solidFill>
            </a:ln>
          </c:spPr>
          <c:dPt>
            <c:idx val="0"/>
            <c:spPr>
              <a:solidFill>
                <a:srgbClr val="4A3AA7"/>
              </a:solidFill>
              <a:ln w="9525">
                <a:solidFill>
                  <a:srgbClr val="FFFFFF"/>
                </a:solidFill>
              </a:ln>
            </c:spPr>
          </c:dPt>
          <c:dPt>
            <c:idx val="1"/>
            <c:spPr>
              <a:solidFill>
                <a:srgbClr val="4A3AA7"/>
              </a:solidFill>
              <a:ln w="9525">
                <a:solidFill>
                  <a:srgbClr val="FFFFFF"/>
                </a:solidFill>
              </a:ln>
            </c:spPr>
          </c:dPt>
          <c:dPt>
            <c:idx val="2"/>
            <c:spPr>
              <a:solidFill>
                <a:srgbClr val="4A3AA7"/>
              </a:solidFill>
              <a:ln w="9525">
                <a:solidFill>
                  <a:srgbClr val="FFFFFF"/>
                </a:solidFill>
              </a:ln>
            </c:spPr>
          </c:dPt>
          <c:dPt>
            <c:idx val="3"/>
            <c:spPr>
              <a:solidFill>
                <a:srgbClr val="2A78D6"/>
              </a:solidFill>
              <a:ln w="9525">
                <a:solidFill>
                  <a:srgbClr val="FFFFFF"/>
                </a:solidFill>
              </a:ln>
            </c:spPr>
          </c:dPt>
          <c:dPt>
            <c:idx val="4"/>
            <c:spPr>
              <a:solidFill>
                <a:srgbClr val="2A78D6"/>
              </a:solidFill>
              <a:ln w="9525">
                <a:solidFill>
                  <a:srgbClr val="FFFFFF"/>
                </a:solidFill>
              </a:ln>
            </c:spPr>
          </c:dPt>
          <c:dPt>
            <c:idx val="5"/>
            <c:spPr>
              <a:solidFill>
                <a:srgbClr val="2A78D6"/>
              </a:solidFill>
              <a:ln w="9525">
                <a:solidFill>
                  <a:srgbClr val="FFFFFF"/>
                </a:solidFill>
              </a:ln>
            </c:spPr>
          </c:dPt>
          <c:dPt>
            <c:idx val="6"/>
            <c:spPr>
              <a:solidFill>
                <a:srgbClr val="2A78D6"/>
              </a:solidFill>
              <a:ln w="9525">
                <a:solidFill>
                  <a:srgbClr val="FFFFFF"/>
                </a:solidFill>
              </a:ln>
            </c:spPr>
          </c:dPt>
          <c:dPt>
            <c:idx val="7"/>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ser>
        <c:gapWidth val="60"/>
        <c:axId val="50010001"/>
        <c:axId val="50010002"/>
      </c:barChart>
      <c:lineChart>
        <c:grouping val="standard"/>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dLbl>
            <c:dLbl>
              <c:idx val="1"/>
              <c:delete val="1"/>
            </c:dLbl>
            <c:dLbl>
              <c:idx val="2"/>
              <c:delete val="1"/>
            </c:dLbl>
            <c:dLbl>
              <c:idx val="7"/>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ser>
        <c:marker val="1"/>
        <c:axId val="60010001"/>
        <c:axId val="60010002"/>
      </c:lineChart>
      <c:catAx>
        <c:axId val="50010001"/>
        <c:scaling>
          <c:orientation val="minMax"/>
        </c:scaling>
        <c:axPos val="b"/>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ax val="900"/>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ax val="25"/>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tickLblPos val="none"/>
        <c:crossAx val="60010002"/>
        <c:crosses val="autoZero"/>
        <c:auto val="1"/>
        <c:lblAlgn val="ctr"/>
        <c:lblOffset val="100"/>
      </c:catAx>
      <c:spPr>
        <a:ln>
          <a:noFill/>
        </a:ln>
      </c:spPr>
    </c:plotArea>
    <c:legend>
      <c:legendPos val="t"/>
      <c:layout>
        <c:manualLayout>
          <c:xMode val="edge"/>
          <c:yMode val="edge"/>
          <c:x val="0.02"/>
          <c:y val="0.01"/>
          <c:w val="0.95999999999999996"/>
          <c:h val="0.065000000000000002"/>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5.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5870967741935485"/>
          <c:y val="0.19607843137254904"/>
          <c:w val="0.77032258064516124"/>
          <c:h val="0.58823529411764697"/>
        </c:manualLayout>
      </c:layout>
      <c:barChart>
        <c:barDir val="bar"/>
        <c:grouping val="stacked"/>
        <c:ser>
          <c:idx val="0"/>
          <c:order val="0"/>
          <c:tx>
            <c:strRef>
              <c:f>'Du_lieu'!$B$1</c:f>
              <c:strCache>
                <c:ptCount val="1"/>
                <c:pt idx="0">
                  <c:v>Tính được đầy đủ</c:v>
                </c:pt>
              </c:strCache>
            </c:strRef>
          </c:tx>
          <c:spPr>
            <a:solidFill>
              <a:srgbClr val="1BAF7A"/>
            </a:solidFill>
            <a:ln w="9525">
              <a:solidFill>
                <a:srgbClr val="FFFFFF"/>
              </a:solidFill>
            </a:ln>
          </c:spPr>
          <c:dLbls>
            <c:dLbl>
              <c:idx val="3"/>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'Du_lieu'!$B$2:$B$5</c:f>
              <c:numCache>
                <c:formatCode>General</c:formatCode>
                <c:ptCount val="4"/>
                <c:pt idx="0">
                  <c:v>1</c:v>
                </c:pt>
                <c:pt idx="1">
                  <c:v>1</c:v>
                </c:pt>
                <c:pt idx="2">
                  <c:v>3</c:v>
                </c:pt>
                <c:pt idx="3">
                  <c:v>0</c:v>
                </c:pt>
              </c:numCache>
            </c:numRef>
          </c:val>
        </c:ser>
        <c:ser>
          <c:idx val="1"/>
          <c:order val="1"/>
          <c:tx>
            <c:strRef>
              <c:f>'Du_lieu'!$C$1</c:f>
              <c:strCache>
                <c:ptCount val="1"/>
                <c:pt idx="0">
                  <c:v>Tính được một phần</c:v>
                </c:pt>
              </c:strCache>
            </c:strRef>
          </c:tx>
          <c:spPr>
            <a:solidFill>
              <a:srgbClr val="EDA100"/>
            </a:solidFill>
            <a:ln w="9525">
              <a:solidFill>
                <a:srgbClr val="FFFFFF"/>
              </a:solidFill>
            </a:ln>
          </c:spPr>
          <c:dLbls>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'Du_lieu'!$C$2:$C$5</c:f>
              <c:numCache>
                <c:formatCode>General</c:formatCode>
                <c:ptCount val="4"/>
                <c:pt idx="0">
                  <c:v>1</c:v>
                </c:pt>
                <c:pt idx="1">
                  <c:v>1</c:v>
                </c:pt>
                <c:pt idx="2">
                  <c:v>1</c:v>
                </c:pt>
                <c:pt idx="3">
                  <c:v>1</c:v>
                </c:pt>
              </c:numCache>
            </c:numRef>
          </c:val>
        </c:ser>
        <c:ser>
          <c:idx val="2"/>
          <c:order val="2"/>
          <c:tx>
            <c:strRef>
              <c:f>'Du_lieu'!$D$1</c:f>
              <c:strCache>
                <c:ptCount val="1"/>
                <c:pt idx="0">
                  <c:v>Chưa tính được</c:v>
                </c:pt>
              </c:strCache>
            </c:strRef>
          </c:tx>
          <c:spPr>
            <a:solidFill>
              <a:srgbClr val="EB6834"/>
            </a:solidFill>
            <a:ln w="9525">
              <a:solidFill>
                <a:srgbClr val="FFFFFF"/>
              </a:solidFill>
            </a:ln>
          </c:spPr>
          <c:dLbls>
            <c:dLbl>
              <c:idx val="2"/>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'Du_lieu'!$D$2:$D$5</c:f>
              <c:numCache>
                <c:formatCode>General</c:formatCode>
                <c:ptCount val="4"/>
                <c:pt idx="0">
                  <c:v>1</c:v>
                </c:pt>
                <c:pt idx="1">
                  <c:v>2</c:v>
                </c:pt>
                <c:pt idx="2">
                  <c:v>0</c:v>
                </c:pt>
                <c:pt idx="3">
                  <c:v>4</c:v>
                </c:pt>
              </c:numCache>
            </c:numRef>
          </c:val>
        </c:ser>
        <c:gapWidth val="50"/>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tiêu chí</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607843137254905"/>
          <c:w val="0.95999999999999996"/>
          <c:h val="0.12745098039215688"/>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6.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0580645161290326"/>
          <c:y val="0.19607843137254904"/>
          <c:w val="0.62322580645161296"/>
          <c:h val="0.58823529411764697"/>
        </c:manualLayout>
      </c:layout>
      <c:barChart>
        <c:barDir val="bar"/>
        <c:grouping val="stacked"/>
        <c:ser>
          <c:idx val="0"/>
          <c:order val="0"/>
          <c:tx>
            <c:strRef>
              <c:f>'Du_lieu'!$B$1</c:f>
              <c:strCache>
                <c:ptCount val="1"/>
                <c:pt idx="0">
                  <c:v>Đã cấp văn bằng</c:v>
                </c:pt>
              </c:strCache>
            </c:strRef>
          </c:tx>
          <c:spPr>
            <a:solidFill>
              <a:srgbClr val="2A78D6"/>
            </a:solidFill>
            <a:ln w="9525">
              <a:solidFill>
                <a:srgbClr val="FFFFFF"/>
              </a:solidFill>
            </a:ln>
          </c:spPr>
          <c:dLbls>
            <c:dLbl>
              <c:idx val="3"/>
              <c:delete val="1"/>
            </c:dLbl>
            <c:numFmt formatCode="0" sourceLinked="0"/>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5</c:v>
                </c:pt>
                <c:pt idx="3">
                  <c:v>0</c:v>
                </c:pt>
              </c:numCache>
            </c:numRef>
          </c:val>
        </c:ser>
        <c:ser>
          <c:idx val="1"/>
          <c:order val="1"/>
          <c:tx>
            <c:strRef>
              <c:f>'Du_lieu'!$C$1</c:f>
              <c:strCache>
                <c:ptCount val="1"/>
                <c:pt idx="0">
                  <c:v>Đang xử lý</c:v>
                </c:pt>
              </c:strCache>
            </c:strRef>
          </c:tx>
          <c:spPr>
            <a:solidFill>
              <a:srgbClr val="EDA100"/>
            </a:solidFill>
            <a:ln w="9525">
              <a:solidFill>
                <a:srgbClr val="FFFFFF"/>
              </a:solidFill>
            </a:ln>
          </c:spPr>
          <c:dLbls>
            <c:dLbl>
              <c:idx val="0"/>
              <c:delete val="1"/>
            </c:dLbl>
            <c:dLbl>
              <c:idx val="2"/>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1</c:v>
                </c:pt>
                <c:pt idx="2">
                  <c:v>0</c:v>
                </c:pt>
                <c:pt idx="3">
                  <c:v>2</c:v>
                </c:pt>
              </c:numCache>
            </c:numRef>
          </c:val>
        </c:ser>
        <c:gapWidth val="55"/>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tài sản</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607843137254905"/>
          <c:w val="0.95999999999999996"/>
          <c:h val="0.12745098039215688"/>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7.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049999999999999996"/>
          <c:w val="0.55161290322580647"/>
          <c:h val="0.76666666666666661"/>
        </c:manualLayout>
      </c:layout>
      <c:barChart>
        <c:barDir val="bar"/>
        <c:grouping val="clustered"/>
        <c:ser>
          <c:idx val="0"/>
          <c:order val="0"/>
          <c:tx>
            <c:strRef>
              <c:f>'Du_lieu'!$B$1</c:f>
              <c:strCache>
                <c:ptCount val="1"/>
                <c:pt idx="0">
                  <c:v>Số sản phẩm</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1BAF7A"/>
              </a:solidFill>
              <a:ln w="9525">
                <a:solidFill>
                  <a:srgbClr val="FFFFFF"/>
                </a:solidFill>
              </a:ln>
            </c:spPr>
          </c:dPt>
          <c:dPt>
            <c:idx val="4"/>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ser>
        <c:gapWidth val="6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8.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19230769230769229"/>
          <c:w val="0.55161290322580647"/>
          <c:h val="0.59615384615384615"/>
        </c:manualLayout>
      </c:layout>
      <c:barChart>
        <c:barDir val="bar"/>
        <c:grouping val="clustered"/>
        <c:ser>
          <c:idx val="0"/>
          <c:order val="0"/>
          <c:tx>
            <c:strRef>
              <c:f>'Du_lieu'!$B$1</c:f>
              <c:strCache>
                <c:ptCount val="1"/>
                <c:pt idx="0">
                  <c:v>Toàn giai đoạn 2021 - 2025</c:v>
                </c:pt>
              </c:strCache>
            </c:strRef>
          </c:tx>
          <c:spPr>
            <a:solidFill>
              <a:srgbClr val="2A78D6"/>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đủ điều kiện xác lập quyền</c:v>
                </c:pt>
                <c:pt idx="2">
                  <c:v>Đã nộp đơn đăng ký</c:v>
                </c:pt>
              </c:strCache>
            </c:strRef>
          </c:cat>
          <c:val>
            <c:numRef>
              <c:f>'Du_lieu'!$B$2:$B$4</c:f>
              <c:numCache>
                <c:formatCode>General</c:formatCode>
                <c:ptCount val="3"/>
                <c:pt idx="0">
                  <c:v>38</c:v>
                </c:pt>
                <c:pt idx="1">
                  <c:v>11</c:v>
                </c:pt>
                <c:pt idx="2">
                  <c:v>1</c:v>
                </c:pt>
              </c:numCache>
            </c:numRef>
          </c:val>
        </c:ser>
        <c:ser>
          <c:idx val="1"/>
          <c:order val="1"/>
          <c:tx>
            <c:strRef>
              <c:f>'Du_lieu'!$C$1</c:f>
              <c:strCache>
                <c:ptCount val="1"/>
                <c:pt idx="0">
                  <c:v>Đề tài giao từ năm 2021 đến năm 2024</c:v>
                </c:pt>
              </c:strCache>
            </c:strRef>
          </c:tx>
          <c:spPr>
            <a:solidFill>
              <a:srgbClr val="1BAF7A"/>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đủ điều kiện xác lập quyền</c:v>
                </c:pt>
                <c:pt idx="2">
                  <c:v>Đã nộp đơn đăng ký</c:v>
                </c:pt>
              </c:strCache>
            </c:strRef>
          </c:cat>
          <c:val>
            <c:numRef>
              <c:f>'Du_lieu'!$C$2:$C$4</c:f>
              <c:numCache>
                <c:formatCode>General</c:formatCode>
                <c:ptCount val="3"/>
                <c:pt idx="0">
                  <c:v>31</c:v>
                </c:pt>
                <c:pt idx="1">
                  <c:v>8</c:v>
                </c:pt>
                <c:pt idx="2">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230769230769232"/>
          <c:w val="0.95999999999999996"/>
          <c:h val="0.125"/>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9.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3032258064516129"/>
          <c:y val="0.034883720930232558"/>
          <c:w val="0.59870967741935477"/>
          <c:h val="0.83720930232558133"/>
        </c:manualLayout>
      </c:layout>
      <c:barChart>
        <c:barDir val="bar"/>
        <c:grouping val="clustered"/>
        <c:ser>
          <c:idx val="0"/>
          <c:order val="0"/>
          <c:tx>
            <c:strRef>
              <c:f>'Du_lieu'!$E$1</c:f>
              <c:strCache>
                <c:ptCount val="1"/>
                <c:pt idx="0">
                  <c:v>Tỷ lệ thực hiện</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2A78D6"/>
              </a:solidFill>
              <a:ln w="9525">
                <a:solidFill>
                  <a:srgbClr val="FFFFFF"/>
                </a:solidFill>
              </a:ln>
            </c:spPr>
          </c:dPt>
          <c:dPt>
            <c:idx val="4"/>
            <c:spPr>
              <a:solidFill>
                <a:srgbClr val="1BAF7A"/>
              </a:solidFill>
              <a:ln w="9525">
                <a:solidFill>
                  <a:srgbClr val="FFFFFF"/>
                </a:solidFill>
              </a:ln>
            </c:spPr>
          </c:dPt>
          <c:dPt>
            <c:idx val="5"/>
            <c:spPr>
              <a:solidFill>
                <a:srgbClr val="1BAF7A"/>
              </a:solidFill>
              <a:ln w="9525">
                <a:solidFill>
                  <a:srgbClr val="FFFFFF"/>
                </a:solidFill>
              </a:ln>
            </c:spPr>
          </c:dPt>
          <c:dPt>
            <c:idx val="6"/>
            <c:spPr>
              <a:solidFill>
                <a:srgbClr val="2A78D6"/>
              </a:solidFill>
              <a:ln w="9525">
                <a:solidFill>
                  <a:srgbClr val="FFFFFF"/>
                </a:solidFill>
              </a:ln>
            </c:spPr>
          </c:dPt>
          <c:dPt>
            <c:idx val="7"/>
            <c:spPr>
              <a:solidFill>
                <a:srgbClr val="1BAF7A"/>
              </a:solidFill>
              <a:ln w="9525">
                <a:solidFill>
                  <a:srgbClr val="FFFFFF"/>
                </a:solidFill>
              </a:ln>
            </c:spPr>
          </c:dPt>
          <c:dPt>
            <c:idx val="8"/>
            <c:spPr>
              <a:solidFill>
                <a:srgbClr val="EB6834"/>
              </a:solidFill>
              <a:ln w="9525">
                <a:solidFill>
                  <a:srgbClr val="FFFFFF"/>
                </a:solidFill>
              </a:ln>
            </c:spPr>
          </c:dPt>
          <c:dPt>
            <c:idx val="9"/>
            <c:spPr>
              <a:solidFill>
                <a:srgbClr val="EB6834"/>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'Du_lieu'!$A$2:$A$11</c:f>
              <c:strCache>
                <c:ptCount val="10"/>
                <c:pt idx="0">
                  <c:v>Bài báo quốc tế</c:v>
                </c:pt>
                <c:pt idx="1">
                  <c:v>Sách có ISBN</c:v>
                </c:pt>
                <c:pt idx="2">
                  <c:v>Tham luận cấp trường</c:v>
                </c:pt>
                <c:pt idx="3">
                  <c:v>Bài báo trong nước</c:v>
                </c:pt>
                <c:pt idx="4">
                  <c:v>Đề tài cấp Bộ, Nhà nước</c:v>
                </c:pt>
                <c:pt idx="5">
                  <c:v>Đề tài cấp cơ sở</c:v>
                </c:pt>
                <c:pt idx="6">
                  <c:v>Tham luận quốc tế</c:v>
                </c:pt>
                <c:pt idx="7">
                  <c:v>Giáo trình, tài liệu</c:v>
                </c:pt>
                <c:pt idx="8">
                  <c:v>Văn bằng sở hữu trí tuệ</c:v>
                </c:pt>
                <c:pt idx="9">
                  <c:v>Chuyển giao công nghệ</c:v>
                </c:pt>
              </c:strCache>
            </c:strRef>
          </c:cat>
          <c:val>
            <c:numRef>
              <c:f>'Du_lieu'!$E$2:$E$11</c:f>
              <c:numCache>
                <c:formatCode>General</c:formatCode>
                <c:ptCount val="10"/>
                <c:pt idx="0">
                  <c:v>2.833333333333333</c:v>
                </c:pt>
                <c:pt idx="1">
                  <c:v>2.666666666666667</c:v>
                </c:pt>
                <c:pt idx="2">
                  <c:v>2.233333333333333</c:v>
                </c:pt>
                <c:pt idx="3">
                  <c:v>1.645454545454546</c:v>
                </c:pt>
                <c:pt idx="4">
                  <c:v>1.5</c:v>
                </c:pt>
                <c:pt idx="5">
                  <c:v>1.071428571428571</c:v>
                </c:pt>
                <c:pt idx="6">
                  <c:v>0.9090909090909091</c:v>
                </c:pt>
                <c:pt idx="7">
                  <c:v>0.9</c:v>
                </c:pt>
                <c:pt idx="8">
                  <c:v>1.5</c:v>
                </c:pt>
                <c:pt idx="9">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Tỷ lệ thực hiện so với kế hoạch</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Thực trạng quản lý quyền sở hữu trí tuệ tại Trường Đại học Thành Đô</dc:title>
  <dc:subject/>
  <dc:creator>python-docx</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