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NỘI DUNG HOÀN THIỆN ĐỂ ĐIỀN VÀO FILE WORD (.DOCX) - PHIÊN BẢN 3 (Đã tinh chỉnh văn phong học thuật và quy mô)</w:t>
      </w:r>
    </w:p>
    <w:p>
      <w:pPr>
        <w:pStyle w:val="IntenseQuote"/>
      </w:pPr>
      <w:r>
        <w:t>**Hướng dẫn:** Bản V3 này đã được biên tập lại nghiêm ngặt theo chuẩn văn phong khoa học (Human Scholar Voice Editor): loại bỏ hoàn toàn các từ ngữ cảm tính/báo chí, diễn đạt khách quan, và điều chỉnh quy mô phương pháp nghiên cứu (mẫu khảo sát N=50) để phù hợp với ngân sách 5 triệu đồng của đề tài cấp cơ sở.</w:t>
      </w:r>
    </w:p>
    <w:p>
      <w:pPr>
        <w:pStyle w:val="Heading1"/>
      </w:pPr>
      <w:r>
        <w:t>PHẦN A: ĐỀ XUẤT THỰC HIỆN ĐỀ TÀI</w:t>
      </w:r>
    </w:p>
    <w:p>
      <w:pPr>
        <w:pStyle w:val="Heading3"/>
      </w:pPr>
      <w:r>
        <w:t>1.1. Tên đề tài</w:t>
      </w:r>
    </w:p>
    <w:p>
      <w:pPr>
        <w:pStyle w:val="ListBullet"/>
      </w:pPr>
      <w:r>
        <w:t xml:space="preserve">  **Tiếng Việt:** Quản trị tài sản trí tuệ theo mô hình Living Lab trong hệ sinh thái giáo dục liên cấp: Nghiên cứu trường hợp tại Trường Đại học Thành Đô</w:t>
      </w:r>
    </w:p>
    <w:p>
      <w:pPr>
        <w:pStyle w:val="ListBullet"/>
      </w:pPr>
      <w:r>
        <w:t xml:space="preserve">  **Tiếng Anh:** Intellectual Property Governance through the Living Lab Model in an Inter-level Education Ecosystem: A Case Study at Thanh Do University</w:t>
      </w:r>
    </w:p>
    <w:p>
      <w:pPr>
        <w:pStyle w:val="Heading3"/>
      </w:pPr>
      <w:r>
        <w:t>2.1. Tóm tắt tình hình nghiên cứu trong và ngoài nước</w:t>
      </w:r>
    </w:p>
    <w:p>
      <w:r/>
      <w:r>
        <w:rPr>
          <w:b/>
        </w:rPr>
        <w:t>Ngoài nước:</w:t>
      </w:r>
      <w:r>
        <w:t xml:space="preserve"> Các nghiên cứu quốc tế chỉ ra rằng khuôn viên trường đại học có tiềm năng trở thành nền tảng để vận hành mô hình Living Lab (Phòng thí nghiệm sống), qua đó thúc đẩy quá trình đồng sáng tạo giữa nhà trường và các bên liên quan (Evans et al., 2015; Tercanli &amp; Jongbloed, 2022). Trong lĩnh vực quản trị tài sản trí tuệ (TSTT), phân tích từ Perkmann et al. (2013) và Teece (2018) cho thấy việc duy trì cơ chế sở hữu trí tuệ (SHTT) đóng kín có thể hạn chế năng lực đổi mới sáng tạo; do đó, các thỏa thuận khung linh hoạt đang được ứng dụng rộng rãi. Tuy nhiên, sự kết hợp giữa mô hình Living Lab như một cơ chế phi tập trung nhằm giải quyết các vấn đề về quản trị TSTT vẫn chưa được nghiên cứu đầy đủ.</w:t>
      </w:r>
    </w:p>
    <w:p>
      <w:r/>
      <w:r>
        <w:rPr>
          <w:b/>
        </w:rPr>
        <w:t>Trong nước:</w:t>
      </w:r>
      <w:r>
        <w:t xml:space="preserve"> Phân tích các công bố gần đây cho thấy nghiên cứu về quản trị TSTT trong trường đại học tại Việt Nam chủ yếu tập trung vào việc đánh giá nhận thức và đề xuất hoàn thiện quy chế SHTT mang tính hành chính. Mặc dù một số cơ sở giáo dục đã tiếp cận mô hình Living Lab, các ứng dụng này phần lớn giới hạn ở mục tiêu môi trường hoặc phục vụ cộng đồng, chưa tập trung giải quyết bài toán quyền sở hữu và phân chia lợi ích đối với các sản phẩm từ quá trình đồng sáng tạo. Việc nghiên cứu cơ chế quản trị TSTT theo mô hình Living Lab trong một "hệ sinh thái giáo dục liên cấp" hiện vẫn là một khoảng trống học thuật tại Việt Nam.</w:t>
      </w:r>
    </w:p>
    <w:p>
      <w:pPr>
        <w:pStyle w:val="Heading3"/>
      </w:pPr>
      <w:r>
        <w:t>2.2. Mục tiêu, phương pháp</w:t>
      </w:r>
    </w:p>
    <w:p>
      <w:r/>
      <w:r>
        <w:rPr>
          <w:b/>
        </w:rPr>
        <w:t>Mục tiêu tổng quát:</w:t>
      </w:r>
      <w:r>
        <w:t xml:space="preserve"> Đề xuất mô hình quản trị tài sản trí tuệ tiếp cận theo phương thức Living Lab, phù hợp với hệ sinh thái giáo dục liên cấp tại Trường Đại học Thành Đô.</w:t>
      </w:r>
    </w:p>
    <w:p>
      <w:r/>
      <w:r>
        <w:rPr>
          <w:b/>
        </w:rPr>
        <w:t>Phương pháp nghiên cứu:</w:t>
      </w:r>
      <w:r>
        <w:t xml:space="preserve"> Đề tài ứng dụng phương pháp hỗn hợp (Mixed methods) theo thiết kế giải thích tuần tự, với quy mô phù hợp cho đề tài cấp cơ sở:</w:t>
      </w:r>
    </w:p>
    <w:p>
      <w:pPr>
        <w:pStyle w:val="ListNumber"/>
      </w:pPr>
      <w:r>
        <w:t>1. Giai đoạn định lượng: Khảo sát bằng bảng hỏi với quy mô khoảng 50 mẫu, tập trung có chủ đích vào nhóm giảng viên, sinh viên và cán bộ có tham gia hoạt động nghiên cứu khoa học nhằm đánh giá sơ bộ thực trạng nhận thức và quy trình quản trị TSTT.</w:t>
      </w:r>
    </w:p>
    <w:p>
      <w:pPr>
        <w:pStyle w:val="ListNumber"/>
      </w:pPr>
      <w:r>
        <w:t>2. Giai đoạn định tính: Thực hiện phỏng vấn sâu (5-7 cán bộ quản lý và chuyên gia) kết hợp nghiên cứu trường hợp (Case study) nhằm lý giải nguyên nhân của các rào cản hiện tại.</w:t>
      </w:r>
    </w:p>
    <w:p>
      <w:pPr>
        <w:pStyle w:val="ListNumber"/>
      </w:pPr>
      <w:r>
        <w:t>3. Giai đoạn kiểm chứng: Sử dụng phương pháp chuyên gia để đánh giá tính khả thi của mô hình đề xuất.</w:t>
      </w:r>
    </w:p>
    <w:p>
      <w:pPr>
        <w:pStyle w:val="Heading3"/>
      </w:pPr>
      <w:r>
        <w:t>2.3. Cấu trúc báo cáo</w:t>
      </w:r>
    </w:p>
    <w:p>
      <w:r>
        <w:t>Báo cáo được kết cấu gồm: Phần Mở đầu, 3 Chương nội dung (Chương 1: Cơ sở lý luận và tổng quan nghiên cứu; Chương 2: Thực trạng quản trị TSTT tại Trường ĐH Thành Đô; Chương 3: Đề xuất mô hình và giải pháp), Phần Kết luận và Danh mục Tài liệu tham khảo.</w:t>
      </w:r>
    </w:p>
    <w:p>
      <w:pPr>
        <w:pStyle w:val="Heading1"/>
      </w:pPr>
      <w:r>
        <w:t>PHẦN B: THUYẾT MINH ĐỀ CƯƠNG ĐỀ TÀI</w:t>
      </w:r>
    </w:p>
    <w:p>
      <w:pPr>
        <w:pStyle w:val="Heading3"/>
      </w:pPr>
      <w:r>
        <w:t>1. Tổng quan tình hình nghiên cứu trong và ngoài nước</w:t>
      </w:r>
    </w:p>
    <w:p>
      <w:r/>
      <w:r>
        <w:rPr>
          <w:b/>
        </w:rPr>
        <w:t>1.1. Tình hình nghiên cứu ngoài nước</w:t>
      </w:r>
      <w:r/>
    </w:p>
    <w:p>
      <w:r>
        <w:t>Nghiên cứu về quản trị TSTT đại học và mô hình Living Lab trên thế giới hiện đang phát triển theo hai hướng tiếp cận riêng biệt.</w:t>
      </w:r>
    </w:p>
    <w:p>
      <w:r>
        <w:t>*Về quản trị TSTT:* Các học giả chủ yếu phân tích rào cản và động lực của quá trình thương mại hóa. Perkmann et al. (2013) và Rialti et al. (2022) lập luận rằng để hợp tác đại học – doanh nghiệp đạt hiệu quả, các cơ sở giáo dục cần chuyển hướng sang cơ chế cấp phép (licensing) linh hoạt thay vì nắm giữ độc quyền. Trong bối cảnh nền kinh tế số, Teece (2018) và Keding et al. (2024) nhấn mạnh quản trị TSTT trong các hệ sinh thái đổi mới sáng tạo đòi hỏi cơ chế chia sẻ giá trị liên tục.</w:t>
      </w:r>
    </w:p>
    <w:p>
      <w:r>
        <w:t>*Về mô hình Living Lab trong giáo dục:* Theo Tercanli &amp; Jongbloed (2022), việc chuyển đổi từ các sáng kiến tự phát sang các thực thể Living Lab có tổ chức tại trường đại học đang là xu hướng phổ biến. Nghiên cứu của Evans et al. (2015) về Đại học Manchester đã định hình khái niệm khuôn viên trường học như một phòng thí nghiệm thực tế nhằm đồng sáng tạo giải pháp. Dù vậy, theo Leal Filho et al. (2022), việc vận hành Living Lab vẫn gặp rào cản từ hệ thống quản trị hành chính truyền thống và sự khác biệt về lợi ích giữa các bên tham gia.</w:t>
      </w:r>
    </w:p>
    <w:p>
      <w:r/>
      <w:r>
        <w:rPr>
          <w:b/>
        </w:rPr>
        <w:t>1.2. Tình hình nghiên cứu trong nước</w:t>
      </w:r>
      <w:r/>
    </w:p>
    <w:p>
      <w:r>
        <w:t>Tại Việt Nam, những thay đổi mang tính bước ngoặt từ việc thực thi Luật Sở hữu trí tuệ (được sửa đổi, bổ sung mới nhất bởi Luật Khoa học, công nghệ và đổi mới sáng tạo số 93/2025/QH15 và Luật số 131/2025/QH15) cùng với Nghị định 134/2026/NĐ-CP đã dẫn đến sự gia tăng các nghiên cứu về TSTT trong giáo dục đại học. Theo Nguyễn (2025), bối cảnh Cách mạng công nghiệp 4.0 đòi hỏi các trường đại học phải ứng dụng công nghệ để nâng cao hiệu quả quản trị TSTT. Ở khía cạnh pháp lý sâu hơn, Võ (2025) đã phân tích quyền của các chủ thể tham gia sáng tạo nhưng không nắm giữ quyền tài sản, nhấn mạnh sự thiếu hụt trong các quy chế nội bộ của cơ sở đào tạo khi chưa xác định rõ quyền lợi của tác giả đối với tác phẩm hình thành trong nhà trường.</w:t>
      </w:r>
    </w:p>
    <w:p>
      <w:r>
        <w:t>Đồng thời, việc ứng dụng mô hình Living Lab đang bắt đầu được quan tâm tại Việt Nam. Trịnh et al. (2024) đã đúc kết các bài học quốc tế và đề xuất quy trình xây dựng Living Lab hướng tới giải quyết các vấn đề đô thị và phát triển bền vững. Đáng chú ý, nghiên cứu của Ngô et al. (2026) đã ứng dụng trực tiếp mô hình Living Lab để thử nghiệm các giải pháp giảm phát thải tại cảng biển thông qua cơ chế hợp tác 4P (Nhà nước - Doanh nghiệp - Nhà khoa học - Cộng đồng). Tuy nhiên, các dự án Living Lab hiện hành chủ yếu tập trung vào lĩnh vực môi trường hoặc kỹ thuật, hoàn toàn chưa được gắn kết với cơ chế quản trị TSTT trong môi trường giáo dục. Vấn đề xác lập quyền sở hữu, cơ chế bảo vệ và phân chia lợi ích đối với tài sản hình thành từ quá trình đồng sáng tạo vẫn chưa có lời giải.</w:t>
      </w:r>
    </w:p>
    <w:p>
      <w:r/>
      <w:r>
        <w:rPr>
          <w:b/>
        </w:rPr>
        <w:t>1.3. Khoảng trống nghiên cứu</w:t>
      </w:r>
      <w:r/>
    </w:p>
    <w:p>
      <w:r>
        <w:t>Tổng hợp các tài liệu cho thấy còn thiếu sự liên kết giữa lý thuyết đồng sáng tạo của mô hình Living Lab (như hướng tiếp cận của Trịnh et al., 2024; Ngô et al., 2026) và cơ chế quản trị TSTT tại các trường đại học (như các rào cản pháp lý mà Nguyễn, 2025 và Võ, 2025 đã chỉ ra). Cụ thể, việc ứng dụng mô hình Living Lab để quản lý sự tham gia và phân định quyền lợi trong một "hệ sinh thái giáo dục liên cấp" — nơi chủ thể sáng tạo đa dạng bao gồm học sinh, sinh viên, giảng viên và đối tác bên ngoài — là vấn đề chưa được nghiên cứu cụ thể. Đề tài tại Trường ĐH Thành Đô được thực hiện nhằm góp phần bổ khuyết khoảng trống này.</w:t>
      </w:r>
    </w:p>
    <w:p>
      <w:pPr>
        <w:pStyle w:val="Heading3"/>
      </w:pPr>
      <w:r>
        <w:t>2. Tính cấp thiết của đề tài</w:t>
      </w:r>
    </w:p>
    <w:p>
      <w:r>
        <w:t>Trường Đại học Thành Đô đang trong quá trình phát triển hệ sinh thái giáo dục liên cấp. Hoạt động giảng dạy và nghiên cứu trong hệ sinh thái này làm phát sinh các Tài sản trí tuệ đa dạng (bao gồm giáo trình, phần mềm, giải pháp hữu ích) từ nhiều nhóm chủ thể khác nhau.</w:t>
      </w:r>
    </w:p>
    <w:p>
      <w:r>
        <w:t>Thực tiễn cho thấy, cơ chế quản trị TSTT theo chiều dọc (top-down) gặp nhiều hạn chế khi áp dụng vào các hoạt động có tính chất đồng sáng tạo. Việc xác định quyền sở hữu và phương thức khai thác thương mại đối với các TSTT hình thành từ sự phối hợp giữa nhà trường, sinh viên và doanh nghiệp đòi hỏi một khung quản trị linh hoạt và minh bạch hơn.</w:t>
      </w:r>
    </w:p>
    <w:p>
      <w:r>
        <w:t>Mô hình Living Lab, với nguyên tắc cốt lõi là đồng sáng tạo và thử nghiệm trong môi trường thực tế, cung cấp một phương pháp tiếp cận phù hợp để giải quyết vấn đề trên. Tuy nhiên, hiện chưa có mô hình thực tiễn nào ứng dụng Living Lab vào quản trị TSTT trong hệ sinh thái giáo dục liên cấp tại Việt Nam. Do đó, việc thực hiện đề tài *"Quản trị tài sản trí tuệ theo mô hình Living Lab trong hệ sinh thái giáo dục liên cấp: Nghiên cứu trường hợp tại Trường Đại học Thành Đô"* là cần thiết, nhằm cung cấp cơ sở khoa học và thực tiễn để hoàn thiện quy chế quản trị nội bộ của nhà trường.</w:t>
      </w:r>
    </w:p>
    <w:p>
      <w:pPr>
        <w:pStyle w:val="Heading3"/>
      </w:pPr>
      <w:r>
        <w:t>3. Mục tiêu nghiên cứu</w:t>
      </w:r>
    </w:p>
    <w:p>
      <w:r>
        <w:t>*(Ghi chú: Copy nội dung từ mục 2.2 Phần A phía trên xuống)*</w:t>
      </w:r>
    </w:p>
    <w:p>
      <w:pPr>
        <w:pStyle w:val="Heading3"/>
      </w:pPr>
      <w:r>
        <w:t>4. Đóng góp mới của đề tài</w:t>
      </w:r>
    </w:p>
    <w:p>
      <w:pPr>
        <w:pStyle w:val="ListBullet"/>
      </w:pPr>
      <w:r>
        <w:t xml:space="preserve">  **Về mặt lý luận:** Đề tài vận dụng lý thuyết Đồng sáng tạo (Co-creation) và mô hình Living Lab vào quy trình quản trị TSTT. Nghiên cứu cung cấp góc nhìn mới về cách thức điều phối quyền lợi và nghĩa vụ SHTT trong một hệ sinh thái giáo dục đa cấp bậc.</w:t>
      </w:r>
    </w:p>
    <w:p>
      <w:pPr>
        <w:pStyle w:val="ListBullet"/>
      </w:pPr>
      <w:r>
        <w:t xml:space="preserve">  **Về mặt thực tiễn:** Xây dựng khung mô hình quản trị TSTT phù hợp với điều kiện thực tế của Trường ĐH Thành Đô. Kết quả nghiên cứu đóng vai trò là cơ sở tham khảo để nhà trường sửa đổi, bổ sung Quy chế Sở hữu trí tuệ hiện hành, đồng thời có thể dùng làm tài liệu tham khảo cho các cơ sở giáo dục có định hướng phát triển tương tự.</w:t>
      </w:r>
    </w:p>
    <w:p>
      <w:pPr>
        <w:pStyle w:val="Heading3"/>
      </w:pPr>
      <w:r>
        <w:t>5. Đối tượng và phạm vi nghiên cứu</w:t>
      </w:r>
    </w:p>
    <w:p>
      <w:pPr>
        <w:pStyle w:val="ListBullet"/>
      </w:pPr>
      <w:r>
        <w:t xml:space="preserve">  **Đối tượng nghiên cứu:** Quy trình và cơ chế quản trị tài sản trí tuệ tiếp cận theo mô hình Living Lab.</w:t>
      </w:r>
    </w:p>
    <w:p>
      <w:pPr>
        <w:pStyle w:val="ListBullet"/>
      </w:pPr>
      <w:r>
        <w:t xml:space="preserve">  **Phạm vi không gian:** Trường Đại học Thành Đô và các đơn vị trực thuộc hệ sinh thái.</w:t>
      </w:r>
    </w:p>
    <w:p>
      <w:pPr>
        <w:pStyle w:val="ListBullet"/>
      </w:pPr>
      <w:r>
        <w:t xml:space="preserve">  **Phạm vi thời gian:** Số liệu thứ cấp và sơ cấp được thu thập trong giới hạn từ năm 2020 đến nay.</w:t>
      </w:r>
    </w:p>
    <w:p>
      <w:pPr>
        <w:pStyle w:val="ListBullet"/>
      </w:pPr>
      <w:r>
        <w:t xml:space="preserve">  **Phạm vi nội dung:** Tập trung vào chu trình quản trị TSTT (phát sinh, xác lập quyền, khai thác và bảo vệ) dưới sự tương tác của các nhóm chủ thể trong mô hình Living Lab.</w:t>
      </w:r>
    </w:p>
    <w:p>
      <w:pPr>
        <w:pStyle w:val="Heading3"/>
      </w:pPr>
      <w:r>
        <w:t>6. Cách tiếp cận</w:t>
      </w:r>
    </w:p>
    <w:p>
      <w:pPr>
        <w:pStyle w:val="ListBullet"/>
      </w:pPr>
      <w:r>
        <w:t xml:space="preserve">  **Tiếp cận hệ thống:** Đánh giá TSTT trong mối tương quan với các thành tố cấu thành hệ sinh thái giáo dục liên cấp, thay vì xem xét như một quy trình hành chính đơn lẻ.</w:t>
      </w:r>
    </w:p>
    <w:p>
      <w:pPr>
        <w:pStyle w:val="ListBullet"/>
      </w:pPr>
      <w:r>
        <w:t xml:space="preserve">  **Tiếp cận đa bên (Multi-stakeholder):** Xem xét vai trò và quyền lợi của tất cả các chủ thể tham gia quá trình đồng sáng tạo (giảng viên, sinh viên, cán bộ quản lý, đối tác).</w:t>
      </w:r>
    </w:p>
    <w:p>
      <w:pPr>
        <w:pStyle w:val="ListBullet"/>
      </w:pPr>
      <w:r>
        <w:t xml:space="preserve">  **Tiếp cận nghiên cứu trường hợp (Case study):** Phân tích thực trạng cụ thể tại Trường ĐH Thành Đô nhằm đảm bảo tính ứng dụng của mô hình đề xuất.</w:t>
      </w:r>
    </w:p>
    <w:p>
      <w:pPr>
        <w:pStyle w:val="Heading3"/>
      </w:pPr>
      <w:r>
        <w:t>7. Phương pháp nghiên cứu</w:t>
      </w:r>
    </w:p>
    <w:p>
      <w:r>
        <w:t>Đề tài sử dụng phương pháp hỗn hợp (Mixed Methods) với quy mô lấy mẫu được điều chỉnh để phù hợp với nguồn lực của đề tài cấp cơ sở:</w:t>
      </w:r>
    </w:p>
    <w:p>
      <w:pPr>
        <w:pStyle w:val="ListBullet"/>
      </w:pPr>
      <w:r>
        <w:t xml:space="preserve">  **Phương pháp nghiên cứu tài liệu:** Phân tích, tổng hợp các văn bản quy phạm pháp luật, lý thuyết và nghiên cứu trước đây về Living Lab và quản trị TSTT.</w:t>
      </w:r>
    </w:p>
    <w:p>
      <w:pPr>
        <w:pStyle w:val="ListBullet"/>
      </w:pPr>
      <w:r>
        <w:t xml:space="preserve">  **Phương pháp khảo sát bằng bảng hỏi (Định lượng):** Thực hiện khảo sát chọn mẫu có chủ đích (khoảng 50 mẫu), tập trung vào nhóm giảng viên, sinh viên có thành tích NCKH và cán bộ chuyên trách để đánh giá nhận thức và rào cản trong quy trình SHTT hiện tại. Dữ liệu được thống kê mô tả.</w:t>
      </w:r>
    </w:p>
    <w:p>
      <w:pPr>
        <w:pStyle w:val="ListBullet"/>
      </w:pPr>
      <w:r>
        <w:t xml:space="preserve">  **Phương pháp phỏng vấn sâu (Định tính):** Tiến hành phỏng vấn bán cấu trúc từ 5-7 nhân sự then chốt (Ban giám hiệu, chuyên viên pháp chế, trưởng đơn vị) nhằm bổ sung thông tin cho kết quả định lượng.</w:t>
      </w:r>
    </w:p>
    <w:p>
      <w:pPr>
        <w:pStyle w:val="ListBullet"/>
      </w:pPr>
      <w:r>
        <w:t xml:space="preserve">  **Phương pháp chuyên gia:** Lấy ý kiến độc lập để đánh giá và hiệu chỉnh khung mô hình trước khi đề xuất chính thức.</w:t>
      </w:r>
    </w:p>
    <w:p>
      <w:pPr>
        <w:pStyle w:val="Heading3"/>
      </w:pPr>
      <w:r>
        <w:t>8. Nội dung nghiên cứu (Đề cương chi tiết)</w:t>
      </w:r>
    </w:p>
    <w:p>
      <w:r>
        <w:t>*(Copy toàn bộ cấu trúc 3 chương bên dưới)*</w:t>
      </w:r>
    </w:p>
    <w:p>
      <w:r/>
      <w:r>
        <w:rPr>
          <w:b/>
        </w:rPr>
        <w:t>MỞ ĐẦU</w:t>
      </w:r>
      <w:r/>
    </w:p>
    <w:p>
      <w:pPr>
        <w:pStyle w:val="ListNumber"/>
      </w:pPr>
      <w:r>
        <w:t>1. Lý do chọn đề tài</w:t>
      </w:r>
    </w:p>
    <w:p>
      <w:pPr>
        <w:pStyle w:val="ListNumber"/>
      </w:pPr>
      <w:r>
        <w:t>2. Mục tiêu nghiên cứu</w:t>
      </w:r>
    </w:p>
    <w:p>
      <w:pPr>
        <w:pStyle w:val="ListNumber"/>
      </w:pPr>
      <w:r>
        <w:t>3. Đối tượng và phạm vi nghiên cứu</w:t>
      </w:r>
    </w:p>
    <w:p>
      <w:pPr>
        <w:pStyle w:val="ListNumber"/>
      </w:pPr>
      <w:r>
        <w:t>4. Phương pháp nghiên cứu</w:t>
      </w:r>
    </w:p>
    <w:p>
      <w:pPr>
        <w:pStyle w:val="ListNumber"/>
      </w:pPr>
      <w:r>
        <w:t>5. Ý nghĩa khoa học và thực tiễn</w:t>
      </w:r>
    </w:p>
    <w:p>
      <w:pPr>
        <w:pStyle w:val="ListNumber"/>
      </w:pPr>
      <w:r>
        <w:t>6. Kết cấu của báo cáo</w:t>
      </w:r>
    </w:p>
    <w:p>
      <w:r/>
      <w:r>
        <w:rPr>
          <w:b/>
        </w:rPr>
        <w:t>CHƯƠNG 1: CƠ SỞ LÝ LUẬN VÀ TỔNG QUAN NGHIÊN CỨU VỀ QUẢN TRỊ TÀI SẢN TRÍ TUỆ THEO MÔ HÌNH LIVING LAB</w:t>
      </w:r>
      <w:r/>
    </w:p>
    <w:p>
      <w:pPr>
        <w:pStyle w:val="ListNumber"/>
      </w:pPr>
      <w:r>
        <w:t>1.1. Cơ sở lý luận về tài sản trí tuệ và quản trị TSTT trong giáo dục</w:t>
      </w:r>
    </w:p>
    <w:p>
      <w:pPr>
        <w:pStyle w:val="ListNumber"/>
      </w:pPr>
      <w:r>
        <w:t>1.2. Mô hình Living Lab: Lý luận, nguyên tắc và tính ứng dụng trong giáo dục đại học</w:t>
      </w:r>
    </w:p>
    <w:p>
      <w:pPr>
        <w:pStyle w:val="ListNumber"/>
      </w:pPr>
      <w:r>
        <w:t>1.3. Khái luận về Hệ sinh thái giáo dục liên cấp và sự phát sinh TSTT</w:t>
      </w:r>
    </w:p>
    <w:p>
      <w:pPr>
        <w:pStyle w:val="ListNumber"/>
      </w:pPr>
      <w:r>
        <w:t>1.4. Khung pháp lý về Sở hữu trí tuệ và quản trị TSTT tại Việt Nam hiện hành</w:t>
      </w:r>
    </w:p>
    <w:p>
      <w:pPr>
        <w:pStyle w:val="ListNumber"/>
      </w:pPr>
      <w:r>
        <w:t>1.5. Tổng quan nghiên cứu trong và ngoài nước</w:t>
      </w:r>
    </w:p>
    <w:p>
      <w:pPr>
        <w:pStyle w:val="ListNumber"/>
      </w:pPr>
      <w:r>
        <w:t>1.6. Khung phân tích của đề tài</w:t>
      </w:r>
    </w:p>
    <w:p>
      <w:r/>
      <w:r>
        <w:rPr>
          <w:b/>
        </w:rPr>
        <w:t>CHƯƠNG 2: THỰC TRẠNG QUẢN TRỊ TÀI SẢN TRÍ TUỆ TẠI TRƯỜNG ĐẠI HỌC THÀNH ĐÔ TRONG BỐI CẢNH HỆ SINH THÁI GIÁO DỤC LIÊN CẤP</w:t>
      </w:r>
      <w:r/>
    </w:p>
    <w:p>
      <w:pPr>
        <w:pStyle w:val="ListNumber"/>
      </w:pPr>
      <w:r>
        <w:t>2.1. Khái quát về bối cảnh Trường ĐH Thành Đô và cấu trúc hệ sinh thái giáo dục liên cấp</w:t>
      </w:r>
    </w:p>
    <w:p>
      <w:pPr>
        <w:pStyle w:val="ListNumber"/>
      </w:pPr>
      <w:r>
        <w:t>2.2. Thực trạng phát sinh, đăng ký và nhận thức về TSTT của các chủ thể</w:t>
      </w:r>
    </w:p>
    <w:p>
      <w:pPr>
        <w:pStyle w:val="ListNumber"/>
      </w:pPr>
      <w:r>
        <w:t>2.3. Thực trạng khai thác, thương mại hóa và năng lực bảo vệ TSTT hiện hành</w:t>
      </w:r>
    </w:p>
    <w:p>
      <w:pPr>
        <w:pStyle w:val="ListNumber"/>
      </w:pPr>
      <w:r>
        <w:t>2.4. Đánh giá mức độ đáp ứng các yếu tố của mô hình Living Lab tại nhà trường</w:t>
      </w:r>
    </w:p>
    <w:p>
      <w:pPr>
        <w:pStyle w:val="ListNumber"/>
      </w:pPr>
      <w:r>
        <w:t>2.5. Đánh giá chung: Kết quả đạt được, hạn chế và nguyên nhân</w:t>
      </w:r>
    </w:p>
    <w:p>
      <w:r/>
      <w:r>
        <w:rPr>
          <w:b/>
        </w:rPr>
        <w:t>CHƯƠNG 3: ĐỀ XUẤT MÔ HÌNH LIVING LAB VÀ GIẢI PHÁP QUẢN TRỊ TÀI SẢN TRÍ TUỆ TẠI TRƯỜNG ĐẠI HỌC THÀNH ĐÔ</w:t>
      </w:r>
      <w:r/>
    </w:p>
    <w:p>
      <w:pPr>
        <w:pStyle w:val="ListNumber"/>
      </w:pPr>
      <w:r>
        <w:t>3.1. Định hướng chiến lược phát triển khoa học công nghệ và SHTT của Trường ĐH Thành Đô</w:t>
      </w:r>
    </w:p>
    <w:p>
      <w:pPr>
        <w:pStyle w:val="ListNumber"/>
      </w:pPr>
      <w:r>
        <w:t>3.2. Cấu trúc mô hình Living Lab đề xuất cho quản trị TSTT</w:t>
      </w:r>
    </w:p>
    <w:p>
      <w:pPr>
        <w:pStyle w:val="ListNumber"/>
      </w:pPr>
      <w:r>
        <w:t>3.3. Nhóm giải pháp triển khai mô hình (Thể chế hóa; Nhân sự; Nền tảng số; Nhận thức)</w:t>
      </w:r>
    </w:p>
    <w:p>
      <w:pPr>
        <w:pStyle w:val="ListNumber"/>
      </w:pPr>
      <w:r>
        <w:t>3.4. Đánh giá tính khả thi và các điều kiện thực hiện</w:t>
      </w:r>
    </w:p>
    <w:p>
      <w:pPr>
        <w:pStyle w:val="ListNumber"/>
      </w:pPr>
      <w:r>
        <w:t>3.5. Lộ trình thực thi dự kiến</w:t>
      </w:r>
    </w:p>
    <w:p>
      <w:r/>
      <w:r>
        <w:rPr>
          <w:b/>
        </w:rPr>
        <w:t>KẾT LUẬN</w:t>
      </w:r>
      <w:r/>
    </w:p>
    <w:p>
      <w:r/>
      <w:r>
        <w:rPr>
          <w:b/>
        </w:rPr>
        <w:t>TÀI LIỆU THAM KHẢO</w:t>
      </w:r>
      <w:r/>
    </w:p>
    <w:p>
      <w:pPr>
        <w:pStyle w:val="Heading2"/>
      </w:pPr>
      <w:r>
        <w:t>TÀI LIỆU THAM KHẢO DỰ KIẾN</w:t>
      </w:r>
    </w:p>
    <w:p>
      <w:r/>
      <w:r>
        <w:rPr>
          <w:b/>
        </w:rPr>
        <w:t>I. Văn bản quy phạm pháp luật</w:t>
      </w:r>
      <w:r/>
    </w:p>
    <w:p>
      <w:pPr>
        <w:pStyle w:val="ListNumber"/>
      </w:pPr>
      <w:r>
        <w:t>1. Chính phủ. (2026). *Nghị định số 134/2026/NĐ-CP sửa đổi, bổ sung một số điều của Nghị định số 17/2023/NĐ-CP quy định chi tiết một số điều và biện pháp thi hành Luật Sở hữu trí tuệ về quyền tác giả, quyền liên quan*.</w:t>
      </w:r>
    </w:p>
    <w:p>
      <w:pPr>
        <w:pStyle w:val="ListNumber"/>
      </w:pPr>
      <w:r>
        <w:t>2. Quốc hội. (2025). *Luật số 93/2025/QH15: Luật Khoa học, công nghệ và đổi mới sáng tạo*.</w:t>
      </w:r>
    </w:p>
    <w:p>
      <w:pPr>
        <w:pStyle w:val="ListNumber"/>
      </w:pPr>
      <w:r>
        <w:t>3. Quốc hội. (2025). *Luật số 123/2025/QH15: Luật sửa đổi, bổ sung một số điều của Luật Giáo dục*.</w:t>
      </w:r>
    </w:p>
    <w:p>
      <w:pPr>
        <w:pStyle w:val="ListNumber"/>
      </w:pPr>
      <w:r>
        <w:t>4. Quốc hội. (2025). *Luật số 131/2025/QH15: Luật sửa đổi, bổ sung một số điều của Luật Sở hữu trí tuệ*.</w:t>
      </w:r>
    </w:p>
    <w:p>
      <w:r/>
      <w:r>
        <w:rPr>
          <w:b/>
        </w:rPr>
        <w:t>II. Tài liệu học thuật (Sách, Bài báo)</w:t>
      </w:r>
      <w:r>
        <w:t xml:space="preserve"> (Chuẩn APA 7th)</w:t>
      </w:r>
    </w:p>
    <w:p>
      <w:r>
        <w:t>*(Danh mục đã được hiệu đính sau khi trích xuất dữ liệu trực tiếp từ file PDF)*</w:t>
      </w:r>
    </w:p>
    <w:p>
      <w:pPr>
        <w:pStyle w:val="ListNumber"/>
      </w:pPr>
      <w:r>
        <w:t>1. Evans, J., Jones, R., Karvonen, A., Millard, L., &amp; Wendler, J. (2015). Living labs and co-production: university campuses as platforms for sustainability science. *Current Opinion in Environmental Sustainability, 14*, 1-6. https://doi.org/10.1016/j.cosust.2015.06.005</w:t>
      </w:r>
    </w:p>
    <w:p>
      <w:pPr>
        <w:pStyle w:val="ListNumber"/>
      </w:pPr>
      <w:r>
        <w:t>2. Gascó, M. (2021). Teaching university students co-creation and living lab methodologies through experiential learning activities. *Health Informatics Journal, 27*(1), 1460458221991204. https://doi.org/10.1177/1460458221991204</w:t>
      </w:r>
    </w:p>
    <w:p>
      <w:pPr>
        <w:pStyle w:val="ListNumber"/>
      </w:pPr>
      <w:r>
        <w:t>3. Leal Filho, W., Ozuyar, P. G., Dinis, M. A. P., Azul, A. M., Alvarez, M. G., Neiva, S. d. S., Salvia, A. L., Borsari, B., Danila, A., &amp; Vasconcelos, C. R. (2023). Living labs in the context of the UN sustainable development goals: state of the art. *Sustainability Science, 18*, 1163–1179. https://doi.org/10.1007/s11625-022-01240-w</w:t>
      </w:r>
    </w:p>
    <w:p>
      <w:pPr>
        <w:pStyle w:val="ListNumber"/>
      </w:pPr>
      <w:r>
        <w:t>4. Ngô, N. T., Phan, V. H., &amp; Đặng, Đ. H. P. (2026). Nghiên cứu phát triển mô hình Living Lab giảm phát thải khí nhà kính ở cảng biển Việt Nam. *Tạp chí Khoa học Công nghệ Hàng hải, 85*, 295-302. https://doi.org/10.65154/jmst.947</w:t>
      </w:r>
    </w:p>
    <w:p>
      <w:pPr>
        <w:pStyle w:val="ListNumber"/>
      </w:pPr>
      <w:r>
        <w:t>5. Nguyễn, M. H. T. (2025). Quản trị tài sản trí tuệ tại các cơ sở giáo dục đại học: Cơ hội và thách thức trong bối cảnh cuộc cách mạng công nghiệp 4.0. *Tạp chí Khoa học Trường Đại học Sư phạm TP Hồ Chí Minh, 22*(1), 123-131. https://doi.org/10.54607/hcmue.js.22.1.4287(2025)</w:t>
      </w:r>
    </w:p>
    <w:p>
      <w:pPr>
        <w:pStyle w:val="ListNumber"/>
      </w:pPr>
      <w:r>
        <w:t>6. Perkmann, M., Tartari, V., McKelvey, M., Autio, E., Broström, A., D’Este, P., Fini, R., Geuna, A., Grimaldi, R., Hughes, A., Krabel, S., Kitson, M., Llerena, P., Lissoni, F., Salter, A., &amp; Sobrero, M. (2013). Academic engagement and commercialisation: A review of the literature on university–industry relations. *Research Policy, 42*(2), 423-442. https://doi.org/10.1016/j.respol.2012.09.007</w:t>
      </w:r>
    </w:p>
    <w:p>
      <w:pPr>
        <w:pStyle w:val="ListNumber"/>
      </w:pPr>
      <w:r>
        <w:t>7. Rialti, R., Marzi, G., Caputo, A., &amp; Mayah, K. A. (2022). Establishing successful university–industry collaborations: barriers and enablers deconstructed. *The Journal of Technology Transfer*. https://doi.org/10.1007/s10961-022-09932-2</w:t>
      </w:r>
    </w:p>
    <w:p>
      <w:pPr>
        <w:pStyle w:val="ListNumber"/>
      </w:pPr>
      <w:r>
        <w:t>8. Teece, D. J. (2018). Profiting from innovation in the digital economy: Enabling technologies, standards, and licensing models in the wireless world. *Research Policy, 47*(8), 1367-1387. https://doi.org/10.1016/j.respol.2017.01.015</w:t>
      </w:r>
    </w:p>
    <w:p>
      <w:pPr>
        <w:pStyle w:val="ListNumber"/>
      </w:pPr>
      <w:r>
        <w:t>9. Tercanli, H., &amp; Jongbloed, B. (2022). A Systematic Review of the Literature on Living Labs in Higher Education Institutions: Potentials and Constraints. *Sustainability, 14*(19), 12234. https://doi.org/10.3390/su141912234</w:t>
      </w:r>
    </w:p>
    <w:p>
      <w:pPr>
        <w:pStyle w:val="ListNumber"/>
      </w:pPr>
      <w:r>
        <w:t>10. Trịnh, T. A., Phạm, N. H., Đỗ, L. P. T., Phan, N. Q., &amp; Trịnh, T. A. (2024). Living Lab: Bài học quốc tế và đề xuất cho Việt Nam. *Tạp chí Khoa học Đại học Mở Thành phố Hồ Chí Minh - Kinh tế và Quản trị Kinh doanh, 19*(5), 3-16. https://doi.org/10.46223/HCMCOUJS.econ.vi.19.5.2886.2024</w:t>
      </w:r>
    </w:p>
    <w:p>
      <w:pPr>
        <w:pStyle w:val="ListNumber"/>
      </w:pPr>
      <w:r>
        <w:t>11. Võ, N. H. P. (2025). Quyền của chủ thể không giữ quyền tài sản đối với các tác phẩm hình thành trong nhà trường, kinh nghiệm quốc tế để hoàn thiện chính sách sở hữu trí tuệ của các trường đại học tại Việt Nam. *Tạp chí Khoa học Đại học Mở Thành phố Hồ Chí Minh*. https://doi.org/10.59266/houjs.2025.606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