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32"/>
        </w:rPr>
        <w:t>CHƯƠNG 2</w:t>
        <w:br/>
        <w:t>THỰC TRẠNG QUẢN LÝ QUYỀN SỞ HỮU TRÍ TUỆ</w:t>
        <w:br/>
        <w:t>TẠI TRƯỜNG ĐẠI HỌC THÀNH ĐÔ</w:t>
      </w:r>
    </w:p>
    <w:p>
      <w:pPr/>
      <w:r>
        <w:rPr>
          <w:rFonts w:ascii="Times New Roman" w:hAnsi="Times New Roman"/>
          <w:i w:val="0"/>
        </w:rPr>
        <w:t>Chương này đánh giá thực trạng quản lý quyền sở hữu trí tuệ (SHTT) tại Trường Đại học Thành Đô. Nội dung phân tích đi từ các đề tài nghiên cứu, kết quả tạo ra, việc xem xét khả năng bảo hộ, đăng ký quyền SHTT đến việc sử dụng và khai thác các tài sản này. Cách tiếp cận này phù hợp với Quy chế quản trị tài sản trí tuệ (TSTT) của Trường, vì TSTT không chỉ gồm sáng chế, nhãn hiệu và kiểu dáng công nghiệp mà còn có công bố khoa học, dữ liệu, học liệu, phần mềm, thông tin kỹ thuật, bí quyết và các kết quả sáng tạo khác.</w:t>
      </w:r>
    </w:p>
    <w:p>
      <w:pPr/>
      <w:r>
        <w:rPr>
          <w:rFonts w:ascii="Times New Roman" w:hAnsi="Times New Roman"/>
          <w:b w:val="0"/>
          <w:i w:val="0"/>
          <w:sz w:val="26"/>
        </w:rPr>
        <w:t>Dữ liệu sử dụng gồm 38 đề tài cấp cơ sở giai đoạn 2021–2025, 90 kết quả nghiên cứu được ghi nhận từ hồ sơ nghiệm thu, danh sách quyền SHTT do Trường cung cấp, danh mục công bố khoa học và các văn bản nội bộ. Với những nội dung chưa có đủ hồ sơ, nghiên cứu chỉ nêu rõ là chưa có tài liệu để xác nhận, không suy ra rằng hoạt động đó chắc chắn không diễn ra.</w:t>
      </w:r>
    </w:p>
    <w:p>
      <w:pPr>
        <w:pStyle w:val="Heading1"/>
        <w:ind w:firstLine="0"/>
      </w:pPr>
      <w:r>
        <w:rPr>
          <w:rFonts w:ascii="Times New Roman" w:hAnsi="Times New Roman"/>
          <w:b/>
          <w:i w:val="0"/>
          <w:sz w:val="26"/>
        </w:rPr>
        <w:t>2.1. Khái quát công tác quản lý sở hữu trí tuệ của Trường</w:t>
      </w:r>
    </w:p>
    <w:p>
      <w:pPr/>
      <w:r>
        <w:rPr>
          <w:rFonts w:ascii="Times New Roman" w:hAnsi="Times New Roman"/>
          <w:b w:val="0"/>
          <w:i w:val="0"/>
          <w:sz w:val="26"/>
        </w:rPr>
        <w:t>Trong phần lớn giai đoạn 2021–2024, quản lý quyền SHTT tại Trường được đặt trong Quy chế hoạt động KHCN ban hành theo Quyết định số 213/QĐ-ĐHTĐ năm 2021. Quy chế này đã tạo nền tảng cho việc xác định quyền đối với kết quả đề tài, bảo mật kết quả nghiên cứu, đăng ký quyền SHTT và chuyển giao công nghệ. Đáng chú ý, Điều 35 thiết lập trình tự đăng ký từ việc tác giả nộp hồ sơ tại Phòng Khoa học và Công nghệ, kiểm tra hình thức, trình Hiệu trưởng ký, đến nộp đơn và lệ phí tại cơ quan nhà nước có thẩm quyền. Như vậy, trước khi có một quy chế chuyên biệt về TSTT, Trường đã có các khâu cơ bản của quá trình xác lập quyền.</w:t>
      </w:r>
    </w:p>
    <w:p>
      <w:pPr/>
      <w:r>
        <w:rPr>
          <w:rFonts w:ascii="Times New Roman" w:hAnsi="Times New Roman"/>
          <w:i w:val="0"/>
        </w:rPr>
        <w:t>Ngày 21/11/2024, Trường ban hành Quy chế quản trị TSTT theo Quyết định số 217/QĐ-ĐHTĐ và Quy chế có hiệu lực cùng ngày. So với Quy chế KHCN năm 2021, văn bản này quy định rõ hơn việc quản lý TSTT trong suốt quá trình từ hình thành, xác lập quyền, bảo vệ, theo dõi đến khai thác. Phòng Khoa học và Công nghệ được giao xây dựng quy trình, biểu mẫu khai báo, nhận diện TSTT mới, lập hồ sơ thống kê và phối hợp khai thác, thương mại hóa.</w:t>
      </w:r>
    </w:p>
    <w:p>
      <w:pPr/>
      <w:r>
        <w:rPr>
          <w:rFonts w:ascii="Times New Roman" w:hAnsi="Times New Roman"/>
          <w:i w:val="0"/>
        </w:rPr>
        <w:t>Vì vậy, đánh giá thực trạng không chỉ dựa vào số văn bằng SHTT. Nghiên cứu còn xem xét kết quả nghiên cứu nào có khả năng hình thành TSTT, kết quả nào đã được đăng ký, sau khi đăng ký có được theo dõi và sử dụng hay không. Cách làm này giúp phản ánh đầy đủ hơn công tác quản lý SHTT của Trường.</w:t>
      </w:r>
    </w:p>
    <w:p>
      <w:pPr>
        <w:pStyle w:val="CaptionVN"/>
      </w:pPr>
      <w:r>
        <w:rPr>
          <w:rFonts w:ascii="Times New Roman" w:hAnsi="Times New Roman"/>
          <w:b/>
        </w:rPr>
        <w:t>Bảng 2.1. Hai lớp quy định nội bộ chủ yếu về quản lý SHTT tại Trường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center"/>
            <w:shd w:fill="D9EAF7"/>
          </w:tcPr>
          <w:p>
            <w:pPr>
              <w:spacing w:after="0"/>
              <w:ind w:firstLine="0"/>
              <w:jc w:val="center"/>
            </w:pPr>
            <w:r>
              <w:t>Văn bản</w:t>
            </w:r>
            <w:r>
              <w:rPr>
                <w:rFonts w:ascii="Times New Roman" w:hAnsi="Times New Roman"/>
                <w:b/>
                <w:sz w:val="20"/>
              </w:rPr>
            </w:r>
          </w:p>
        </w:tc>
        <w:tc>
          <w:tcPr>
            <w:tcW w:type="dxa" w:w="1474"/>
            <w:vAlign w:val="center"/>
            <w:shd w:fill="D9EAF7"/>
          </w:tcPr>
          <w:p>
            <w:pPr>
              <w:spacing w:after="0"/>
              <w:ind w:firstLine="0"/>
              <w:jc w:val="center"/>
            </w:pPr>
            <w:r>
              <w:t>Hiệu lực</w:t>
            </w:r>
            <w:r>
              <w:rPr>
                <w:rFonts w:ascii="Times New Roman" w:hAnsi="Times New Roman"/>
                <w:b/>
                <w:sz w:val="20"/>
              </w:rPr>
            </w:r>
          </w:p>
        </w:tc>
        <w:tc>
          <w:tcPr>
            <w:tcW w:type="dxa" w:w="2835"/>
            <w:vAlign w:val="center"/>
            <w:shd w:fill="D9EAF7"/>
          </w:tcPr>
          <w:p>
            <w:pPr>
              <w:spacing w:after="0"/>
              <w:ind w:firstLine="0"/>
              <w:jc w:val="center"/>
            </w:pPr>
            <w:r>
              <w:t>Trọng tâm</w:t>
            </w:r>
            <w:r>
              <w:rPr>
                <w:rFonts w:ascii="Times New Roman" w:hAnsi="Times New Roman"/>
                <w:b/>
                <w:sz w:val="20"/>
              </w:rPr>
            </w:r>
          </w:p>
        </w:tc>
        <w:tc>
          <w:tcPr>
            <w:tcW w:type="dxa" w:w="3515"/>
            <w:vAlign w:val="center"/>
            <w:shd w:fill="D9EAF7"/>
          </w:tcPr>
          <w:p>
            <w:pPr>
              <w:spacing w:after="0"/>
              <w:ind w:firstLine="0"/>
              <w:jc w:val="center"/>
            </w:pPr>
            <w:r>
              <w:t>Ý nghĩa đối với đánh giá thực trạng</w:t>
            </w:r>
            <w:r>
              <w:rPr>
                <w:rFonts w:ascii="Times New Roman" w:hAnsi="Times New Roman"/>
                <w:b/>
                <w:sz w:val="20"/>
              </w:rPr>
            </w:r>
          </w:p>
        </w:tc>
      </w:tr>
      <w:tr>
        <w:tc>
          <w:tcPr>
            <w:tcW w:type="dxa" w:w="2268"/>
            <w:vAlign w:val="center"/>
          </w:tcPr>
          <w:p>
            <w:pPr>
              <w:spacing w:after="0"/>
              <w:ind w:firstLine="0"/>
              <w:jc w:val="left"/>
            </w:pPr>
            <w:r>
              <w:t>QĐ 213/QĐ-ĐHTĐ – Quy chế hoạt động KHCN năm 2021</w:t>
            </w:r>
            <w:r>
              <w:rPr>
                <w:rFonts w:ascii="Times New Roman" w:hAnsi="Times New Roman"/>
                <w:b w:val="0"/>
                <w:sz w:val="20"/>
              </w:rPr>
            </w:r>
          </w:p>
        </w:tc>
        <w:tc>
          <w:tcPr>
            <w:tcW w:type="dxa" w:w="1474"/>
            <w:vAlign w:val="center"/>
          </w:tcPr>
          <w:p>
            <w:pPr>
              <w:spacing w:after="0"/>
              <w:ind w:firstLine="0"/>
              <w:jc w:val="left"/>
            </w:pPr>
            <w:r>
              <w:t>Từ 01/01/2022</w:t>
            </w:r>
            <w:r>
              <w:rPr>
                <w:rFonts w:ascii="Times New Roman" w:hAnsi="Times New Roman"/>
                <w:b w:val="0"/>
                <w:sz w:val="20"/>
              </w:rPr>
            </w:r>
          </w:p>
        </w:tc>
        <w:tc>
          <w:tcPr>
            <w:tcW w:type="dxa" w:w="2835"/>
            <w:vAlign w:val="center"/>
          </w:tcPr>
          <w:p>
            <w:pPr>
              <w:spacing w:after="0"/>
              <w:ind w:firstLine="0"/>
              <w:jc w:val="left"/>
            </w:pPr>
            <w:r>
              <w:t>Quyền đối với kết quả đề tài; đăng ký; bảo mật; chuyển giao; phân chia lợi ích</w:t>
            </w:r>
            <w:r>
              <w:rPr>
                <w:rFonts w:ascii="Times New Roman" w:hAnsi="Times New Roman"/>
                <w:b w:val="0"/>
                <w:sz w:val="20"/>
              </w:rPr>
            </w:r>
          </w:p>
        </w:tc>
        <w:tc>
          <w:tcPr>
            <w:tcW w:type="dxa" w:w="3515"/>
            <w:vAlign w:val="center"/>
          </w:tcPr>
          <w:p>
            <w:pPr>
              <w:spacing w:after="0"/>
              <w:ind w:firstLine="0"/>
              <w:jc w:val="left"/>
            </w:pPr>
            <w:r>
              <w:t>Chuẩn nền cho hoạt động KHCN và quy trình đăng ký quyền trong phần lớn giai đoạn nghiên cứu</w:t>
            </w:r>
            <w:r>
              <w:rPr>
                <w:rFonts w:ascii="Times New Roman" w:hAnsi="Times New Roman"/>
                <w:b w:val="0"/>
                <w:sz w:val="20"/>
              </w:rPr>
            </w:r>
          </w:p>
        </w:tc>
      </w:tr>
      <w:tr>
        <w:tc>
          <w:tcPr>
            <w:tcW w:type="dxa" w:w="2268"/>
            <w:vAlign w:val="center"/>
          </w:tcPr>
          <w:p>
            <w:pPr>
              <w:spacing w:after="0"/>
              <w:ind w:firstLine="0"/>
              <w:jc w:val="left"/>
            </w:pPr>
            <w:r>
              <w:t>QĐ 217/QĐ-ĐHTĐ – Quy chế quản trị TSTT</w:t>
            </w:r>
            <w:r>
              <w:rPr>
                <w:rFonts w:ascii="Times New Roman" w:hAnsi="Times New Roman"/>
                <w:b w:val="0"/>
                <w:sz w:val="20"/>
              </w:rPr>
            </w:r>
          </w:p>
        </w:tc>
        <w:tc>
          <w:tcPr>
            <w:tcW w:type="dxa" w:w="1474"/>
            <w:vAlign w:val="center"/>
          </w:tcPr>
          <w:p>
            <w:pPr>
              <w:spacing w:after="0"/>
              <w:ind w:firstLine="0"/>
              <w:jc w:val="left"/>
            </w:pPr>
            <w:r>
              <w:t>Từ 21/11/2024</w:t>
            </w:r>
            <w:r>
              <w:rPr>
                <w:rFonts w:ascii="Times New Roman" w:hAnsi="Times New Roman"/>
                <w:b w:val="0"/>
                <w:sz w:val="20"/>
              </w:rPr>
            </w:r>
          </w:p>
        </w:tc>
        <w:tc>
          <w:tcPr>
            <w:tcW w:type="dxa" w:w="2835"/>
            <w:vAlign w:val="center"/>
          </w:tcPr>
          <w:p>
            <w:pPr>
              <w:spacing w:after="0"/>
              <w:ind w:firstLine="0"/>
              <w:jc w:val="left"/>
            </w:pPr>
            <w:r>
              <w:t>Tạo lập – xác lập – bảo vệ – theo dõi – khai thác TSTT</w:t>
            </w:r>
            <w:r>
              <w:rPr>
                <w:rFonts w:ascii="Times New Roman" w:hAnsi="Times New Roman"/>
                <w:b w:val="0"/>
                <w:sz w:val="20"/>
              </w:rPr>
            </w:r>
          </w:p>
        </w:tc>
        <w:tc>
          <w:tcPr>
            <w:tcW w:type="dxa" w:w="3515"/>
            <w:vAlign w:val="center"/>
          </w:tcPr>
          <w:p>
            <w:r>
              <w:t>Chuẩn chuyên biệt để đánh giá quá trình quản lý TSTT từ cuối năm 2024</w:t>
            </w:r>
          </w:p>
        </w:tc>
      </w:tr>
    </w:tbl>
    <w:p>
      <w:pPr>
        <w:pStyle w:val="SourceVN"/>
      </w:pPr>
      <w:r>
        <w:rPr>
          <w:rFonts w:ascii="Times New Roman" w:hAnsi="Times New Roman"/>
          <w:i/>
        </w:rPr>
        <w:t>Nguồn: Tác giả tổng hợp từ QĐ 213/QĐ-ĐHTĐ năm 2021 và QĐ 217/QĐ-ĐHTĐ ngày 21/11/2024.</w:t>
      </w:r>
    </w:p>
    <w:p>
      <w:pPr>
        <w:pStyle w:val="Heading1"/>
        <w:ind w:firstLine="0"/>
      </w:pPr>
      <w:r>
        <w:rPr>
          <w:rFonts w:ascii="Times New Roman" w:hAnsi="Times New Roman"/>
          <w:b/>
          <w:i w:val="0"/>
          <w:sz w:val="26"/>
        </w:rPr>
        <w:t>2.2. Kết quả nghiên cứu và tài sản trí tuệ hình thành</w:t>
      </w:r>
    </w:p>
    <w:p>
      <w:pPr/>
      <w:r>
        <w:rPr>
          <w:rFonts w:ascii="Times New Roman" w:hAnsi="Times New Roman"/>
          <w:b w:val="0"/>
          <w:i w:val="0"/>
          <w:sz w:val="26"/>
        </w:rPr>
        <w:t>Qua 38 đề tài cho thấy, một đề tài có thể tạo ra nhiều kết quả khác nhau như báo cáo, bài báo, quy trình, công thức, sản phẩm mẫu hoặc học liệu. Vì vậy, nghiên cứu ghi nhận riêng từng kết quả để xem kết quả nào cần được xem xét về SHTT.</w:t>
      </w:r>
    </w:p>
    <w:p>
      <w:pPr/>
      <w:r>
        <w:rPr>
          <w:rFonts w:ascii="Times New Roman" w:hAnsi="Times New Roman"/>
          <w:b w:val="0"/>
          <w:i w:val="0"/>
          <w:sz w:val="26"/>
        </w:rPr>
        <w:t>Tổng cộng có 90 kết quả nghiên cứu được ghi nhận từ 38 đề tài. Năm 2024 có 8 đề tài và 27 kết quả, bình quân 3,38 kết quả trên một đề tài; trong khi năm 2022 có 10 đề tài và 14 kết quả, bình quân 1,40 kết quả trên một đề tài. Từ năm 2023 trở đi, kết quả nghiên cứu đa dạng hơn: ngoài báo cáo và bài báo còn có sản phẩm mẫu, quy trình, công thức và giải pháp ứng dụng. Tuy nhiên, không phải mọi kết quả đều cần đăng ký quyền sở hữu công nghiệp; hình thức quản lý phải phụ thuộc vào đặc điểm và mục đích sử dụng của từng kết quả.</w:t>
      </w:r>
    </w:p>
    <w:p>
      <w:pPr>
        <w:pStyle w:val="CaptionVN"/>
      </w:pPr>
      <w:r>
        <w:rPr>
          <w:rFonts w:ascii="Times New Roman" w:hAnsi="Times New Roman"/>
          <w:b w:val="0"/>
          <w:i w:val="0"/>
          <w:sz w:val="26"/>
        </w:rPr>
        <w:t>Bảng 2.2. Số đề tài và kết quả nghiên cứu theo năm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247"/>
            <w:vAlign w:val="center"/>
            <w:shd w:fill="D9EAF7"/>
          </w:tcPr>
          <w:p>
            <w:pPr>
              <w:spacing w:after="0"/>
              <w:ind w:firstLine="0"/>
              <w:jc w:val="center"/>
            </w:pPr>
            <w:r>
              <w:t>Năm</w:t>
            </w:r>
            <w:r>
              <w:rPr>
                <w:rFonts w:ascii="Times New Roman" w:hAnsi="Times New Roman"/>
                <w:b/>
                <w:sz w:val="20"/>
              </w:rPr>
            </w:r>
          </w:p>
        </w:tc>
        <w:tc>
          <w:tcPr>
            <w:tcW w:type="dxa" w:w="1701"/>
            <w:vAlign w:val="center"/>
            <w:shd w:fill="D9EAF7"/>
          </w:tcPr>
          <w:p>
            <w:pPr>
              <w:spacing w:after="0"/>
              <w:ind w:firstLine="0"/>
              <w:jc w:val="center"/>
            </w:pPr>
            <w:r>
              <w:t>Số đề tài</w:t>
            </w:r>
            <w:r>
              <w:rPr>
                <w:rFonts w:ascii="Times New Roman" w:hAnsi="Times New Roman"/>
                <w:b/>
                <w:sz w:val="20"/>
              </w:rPr>
            </w:r>
          </w:p>
        </w:tc>
        <w:tc>
          <w:tcPr>
            <w:tcW w:type="dxa" w:w="1984"/>
            <w:vAlign w:val="center"/>
            <w:shd w:fill="D9EAF7"/>
          </w:tcPr>
          <w:p>
            <w:r>
              <w:t>Số kết quả nghiên cứu</w:t>
            </w:r>
          </w:p>
        </w:tc>
        <w:tc>
          <w:tcPr>
            <w:tcW w:type="dxa" w:w="2268"/>
            <w:vAlign w:val="center"/>
            <w:shd w:fill="D9EAF7"/>
          </w:tcPr>
          <w:p>
            <w:r>
              <w:t>Bình quân kết quả/đề tài</w:t>
            </w:r>
          </w:p>
        </w:tc>
      </w:tr>
      <w:tr>
        <w:tc>
          <w:tcPr>
            <w:tcW w:type="dxa" w:w="1247"/>
            <w:vAlign w:val="center"/>
          </w:tcPr>
          <w:p>
            <w:pPr>
              <w:spacing w:after="0"/>
              <w:ind w:firstLine="0"/>
              <w:jc w:val="left"/>
            </w:pPr>
            <w:r>
              <w:t>2021</w:t>
            </w:r>
            <w:r>
              <w:rPr>
                <w:rFonts w:ascii="Times New Roman" w:hAnsi="Times New Roman"/>
                <w:b w:val="0"/>
                <w:sz w:val="20"/>
              </w:rPr>
            </w:r>
          </w:p>
        </w:tc>
        <w:tc>
          <w:tcPr>
            <w:tcW w:type="dxa" w:w="1701"/>
            <w:vAlign w:val="center"/>
          </w:tcPr>
          <w:p>
            <w:pPr>
              <w:spacing w:after="0"/>
              <w:ind w:firstLine="0"/>
              <w:jc w:val="left"/>
            </w:pPr>
            <w:r>
              <w:t>6</w:t>
            </w:r>
            <w:r>
              <w:rPr>
                <w:rFonts w:ascii="Times New Roman" w:hAnsi="Times New Roman"/>
                <w:b w:val="0"/>
                <w:sz w:val="20"/>
              </w:rPr>
            </w:r>
          </w:p>
        </w:tc>
        <w:tc>
          <w:tcPr>
            <w:tcW w:type="dxa" w:w="1984"/>
            <w:vAlign w:val="center"/>
          </w:tcPr>
          <w:p>
            <w:pPr>
              <w:spacing w:after="0"/>
              <w:ind w:firstLine="0"/>
              <w:jc w:val="left"/>
            </w:pPr>
            <w:r>
              <w:t>11</w:t>
            </w:r>
            <w:r>
              <w:rPr>
                <w:rFonts w:ascii="Times New Roman" w:hAnsi="Times New Roman"/>
                <w:b w:val="0"/>
                <w:sz w:val="20"/>
              </w:rPr>
            </w:r>
          </w:p>
        </w:tc>
        <w:tc>
          <w:tcPr>
            <w:tcW w:type="dxa" w:w="2268"/>
            <w:vAlign w:val="center"/>
          </w:tcPr>
          <w:p>
            <w:pPr>
              <w:spacing w:after="0"/>
              <w:ind w:firstLine="0"/>
              <w:jc w:val="left"/>
            </w:pPr>
            <w:r>
              <w:t>1,83</w:t>
            </w:r>
            <w:r>
              <w:rPr>
                <w:rFonts w:ascii="Times New Roman" w:hAnsi="Times New Roman"/>
                <w:b w:val="0"/>
                <w:sz w:val="20"/>
              </w:rPr>
            </w:r>
          </w:p>
        </w:tc>
      </w:tr>
      <w:tr>
        <w:tc>
          <w:tcPr>
            <w:tcW w:type="dxa" w:w="1247"/>
            <w:vAlign w:val="center"/>
          </w:tcPr>
          <w:p>
            <w:pPr>
              <w:spacing w:after="0"/>
              <w:ind w:firstLine="0"/>
              <w:jc w:val="left"/>
            </w:pPr>
            <w:r>
              <w:t>2022</w:t>
            </w:r>
            <w:r>
              <w:rPr>
                <w:rFonts w:ascii="Times New Roman" w:hAnsi="Times New Roman"/>
                <w:b w:val="0"/>
                <w:sz w:val="20"/>
              </w:rPr>
            </w:r>
          </w:p>
        </w:tc>
        <w:tc>
          <w:tcPr>
            <w:tcW w:type="dxa" w:w="1701"/>
            <w:vAlign w:val="center"/>
          </w:tcPr>
          <w:p>
            <w:pPr>
              <w:spacing w:after="0"/>
              <w:ind w:firstLine="0"/>
              <w:jc w:val="left"/>
            </w:pPr>
            <w:r>
              <w:t>10</w:t>
            </w:r>
            <w:r>
              <w:rPr>
                <w:rFonts w:ascii="Times New Roman" w:hAnsi="Times New Roman"/>
                <w:b w:val="0"/>
                <w:sz w:val="20"/>
              </w:rPr>
            </w:r>
          </w:p>
        </w:tc>
        <w:tc>
          <w:tcPr>
            <w:tcW w:type="dxa" w:w="1984"/>
            <w:vAlign w:val="center"/>
          </w:tcPr>
          <w:p>
            <w:pPr>
              <w:spacing w:after="0"/>
              <w:ind w:firstLine="0"/>
              <w:jc w:val="left"/>
            </w:pPr>
            <w:r>
              <w:t>14</w:t>
            </w:r>
            <w:r>
              <w:rPr>
                <w:rFonts w:ascii="Times New Roman" w:hAnsi="Times New Roman"/>
                <w:b w:val="0"/>
                <w:sz w:val="20"/>
              </w:rPr>
            </w:r>
          </w:p>
        </w:tc>
        <w:tc>
          <w:tcPr>
            <w:tcW w:type="dxa" w:w="2268"/>
            <w:vAlign w:val="center"/>
          </w:tcPr>
          <w:p>
            <w:pPr>
              <w:spacing w:after="0"/>
              <w:ind w:firstLine="0"/>
              <w:jc w:val="left"/>
            </w:pPr>
            <w:r>
              <w:t>1,40</w:t>
            </w:r>
            <w:r>
              <w:rPr>
                <w:rFonts w:ascii="Times New Roman" w:hAnsi="Times New Roman"/>
                <w:b w:val="0"/>
                <w:sz w:val="20"/>
              </w:rPr>
            </w:r>
          </w:p>
        </w:tc>
      </w:tr>
      <w:tr>
        <w:tc>
          <w:tcPr>
            <w:tcW w:type="dxa" w:w="1247"/>
            <w:vAlign w:val="center"/>
          </w:tcPr>
          <w:p>
            <w:pPr>
              <w:spacing w:after="0"/>
              <w:ind w:firstLine="0"/>
              <w:jc w:val="left"/>
            </w:pPr>
            <w:r>
              <w:t>2023</w:t>
            </w:r>
            <w:r>
              <w:rPr>
                <w:rFonts w:ascii="Times New Roman" w:hAnsi="Times New Roman"/>
                <w:b w:val="0"/>
                <w:sz w:val="20"/>
              </w:rPr>
            </w:r>
          </w:p>
        </w:tc>
        <w:tc>
          <w:tcPr>
            <w:tcW w:type="dxa" w:w="1701"/>
            <w:vAlign w:val="center"/>
          </w:tcPr>
          <w:p>
            <w:pPr>
              <w:spacing w:after="0"/>
              <w:ind w:firstLine="0"/>
              <w:jc w:val="left"/>
            </w:pPr>
            <w:r>
              <w:t>7</w:t>
            </w:r>
            <w:r>
              <w:rPr>
                <w:rFonts w:ascii="Times New Roman" w:hAnsi="Times New Roman"/>
                <w:b w:val="0"/>
                <w:sz w:val="20"/>
              </w:rPr>
            </w:r>
          </w:p>
        </w:tc>
        <w:tc>
          <w:tcPr>
            <w:tcW w:type="dxa" w:w="1984"/>
            <w:vAlign w:val="center"/>
          </w:tcPr>
          <w:p>
            <w:pPr>
              <w:spacing w:after="0"/>
              <w:ind w:firstLine="0"/>
              <w:jc w:val="left"/>
            </w:pPr>
            <w:r>
              <w:t>21</w:t>
            </w:r>
            <w:r>
              <w:rPr>
                <w:rFonts w:ascii="Times New Roman" w:hAnsi="Times New Roman"/>
                <w:b w:val="0"/>
                <w:sz w:val="20"/>
              </w:rPr>
            </w:r>
          </w:p>
        </w:tc>
        <w:tc>
          <w:tcPr>
            <w:tcW w:type="dxa" w:w="2268"/>
            <w:vAlign w:val="center"/>
          </w:tcPr>
          <w:p>
            <w:pPr>
              <w:spacing w:after="0"/>
              <w:ind w:firstLine="0"/>
              <w:jc w:val="left"/>
            </w:pPr>
            <w:r>
              <w:t>3,00</w:t>
            </w:r>
            <w:r>
              <w:rPr>
                <w:rFonts w:ascii="Times New Roman" w:hAnsi="Times New Roman"/>
                <w:b w:val="0"/>
                <w:sz w:val="20"/>
              </w:rPr>
            </w:r>
          </w:p>
        </w:tc>
      </w:tr>
      <w:tr>
        <w:tc>
          <w:tcPr>
            <w:tcW w:type="dxa" w:w="1247"/>
            <w:vAlign w:val="center"/>
          </w:tcPr>
          <w:p>
            <w:pPr>
              <w:spacing w:after="0"/>
              <w:ind w:firstLine="0"/>
              <w:jc w:val="left"/>
            </w:pPr>
            <w:r>
              <w:t>2024</w:t>
            </w:r>
            <w:r>
              <w:rPr>
                <w:rFonts w:ascii="Times New Roman" w:hAnsi="Times New Roman"/>
                <w:b w:val="0"/>
                <w:sz w:val="20"/>
              </w:rPr>
            </w:r>
          </w:p>
        </w:tc>
        <w:tc>
          <w:tcPr>
            <w:tcW w:type="dxa" w:w="1701"/>
            <w:vAlign w:val="center"/>
          </w:tcPr>
          <w:p>
            <w:pPr>
              <w:spacing w:after="0"/>
              <w:ind w:firstLine="0"/>
              <w:jc w:val="left"/>
            </w:pPr>
            <w:r>
              <w:t>8</w:t>
            </w:r>
            <w:r>
              <w:rPr>
                <w:rFonts w:ascii="Times New Roman" w:hAnsi="Times New Roman"/>
                <w:b w:val="0"/>
                <w:sz w:val="20"/>
              </w:rPr>
            </w:r>
          </w:p>
        </w:tc>
        <w:tc>
          <w:tcPr>
            <w:tcW w:type="dxa" w:w="1984"/>
            <w:vAlign w:val="center"/>
          </w:tcPr>
          <w:p>
            <w:pPr>
              <w:spacing w:after="0"/>
              <w:ind w:firstLine="0"/>
              <w:jc w:val="left"/>
            </w:pPr>
            <w:r>
              <w:t>27</w:t>
            </w:r>
            <w:r>
              <w:rPr>
                <w:rFonts w:ascii="Times New Roman" w:hAnsi="Times New Roman"/>
                <w:b w:val="0"/>
                <w:sz w:val="20"/>
              </w:rPr>
            </w:r>
          </w:p>
        </w:tc>
        <w:tc>
          <w:tcPr>
            <w:tcW w:type="dxa" w:w="2268"/>
            <w:vAlign w:val="center"/>
          </w:tcPr>
          <w:p>
            <w:pPr>
              <w:spacing w:after="0"/>
              <w:ind w:firstLine="0"/>
              <w:jc w:val="left"/>
            </w:pPr>
            <w:r>
              <w:t>3,38</w:t>
            </w:r>
            <w:r>
              <w:rPr>
                <w:rFonts w:ascii="Times New Roman" w:hAnsi="Times New Roman"/>
                <w:b w:val="0"/>
                <w:sz w:val="20"/>
              </w:rPr>
            </w:r>
          </w:p>
        </w:tc>
      </w:tr>
      <w:tr>
        <w:tc>
          <w:tcPr>
            <w:tcW w:type="dxa" w:w="1247"/>
            <w:vAlign w:val="center"/>
          </w:tcPr>
          <w:p>
            <w:pPr>
              <w:spacing w:after="0"/>
              <w:ind w:firstLine="0"/>
              <w:jc w:val="left"/>
            </w:pPr>
            <w:r>
              <w:t>2025</w:t>
            </w:r>
            <w:r>
              <w:rPr>
                <w:rFonts w:ascii="Times New Roman" w:hAnsi="Times New Roman"/>
                <w:b w:val="0"/>
                <w:sz w:val="20"/>
              </w:rPr>
            </w:r>
          </w:p>
        </w:tc>
        <w:tc>
          <w:tcPr>
            <w:tcW w:type="dxa" w:w="1701"/>
            <w:vAlign w:val="center"/>
          </w:tcPr>
          <w:p>
            <w:pPr>
              <w:spacing w:after="0"/>
              <w:ind w:firstLine="0"/>
              <w:jc w:val="left"/>
            </w:pPr>
            <w:r>
              <w:t>7</w:t>
            </w:r>
            <w:r>
              <w:rPr>
                <w:rFonts w:ascii="Times New Roman" w:hAnsi="Times New Roman"/>
                <w:b w:val="0"/>
                <w:sz w:val="20"/>
              </w:rPr>
            </w:r>
          </w:p>
        </w:tc>
        <w:tc>
          <w:tcPr>
            <w:tcW w:type="dxa" w:w="1984"/>
            <w:vAlign w:val="center"/>
          </w:tcPr>
          <w:p>
            <w:pPr>
              <w:spacing w:after="0"/>
              <w:ind w:firstLine="0"/>
              <w:jc w:val="left"/>
            </w:pPr>
            <w:r>
              <w:t>17</w:t>
            </w:r>
            <w:r>
              <w:rPr>
                <w:rFonts w:ascii="Times New Roman" w:hAnsi="Times New Roman"/>
                <w:b w:val="0"/>
                <w:sz w:val="20"/>
              </w:rPr>
            </w:r>
          </w:p>
        </w:tc>
        <w:tc>
          <w:tcPr>
            <w:tcW w:type="dxa" w:w="2268"/>
            <w:vAlign w:val="center"/>
          </w:tcPr>
          <w:p>
            <w:pPr>
              <w:spacing w:after="0"/>
              <w:ind w:firstLine="0"/>
              <w:jc w:val="left"/>
            </w:pPr>
            <w:r>
              <w:t>2,43</w:t>
            </w:r>
            <w:r>
              <w:rPr>
                <w:rFonts w:ascii="Times New Roman" w:hAnsi="Times New Roman"/>
                <w:b w:val="0"/>
                <w:sz w:val="20"/>
              </w:rPr>
            </w:r>
          </w:p>
        </w:tc>
      </w:tr>
      <w:tr>
        <w:tc>
          <w:tcPr>
            <w:tcW w:type="dxa" w:w="1247"/>
            <w:vAlign w:val="center"/>
          </w:tcPr>
          <w:p>
            <w:pPr>
              <w:spacing w:after="0"/>
              <w:ind w:firstLine="0"/>
              <w:jc w:val="left"/>
            </w:pPr>
            <w:r>
              <w:t>Tổng</w:t>
            </w:r>
            <w:r>
              <w:rPr>
                <w:rFonts w:ascii="Times New Roman" w:hAnsi="Times New Roman"/>
                <w:b w:val="0"/>
                <w:sz w:val="20"/>
              </w:rPr>
            </w:r>
          </w:p>
        </w:tc>
        <w:tc>
          <w:tcPr>
            <w:tcW w:type="dxa" w:w="1701"/>
            <w:vAlign w:val="center"/>
          </w:tcPr>
          <w:p>
            <w:pPr>
              <w:spacing w:after="0"/>
              <w:ind w:firstLine="0"/>
              <w:jc w:val="left"/>
            </w:pPr>
            <w:r>
              <w:t>38</w:t>
            </w:r>
            <w:r>
              <w:rPr>
                <w:rFonts w:ascii="Times New Roman" w:hAnsi="Times New Roman"/>
                <w:b w:val="0"/>
                <w:sz w:val="20"/>
              </w:rPr>
            </w:r>
          </w:p>
        </w:tc>
        <w:tc>
          <w:tcPr>
            <w:tcW w:type="dxa" w:w="1984"/>
            <w:vAlign w:val="center"/>
          </w:tcPr>
          <w:p>
            <w:pPr>
              <w:spacing w:after="0"/>
              <w:ind w:firstLine="0"/>
              <w:jc w:val="left"/>
            </w:pPr>
            <w:r>
              <w:t>90</w:t>
            </w:r>
            <w:r>
              <w:rPr>
                <w:rFonts w:ascii="Times New Roman" w:hAnsi="Times New Roman"/>
                <w:b w:val="0"/>
                <w:sz w:val="20"/>
              </w:rPr>
            </w:r>
          </w:p>
        </w:tc>
        <w:tc>
          <w:tcPr>
            <w:tcW w:type="dxa" w:w="2268"/>
            <w:vAlign w:val="center"/>
          </w:tcPr>
          <w:p>
            <w:pPr>
              <w:spacing w:after="0"/>
              <w:ind w:firstLine="0"/>
              <w:jc w:val="left"/>
            </w:pPr>
            <w:r>
              <w:t>2,37</w:t>
            </w:r>
            <w:r>
              <w:rPr>
                <w:rFonts w:ascii="Times New Roman" w:hAnsi="Times New Roman"/>
                <w:b w:val="0"/>
                <w:sz w:val="20"/>
              </w:rPr>
            </w:r>
          </w:p>
        </w:tc>
      </w:tr>
    </w:tbl>
    <w:p>
      <w:pPr>
        <w:pStyle w:val="SourceVN"/>
      </w:pPr>
      <w:r>
        <w:rPr>
          <w:rFonts w:ascii="Times New Roman" w:hAnsi="Times New Roman"/>
          <w:i/>
        </w:rPr>
        <w:t>Nguồn: Tác giả xử lý từ hồ sơ đề tài KHCN cấp cơ sở giai đoạn 2021–2025.</w:t>
      </w:r>
    </w:p>
    <w:p>
      <w:pPr>
        <w:ind w:firstLine="0"/>
        <w:jc w:val="center"/>
      </w:pPr>
      <w:r>
        <w:rPr>
          <w:rFonts w:ascii="Times New Roman" w:hAnsi="Times New Roman"/>
        </w:rPr>
      </w:r>
    </w:p>
    <w:p>
      <w:pPr>
        <w:pStyle w:val="CaptionVN"/>
      </w:pPr>
      <w:r>
        <w:rPr>
          <w:rFonts w:ascii="Times New Roman" w:hAnsi="Times New Roman"/>
          <w:b w:val="0"/>
          <w:i w:val="0"/>
          <w:sz w:val="26"/>
        </w:rPr>
        <w:t>Hình 2.1. Số đề tài và số kết quả nghiên cứu giai đoạn 2021–2025</w:t>
      </w:r>
    </w:p>
    <w:p>
      <w:pPr>
        <w:pStyle w:val="SourceVN"/>
      </w:pPr>
      <w:r>
        <w:rPr>
          <w:rFonts w:ascii="Times New Roman" w:hAnsi="Times New Roman"/>
          <w:i/>
        </w:rPr>
        <w:t>Nguồn: Tác giả tổng hợp và tính toán từ hồ sơ 38 đề tài cấp cơ sở giai đoạn 2021–2025.</w:t>
      </w:r>
    </w:p>
    <w:p>
      <w:pPr/>
      <w:r>
        <w:rPr>
          <w:rFonts w:ascii="Times New Roman" w:hAnsi="Times New Roman"/>
          <w:b w:val="0"/>
          <w:i w:val="0"/>
          <w:sz w:val="26"/>
        </w:rPr>
        <w:t>Báo cáo nghiên cứu chiếm 37,8% và bài báo chiếm 30,0% tổng số kết quả. Như vậy, hơn hai phần ba kết quả vẫn là sản phẩm học thuật. Phần còn lại gồm sản phẩm mẫu, giải pháp ứng dụng, quy trình, công thức, bộ mẫu, mô hình, học liệu và một số kết quả liên quan đến chuyển giao. Với nhóm này, Trường cần xem xét cách quản lý phù hợp như công bố, đăng ký bảo hộ, giữ bí mật hoặc đưa vào sử dụng trực tiếp.</w:t>
      </w:r>
    </w:p>
    <w:p>
      <w:pPr>
        <w:pStyle w:val="CaptionVN"/>
      </w:pPr>
      <w:r>
        <w:rPr>
          <w:rFonts w:ascii="Times New Roman" w:hAnsi="Times New Roman"/>
          <w:b w:val="0"/>
          <w:i w:val="0"/>
          <w:sz w:val="26"/>
        </w:rPr>
        <w:t>Bảng 2.3. Cơ cấu các loại kết quả nghiên cứu</w:t>
      </w:r>
    </w:p>
    <w:tbl>
      <w:tblPr>
        <w:tblStyle w:val="TableGrid"/>
        <w:tblW w:type="auto" w:w="0"/>
        <w:jc w:val="center"/>
        <w:tblLook w:firstColumn="1" w:firstRow="1" w:lastColumn="0" w:lastRow="0" w:noHBand="0" w:noVBand="1" w:val="04A0"/>
      </w:tblPr>
      <w:tblGrid>
        <w:gridCol w:w="3135"/>
        <w:gridCol w:w="3135"/>
        <w:gridCol w:w="3135"/>
      </w:tblGrid>
      <w:tr>
        <w:tc>
          <w:tcPr>
            <w:tcW w:type="dxa" w:w="4535"/>
            <w:vAlign w:val="center"/>
            <w:shd w:fill="D9EAF7"/>
          </w:tcPr>
          <w:p>
            <w:r>
              <w:rPr>
                <w:rFonts w:ascii="Times New Roman" w:hAnsi="Times New Roman"/>
                <w:sz w:val="22"/>
              </w:rPr>
              <w:t>Loại kết quả</w:t>
            </w:r>
          </w:p>
        </w:tc>
        <w:tc>
          <w:tcPr>
            <w:tcW w:type="dxa" w:w="1701"/>
            <w:vAlign w:val="center"/>
            <w:shd w:fill="D9EAF7"/>
          </w:tcPr>
          <w:p>
            <w:r>
              <w:rPr>
                <w:rFonts w:ascii="Times New Roman" w:hAnsi="Times New Roman"/>
                <w:sz w:val="22"/>
              </w:rPr>
              <w:t>Số kết quả</w:t>
            </w:r>
          </w:p>
        </w:tc>
        <w:tc>
          <w:tcPr>
            <w:tcW w:type="dxa" w:w="1701"/>
            <w:vAlign w:val="center"/>
            <w:shd w:fill="D9EAF7"/>
          </w:tcPr>
          <w:p>
            <w:pPr>
              <w:spacing w:after="0"/>
              <w:ind w:firstLine="0"/>
              <w:jc w:val="center"/>
            </w:pPr>
            <w:r>
              <w:t>Tỷ trọng (%)</w:t>
            </w:r>
            <w:r>
              <w:rPr>
                <w:rFonts w:ascii="Times New Roman" w:hAnsi="Times New Roman"/>
                <w:b/>
                <w:sz w:val="20"/>
              </w:rPr>
            </w:r>
          </w:p>
        </w:tc>
      </w:tr>
      <w:tr>
        <w:tc>
          <w:tcPr>
            <w:tcW w:type="dxa" w:w="4535"/>
            <w:vAlign w:val="center"/>
          </w:tcPr>
          <w:p>
            <w:pPr>
              <w:spacing w:after="0"/>
              <w:ind w:firstLine="0"/>
              <w:jc w:val="left"/>
            </w:pPr>
            <w:r>
              <w:t>Báo cáo nghiên cứu</w:t>
            </w:r>
            <w:r>
              <w:rPr>
                <w:rFonts w:ascii="Times New Roman" w:hAnsi="Times New Roman"/>
                <w:b w:val="0"/>
                <w:sz w:val="20"/>
              </w:rPr>
            </w:r>
          </w:p>
        </w:tc>
        <w:tc>
          <w:tcPr>
            <w:tcW w:type="dxa" w:w="1701"/>
            <w:vAlign w:val="center"/>
          </w:tcPr>
          <w:p>
            <w:pPr>
              <w:spacing w:after="0"/>
              <w:ind w:firstLine="0"/>
              <w:jc w:val="left"/>
            </w:pPr>
            <w:r>
              <w:t>34</w:t>
            </w:r>
            <w:r>
              <w:rPr>
                <w:rFonts w:ascii="Times New Roman" w:hAnsi="Times New Roman"/>
                <w:b w:val="0"/>
                <w:sz w:val="20"/>
              </w:rPr>
            </w:r>
          </w:p>
        </w:tc>
        <w:tc>
          <w:tcPr>
            <w:tcW w:type="dxa" w:w="1701"/>
            <w:vAlign w:val="center"/>
          </w:tcPr>
          <w:p>
            <w:pPr>
              <w:spacing w:after="0"/>
              <w:ind w:firstLine="0"/>
              <w:jc w:val="left"/>
            </w:pPr>
            <w:r>
              <w:t>37,8</w:t>
            </w:r>
            <w:r>
              <w:rPr>
                <w:rFonts w:ascii="Times New Roman" w:hAnsi="Times New Roman"/>
                <w:b w:val="0"/>
                <w:sz w:val="20"/>
              </w:rPr>
            </w:r>
          </w:p>
        </w:tc>
      </w:tr>
      <w:tr>
        <w:tc>
          <w:tcPr>
            <w:tcW w:type="dxa" w:w="4535"/>
            <w:vAlign w:val="center"/>
          </w:tcPr>
          <w:p>
            <w:pPr>
              <w:spacing w:after="0"/>
              <w:ind w:firstLine="0"/>
              <w:jc w:val="left"/>
            </w:pPr>
            <w:r>
              <w:t>Bài báo</w:t>
            </w:r>
            <w:r>
              <w:rPr>
                <w:rFonts w:ascii="Times New Roman" w:hAnsi="Times New Roman"/>
                <w:b w:val="0"/>
                <w:sz w:val="20"/>
              </w:rPr>
            </w:r>
          </w:p>
        </w:tc>
        <w:tc>
          <w:tcPr>
            <w:tcW w:type="dxa" w:w="1701"/>
            <w:vAlign w:val="center"/>
          </w:tcPr>
          <w:p>
            <w:pPr>
              <w:spacing w:after="0"/>
              <w:ind w:firstLine="0"/>
              <w:jc w:val="left"/>
            </w:pPr>
            <w:r>
              <w:t>27</w:t>
            </w:r>
            <w:r>
              <w:rPr>
                <w:rFonts w:ascii="Times New Roman" w:hAnsi="Times New Roman"/>
                <w:b w:val="0"/>
                <w:sz w:val="20"/>
              </w:rPr>
            </w:r>
          </w:p>
        </w:tc>
        <w:tc>
          <w:tcPr>
            <w:tcW w:type="dxa" w:w="1701"/>
            <w:vAlign w:val="center"/>
          </w:tcPr>
          <w:p>
            <w:pPr>
              <w:spacing w:after="0"/>
              <w:ind w:firstLine="0"/>
              <w:jc w:val="left"/>
            </w:pPr>
            <w:r>
              <w:t>30,0</w:t>
            </w:r>
            <w:r>
              <w:rPr>
                <w:rFonts w:ascii="Times New Roman" w:hAnsi="Times New Roman"/>
                <w:b w:val="0"/>
                <w:sz w:val="20"/>
              </w:rPr>
            </w:r>
          </w:p>
        </w:tc>
      </w:tr>
      <w:tr>
        <w:tc>
          <w:tcPr>
            <w:tcW w:type="dxa" w:w="4535"/>
            <w:vAlign w:val="center"/>
          </w:tcPr>
          <w:p>
            <w:r>
              <w:t>Sản phẩm mẫu</w:t>
            </w:r>
          </w:p>
        </w:tc>
        <w:tc>
          <w:tcPr>
            <w:tcW w:type="dxa" w:w="1701"/>
            <w:vAlign w:val="center"/>
          </w:tcPr>
          <w:p>
            <w:pPr>
              <w:spacing w:after="0"/>
              <w:ind w:firstLine="0"/>
              <w:jc w:val="left"/>
            </w:pPr>
            <w:r>
              <w:t>7</w:t>
            </w:r>
            <w:r>
              <w:rPr>
                <w:rFonts w:ascii="Times New Roman" w:hAnsi="Times New Roman"/>
                <w:b w:val="0"/>
                <w:sz w:val="20"/>
              </w:rPr>
            </w:r>
          </w:p>
        </w:tc>
        <w:tc>
          <w:tcPr>
            <w:tcW w:type="dxa" w:w="1701"/>
            <w:vAlign w:val="center"/>
          </w:tcPr>
          <w:p>
            <w:pPr>
              <w:spacing w:after="0"/>
              <w:ind w:firstLine="0"/>
              <w:jc w:val="left"/>
            </w:pPr>
            <w:r>
              <w:t>7,8</w:t>
            </w:r>
            <w:r>
              <w:rPr>
                <w:rFonts w:ascii="Times New Roman" w:hAnsi="Times New Roman"/>
                <w:b w:val="0"/>
                <w:sz w:val="20"/>
              </w:rPr>
            </w:r>
          </w:p>
        </w:tc>
      </w:tr>
      <w:tr>
        <w:tc>
          <w:tcPr>
            <w:tcW w:type="dxa" w:w="4535"/>
            <w:vAlign w:val="center"/>
          </w:tcPr>
          <w:p>
            <w:pPr>
              <w:spacing w:after="0"/>
              <w:ind w:firstLine="0"/>
              <w:jc w:val="left"/>
            </w:pPr>
            <w:r>
              <w:t>Giải pháp/phương pháp ứng dụng</w:t>
            </w:r>
            <w:r>
              <w:rPr>
                <w:rFonts w:ascii="Times New Roman" w:hAnsi="Times New Roman"/>
                <w:b w:val="0"/>
                <w:sz w:val="20"/>
              </w:rPr>
            </w:r>
          </w:p>
        </w:tc>
        <w:tc>
          <w:tcPr>
            <w:tcW w:type="dxa" w:w="1701"/>
            <w:vAlign w:val="center"/>
          </w:tcPr>
          <w:p>
            <w:pPr>
              <w:spacing w:after="0"/>
              <w:ind w:firstLine="0"/>
              <w:jc w:val="left"/>
            </w:pPr>
            <w:r>
              <w:t>6</w:t>
            </w:r>
            <w:r>
              <w:rPr>
                <w:rFonts w:ascii="Times New Roman" w:hAnsi="Times New Roman"/>
                <w:b w:val="0"/>
                <w:sz w:val="20"/>
              </w:rPr>
            </w:r>
          </w:p>
        </w:tc>
        <w:tc>
          <w:tcPr>
            <w:tcW w:type="dxa" w:w="1701"/>
            <w:vAlign w:val="center"/>
          </w:tcPr>
          <w:p>
            <w:pPr>
              <w:spacing w:after="0"/>
              <w:ind w:firstLine="0"/>
              <w:jc w:val="left"/>
            </w:pPr>
            <w:r>
              <w:t>6,7</w:t>
            </w:r>
            <w:r>
              <w:rPr>
                <w:rFonts w:ascii="Times New Roman" w:hAnsi="Times New Roman"/>
                <w:b w:val="0"/>
                <w:sz w:val="20"/>
              </w:rPr>
            </w:r>
          </w:p>
        </w:tc>
      </w:tr>
      <w:tr>
        <w:tc>
          <w:tcPr>
            <w:tcW w:type="dxa" w:w="4535"/>
            <w:vAlign w:val="center"/>
          </w:tcPr>
          <w:p>
            <w:pPr>
              <w:spacing w:after="0"/>
              <w:ind w:firstLine="0"/>
              <w:jc w:val="left"/>
            </w:pPr>
            <w:r>
              <w:t>Quy trình/công thức</w:t>
            </w:r>
            <w:r>
              <w:rPr>
                <w:rFonts w:ascii="Times New Roman" w:hAnsi="Times New Roman"/>
                <w:b w:val="0"/>
                <w:sz w:val="20"/>
              </w:rPr>
            </w:r>
          </w:p>
        </w:tc>
        <w:tc>
          <w:tcPr>
            <w:tcW w:type="dxa" w:w="1701"/>
            <w:vAlign w:val="center"/>
          </w:tcPr>
          <w:p>
            <w:pPr>
              <w:spacing w:after="0"/>
              <w:ind w:firstLine="0"/>
              <w:jc w:val="left"/>
            </w:pPr>
            <w:r>
              <w:t>5</w:t>
            </w:r>
            <w:r>
              <w:rPr>
                <w:rFonts w:ascii="Times New Roman" w:hAnsi="Times New Roman"/>
                <w:b w:val="0"/>
                <w:sz w:val="20"/>
              </w:rPr>
            </w:r>
          </w:p>
        </w:tc>
        <w:tc>
          <w:tcPr>
            <w:tcW w:type="dxa" w:w="1701"/>
            <w:vAlign w:val="center"/>
          </w:tcPr>
          <w:p>
            <w:pPr>
              <w:spacing w:after="0"/>
              <w:ind w:firstLine="0"/>
              <w:jc w:val="left"/>
            </w:pPr>
            <w:r>
              <w:t>5,6</w:t>
            </w:r>
            <w:r>
              <w:rPr>
                <w:rFonts w:ascii="Times New Roman" w:hAnsi="Times New Roman"/>
                <w:b w:val="0"/>
                <w:sz w:val="20"/>
              </w:rPr>
            </w:r>
          </w:p>
        </w:tc>
      </w:tr>
      <w:tr>
        <w:tc>
          <w:tcPr>
            <w:tcW w:type="dxa" w:w="4535"/>
            <w:vAlign w:val="center"/>
          </w:tcPr>
          <w:p>
            <w:pPr>
              <w:spacing w:after="0"/>
              <w:ind w:firstLine="0"/>
              <w:jc w:val="left"/>
            </w:pPr>
            <w:r>
              <w:t>Công bố khoa học</w:t>
            </w:r>
            <w:r>
              <w:rPr>
                <w:rFonts w:ascii="Times New Roman" w:hAnsi="Times New Roman"/>
                <w:b w:val="0"/>
                <w:sz w:val="20"/>
              </w:rPr>
            </w:r>
          </w:p>
        </w:tc>
        <w:tc>
          <w:tcPr>
            <w:tcW w:type="dxa" w:w="1701"/>
            <w:vAlign w:val="center"/>
          </w:tcPr>
          <w:p>
            <w:pPr>
              <w:spacing w:after="0"/>
              <w:ind w:firstLine="0"/>
              <w:jc w:val="left"/>
            </w:pPr>
            <w:r>
              <w:t>2</w:t>
            </w:r>
            <w:r>
              <w:rPr>
                <w:rFonts w:ascii="Times New Roman" w:hAnsi="Times New Roman"/>
                <w:b w:val="0"/>
                <w:sz w:val="20"/>
              </w:rPr>
            </w:r>
          </w:p>
        </w:tc>
        <w:tc>
          <w:tcPr>
            <w:tcW w:type="dxa" w:w="1701"/>
            <w:vAlign w:val="center"/>
          </w:tcPr>
          <w:p>
            <w:pPr>
              <w:spacing w:after="0"/>
              <w:ind w:firstLine="0"/>
              <w:jc w:val="left"/>
            </w:pPr>
            <w:r>
              <w:t>2,2</w:t>
            </w:r>
            <w:r>
              <w:rPr>
                <w:rFonts w:ascii="Times New Roman" w:hAnsi="Times New Roman"/>
                <w:b w:val="0"/>
                <w:sz w:val="20"/>
              </w:rPr>
            </w:r>
          </w:p>
        </w:tc>
      </w:tr>
      <w:tr>
        <w:tc>
          <w:tcPr>
            <w:tcW w:type="dxa" w:w="4535"/>
            <w:vAlign w:val="center"/>
          </w:tcPr>
          <w:p>
            <w:r>
              <w:t>Bộ mẫu</w:t>
            </w:r>
          </w:p>
        </w:tc>
        <w:tc>
          <w:tcPr>
            <w:tcW w:type="dxa" w:w="1701"/>
            <w:vAlign w:val="center"/>
          </w:tcPr>
          <w:p>
            <w:pPr>
              <w:spacing w:after="0"/>
              <w:ind w:firstLine="0"/>
              <w:jc w:val="left"/>
            </w:pPr>
            <w:r>
              <w:t>2</w:t>
            </w:r>
            <w:r>
              <w:rPr>
                <w:rFonts w:ascii="Times New Roman" w:hAnsi="Times New Roman"/>
                <w:b w:val="0"/>
                <w:sz w:val="20"/>
              </w:rPr>
            </w:r>
          </w:p>
        </w:tc>
        <w:tc>
          <w:tcPr>
            <w:tcW w:type="dxa" w:w="1701"/>
            <w:vAlign w:val="center"/>
          </w:tcPr>
          <w:p>
            <w:pPr>
              <w:spacing w:after="0"/>
              <w:ind w:firstLine="0"/>
              <w:jc w:val="left"/>
            </w:pPr>
            <w:r>
              <w:t>2,2</w:t>
            </w:r>
            <w:r>
              <w:rPr>
                <w:rFonts w:ascii="Times New Roman" w:hAnsi="Times New Roman"/>
                <w:b w:val="0"/>
                <w:sz w:val="20"/>
              </w:rPr>
            </w:r>
          </w:p>
        </w:tc>
      </w:tr>
      <w:tr>
        <w:tc>
          <w:tcPr>
            <w:tcW w:type="dxa" w:w="4535"/>
            <w:vAlign w:val="center"/>
          </w:tcPr>
          <w:p>
            <w:r>
              <w:t>Mô hình thử nghiệm</w:t>
            </w:r>
          </w:p>
        </w:tc>
        <w:tc>
          <w:tcPr>
            <w:tcW w:type="dxa" w:w="1701"/>
            <w:vAlign w:val="center"/>
          </w:tcPr>
          <w:p>
            <w:pPr>
              <w:spacing w:after="0"/>
              <w:ind w:firstLine="0"/>
              <w:jc w:val="left"/>
            </w:pPr>
            <w:r>
              <w:t>1</w:t>
            </w:r>
            <w:r>
              <w:rPr>
                <w:rFonts w:ascii="Times New Roman" w:hAnsi="Times New Roman"/>
                <w:b w:val="0"/>
                <w:sz w:val="20"/>
              </w:rPr>
            </w:r>
          </w:p>
        </w:tc>
        <w:tc>
          <w:tcPr>
            <w:tcW w:type="dxa" w:w="1701"/>
            <w:vAlign w:val="center"/>
          </w:tcPr>
          <w:p>
            <w:pPr>
              <w:spacing w:after="0"/>
              <w:ind w:firstLine="0"/>
              <w:jc w:val="left"/>
            </w:pPr>
            <w:r>
              <w:t>1,1</w:t>
            </w:r>
            <w:r>
              <w:rPr>
                <w:rFonts w:ascii="Times New Roman" w:hAnsi="Times New Roman"/>
                <w:b w:val="0"/>
                <w:sz w:val="20"/>
              </w:rPr>
            </w:r>
          </w:p>
        </w:tc>
      </w:tr>
      <w:tr>
        <w:tc>
          <w:tcPr>
            <w:tcW w:type="dxa" w:w="4535"/>
            <w:vAlign w:val="center"/>
          </w:tcPr>
          <w:p>
            <w:pPr>
              <w:spacing w:after="0"/>
              <w:ind w:firstLine="0"/>
              <w:jc w:val="left"/>
            </w:pPr>
            <w:r>
              <w:t>Sản phẩm tổ chức/hạ tầng học thuật</w:t>
            </w:r>
            <w:r>
              <w:rPr>
                <w:rFonts w:ascii="Times New Roman" w:hAnsi="Times New Roman"/>
                <w:b w:val="0"/>
                <w:sz w:val="20"/>
              </w:rPr>
            </w:r>
          </w:p>
        </w:tc>
        <w:tc>
          <w:tcPr>
            <w:tcW w:type="dxa" w:w="1701"/>
            <w:vAlign w:val="center"/>
          </w:tcPr>
          <w:p>
            <w:pPr>
              <w:spacing w:after="0"/>
              <w:ind w:firstLine="0"/>
              <w:jc w:val="left"/>
            </w:pPr>
            <w:r>
              <w:t>1</w:t>
            </w:r>
            <w:r>
              <w:rPr>
                <w:rFonts w:ascii="Times New Roman" w:hAnsi="Times New Roman"/>
                <w:b w:val="0"/>
                <w:sz w:val="20"/>
              </w:rPr>
            </w:r>
          </w:p>
        </w:tc>
        <w:tc>
          <w:tcPr>
            <w:tcW w:type="dxa" w:w="1701"/>
            <w:vAlign w:val="center"/>
          </w:tcPr>
          <w:p>
            <w:pPr>
              <w:spacing w:after="0"/>
              <w:ind w:firstLine="0"/>
              <w:jc w:val="left"/>
            </w:pPr>
            <w:r>
              <w:t>1,1</w:t>
            </w:r>
            <w:r>
              <w:rPr>
                <w:rFonts w:ascii="Times New Roman" w:hAnsi="Times New Roman"/>
                <w:b w:val="0"/>
                <w:sz w:val="20"/>
              </w:rPr>
            </w:r>
          </w:p>
        </w:tc>
      </w:tr>
      <w:tr>
        <w:tc>
          <w:tcPr>
            <w:tcW w:type="dxa" w:w="4535"/>
            <w:vAlign w:val="center"/>
          </w:tcPr>
          <w:p>
            <w:pPr>
              <w:spacing w:after="0"/>
              <w:ind w:firstLine="0"/>
              <w:jc w:val="left"/>
            </w:pPr>
            <w:r>
              <w:t>Văn bản/quy trình quản trị</w:t>
            </w:r>
            <w:r>
              <w:rPr>
                <w:rFonts w:ascii="Times New Roman" w:hAnsi="Times New Roman"/>
                <w:b w:val="0"/>
                <w:sz w:val="20"/>
              </w:rPr>
            </w:r>
          </w:p>
        </w:tc>
        <w:tc>
          <w:tcPr>
            <w:tcW w:type="dxa" w:w="1701"/>
            <w:vAlign w:val="center"/>
          </w:tcPr>
          <w:p>
            <w:pPr>
              <w:spacing w:after="0"/>
              <w:ind w:firstLine="0"/>
              <w:jc w:val="left"/>
            </w:pPr>
            <w:r>
              <w:t>1</w:t>
            </w:r>
            <w:r>
              <w:rPr>
                <w:rFonts w:ascii="Times New Roman" w:hAnsi="Times New Roman"/>
                <w:b w:val="0"/>
                <w:sz w:val="20"/>
              </w:rPr>
            </w:r>
          </w:p>
        </w:tc>
        <w:tc>
          <w:tcPr>
            <w:tcW w:type="dxa" w:w="1701"/>
            <w:vAlign w:val="center"/>
          </w:tcPr>
          <w:p>
            <w:pPr>
              <w:spacing w:after="0"/>
              <w:ind w:firstLine="0"/>
              <w:jc w:val="left"/>
            </w:pPr>
            <w:r>
              <w:t>1,1</w:t>
            </w:r>
            <w:r>
              <w:rPr>
                <w:rFonts w:ascii="Times New Roman" w:hAnsi="Times New Roman"/>
                <w:b w:val="0"/>
                <w:sz w:val="20"/>
              </w:rPr>
            </w:r>
          </w:p>
        </w:tc>
      </w:tr>
      <w:tr>
        <w:tc>
          <w:tcPr>
            <w:tcW w:type="dxa" w:w="4535"/>
            <w:vAlign w:val="center"/>
          </w:tcPr>
          <w:p>
            <w:pPr>
              <w:spacing w:after="0"/>
              <w:ind w:firstLine="0"/>
              <w:jc w:val="left"/>
            </w:pPr>
            <w:r>
              <w:t>Kết quả khai thác/chuyển giao</w:t>
            </w:r>
            <w:r>
              <w:rPr>
                <w:rFonts w:ascii="Times New Roman" w:hAnsi="Times New Roman"/>
                <w:b w:val="0"/>
                <w:sz w:val="20"/>
              </w:rPr>
            </w:r>
          </w:p>
        </w:tc>
        <w:tc>
          <w:tcPr>
            <w:tcW w:type="dxa" w:w="1701"/>
            <w:vAlign w:val="center"/>
          </w:tcPr>
          <w:p>
            <w:pPr>
              <w:spacing w:after="0"/>
              <w:ind w:firstLine="0"/>
              <w:jc w:val="left"/>
            </w:pPr>
            <w:r>
              <w:t>1</w:t>
            </w:r>
            <w:r>
              <w:rPr>
                <w:rFonts w:ascii="Times New Roman" w:hAnsi="Times New Roman"/>
                <w:b w:val="0"/>
                <w:sz w:val="20"/>
              </w:rPr>
            </w:r>
          </w:p>
        </w:tc>
        <w:tc>
          <w:tcPr>
            <w:tcW w:type="dxa" w:w="1701"/>
            <w:vAlign w:val="center"/>
          </w:tcPr>
          <w:p>
            <w:pPr>
              <w:spacing w:after="0"/>
              <w:ind w:firstLine="0"/>
              <w:jc w:val="left"/>
            </w:pPr>
            <w:r>
              <w:t>1,1</w:t>
            </w:r>
            <w:r>
              <w:rPr>
                <w:rFonts w:ascii="Times New Roman" w:hAnsi="Times New Roman"/>
                <w:b w:val="0"/>
                <w:sz w:val="20"/>
              </w:rPr>
            </w:r>
          </w:p>
        </w:tc>
      </w:tr>
      <w:tr>
        <w:tc>
          <w:tcPr>
            <w:tcW w:type="dxa" w:w="4535"/>
            <w:vAlign w:val="center"/>
          </w:tcPr>
          <w:p>
            <w:pPr>
              <w:spacing w:after="0"/>
              <w:ind w:firstLine="0"/>
              <w:jc w:val="left"/>
            </w:pPr>
            <w:r>
              <w:t>Bài hội thảo</w:t>
            </w:r>
            <w:r>
              <w:rPr>
                <w:rFonts w:ascii="Times New Roman" w:hAnsi="Times New Roman"/>
                <w:b w:val="0"/>
                <w:sz w:val="20"/>
              </w:rPr>
            </w:r>
          </w:p>
        </w:tc>
        <w:tc>
          <w:tcPr>
            <w:tcW w:type="dxa" w:w="1701"/>
            <w:vAlign w:val="center"/>
          </w:tcPr>
          <w:p>
            <w:pPr>
              <w:spacing w:after="0"/>
              <w:ind w:firstLine="0"/>
              <w:jc w:val="left"/>
            </w:pPr>
            <w:r>
              <w:t>1</w:t>
            </w:r>
            <w:r>
              <w:rPr>
                <w:rFonts w:ascii="Times New Roman" w:hAnsi="Times New Roman"/>
                <w:b w:val="0"/>
                <w:sz w:val="20"/>
              </w:rPr>
            </w:r>
          </w:p>
        </w:tc>
        <w:tc>
          <w:tcPr>
            <w:tcW w:type="dxa" w:w="1701"/>
            <w:vAlign w:val="center"/>
          </w:tcPr>
          <w:p>
            <w:pPr>
              <w:spacing w:after="0"/>
              <w:ind w:firstLine="0"/>
              <w:jc w:val="left"/>
            </w:pPr>
            <w:r>
              <w:t>1,1</w:t>
            </w:r>
            <w:r>
              <w:rPr>
                <w:rFonts w:ascii="Times New Roman" w:hAnsi="Times New Roman"/>
                <w:b w:val="0"/>
                <w:sz w:val="20"/>
              </w:rPr>
            </w:r>
          </w:p>
        </w:tc>
      </w:tr>
      <w:tr>
        <w:tc>
          <w:tcPr>
            <w:tcW w:type="dxa" w:w="4535"/>
            <w:vAlign w:val="center"/>
          </w:tcPr>
          <w:p>
            <w:pPr>
              <w:spacing w:after="0"/>
              <w:ind w:firstLine="0"/>
              <w:jc w:val="left"/>
            </w:pPr>
            <w:r>
              <w:t>Cẩm nang/học liệu</w:t>
            </w:r>
            <w:r>
              <w:rPr>
                <w:rFonts w:ascii="Times New Roman" w:hAnsi="Times New Roman"/>
                <w:b w:val="0"/>
                <w:sz w:val="20"/>
              </w:rPr>
            </w:r>
          </w:p>
        </w:tc>
        <w:tc>
          <w:tcPr>
            <w:tcW w:type="dxa" w:w="1701"/>
            <w:vAlign w:val="center"/>
          </w:tcPr>
          <w:p>
            <w:pPr>
              <w:spacing w:after="0"/>
              <w:ind w:firstLine="0"/>
              <w:jc w:val="left"/>
            </w:pPr>
            <w:r>
              <w:t>1</w:t>
            </w:r>
            <w:r>
              <w:rPr>
                <w:rFonts w:ascii="Times New Roman" w:hAnsi="Times New Roman"/>
                <w:b w:val="0"/>
                <w:sz w:val="20"/>
              </w:rPr>
            </w:r>
          </w:p>
        </w:tc>
        <w:tc>
          <w:tcPr>
            <w:tcW w:type="dxa" w:w="1701"/>
            <w:vAlign w:val="center"/>
          </w:tcPr>
          <w:p>
            <w:pPr>
              <w:spacing w:after="0"/>
              <w:ind w:firstLine="0"/>
              <w:jc w:val="left"/>
            </w:pPr>
            <w:r>
              <w:t>1,1</w:t>
            </w:r>
            <w:r>
              <w:rPr>
                <w:rFonts w:ascii="Times New Roman" w:hAnsi="Times New Roman"/>
                <w:b w:val="0"/>
                <w:sz w:val="20"/>
              </w:rPr>
            </w:r>
          </w:p>
        </w:tc>
      </w:tr>
      <w:tr>
        <w:tc>
          <w:tcPr>
            <w:tcW w:type="dxa" w:w="4535"/>
            <w:vAlign w:val="center"/>
          </w:tcPr>
          <w:p>
            <w:pPr>
              <w:spacing w:after="0"/>
              <w:ind w:firstLine="0"/>
              <w:jc w:val="left"/>
            </w:pPr>
            <w:r>
              <w:t>Sáng chế dự kiến</w:t>
            </w:r>
            <w:r>
              <w:rPr>
                <w:rFonts w:ascii="Times New Roman" w:hAnsi="Times New Roman"/>
                <w:b w:val="0"/>
                <w:sz w:val="20"/>
              </w:rPr>
            </w:r>
          </w:p>
        </w:tc>
        <w:tc>
          <w:tcPr>
            <w:tcW w:type="dxa" w:w="1701"/>
            <w:vAlign w:val="center"/>
          </w:tcPr>
          <w:p>
            <w:pPr>
              <w:spacing w:after="0"/>
              <w:ind w:firstLine="0"/>
              <w:jc w:val="left"/>
            </w:pPr>
            <w:r>
              <w:t>1</w:t>
            </w:r>
            <w:r>
              <w:rPr>
                <w:rFonts w:ascii="Times New Roman" w:hAnsi="Times New Roman"/>
                <w:b w:val="0"/>
                <w:sz w:val="20"/>
              </w:rPr>
            </w:r>
          </w:p>
        </w:tc>
        <w:tc>
          <w:tcPr>
            <w:tcW w:type="dxa" w:w="1701"/>
            <w:vAlign w:val="center"/>
          </w:tcPr>
          <w:p>
            <w:pPr>
              <w:spacing w:after="0"/>
              <w:ind w:firstLine="0"/>
              <w:jc w:val="left"/>
            </w:pPr>
            <w:r>
              <w:t>1,1</w:t>
            </w:r>
            <w:r>
              <w:rPr>
                <w:rFonts w:ascii="Times New Roman" w:hAnsi="Times New Roman"/>
                <w:b w:val="0"/>
                <w:sz w:val="20"/>
              </w:rPr>
            </w:r>
          </w:p>
        </w:tc>
      </w:tr>
    </w:tbl>
    <w:p>
      <w:pPr>
        <w:pStyle w:val="SourceVN"/>
      </w:pPr>
      <w:r>
        <w:rPr>
          <w:rFonts w:ascii="Times New Roman" w:hAnsi="Times New Roman"/>
          <w:i/>
        </w:rPr>
        <w:t>Nguồn: Tác giả tổng hợp từ hồ sơ 38 đề tài cấp cơ sở giai đoạn 2021–2025.</w:t>
      </w:r>
    </w:p>
    <w:p>
      <w:pPr/>
      <w:r>
        <w:rPr>
          <w:rFonts w:ascii="Times New Roman" w:hAnsi="Times New Roman"/>
          <w:b w:val="0"/>
          <w:i w:val="0"/>
          <w:sz w:val="26"/>
        </w:rPr>
        <w:t>Trong 90 kết quả nghiên cứu, có 26 kết quả cần được xem xét kỹ hơn về SHTT; trong đó 15 kết quả nên được ưu tiên xem xét trước. Việc phân nhóm này chỉ nhằm chọn ra những kết quả cần đánh giá thêm về khả năng bảo hộ và khả năng sử dụng, không có nghĩa tất cả các kết quả này đều đủ điều kiện để được bảo hộ.</w:t>
      </w:r>
    </w:p>
    <w:p>
      <w:pPr>
        <w:ind w:firstLine="0"/>
        <w:jc w:val="center"/>
      </w:pPr>
      <w:r>
        <w:rPr>
          <w:rFonts w:ascii="Times New Roman" w:hAnsi="Times New Roman"/>
        </w:rPr>
      </w:r>
    </w:p>
    <w:p>
      <w:pPr>
        <w:pStyle w:val="CaptionVN"/>
      </w:pPr>
      <w:r>
        <w:rPr>
          <w:rFonts w:ascii="Times New Roman" w:hAnsi="Times New Roman"/>
          <w:b/>
          <w:i w:val="0"/>
          <w:sz w:val="26"/>
        </w:rPr>
        <w:t>Hình 2.2. Phân nhóm các kết quả cần xem xét thêm về SHTT</w:t>
      </w:r>
    </w:p>
    <w:p>
      <w:pPr>
        <w:pStyle w:val="SourceVN"/>
      </w:pPr>
      <w:r>
        <w:rPr>
          <w:rFonts w:ascii="Times New Roman" w:hAnsi="Times New Roman"/>
          <w:b w:val="0"/>
          <w:i w:val="0"/>
          <w:sz w:val="26"/>
        </w:rPr>
        <w:t>Nguồn: Tác giả tổng hợp từ hồ sơ đề tài cấp cơ sở giai đoạn 2021–2025.</w:t>
      </w:r>
    </w:p>
    <w:p>
      <w:pPr>
        <w:pStyle w:val="Heading1"/>
        <w:ind w:firstLine="0"/>
      </w:pPr>
      <w:r>
        <w:rPr>
          <w:rFonts w:ascii="Times New Roman" w:hAnsi="Times New Roman"/>
          <w:b/>
          <w:i w:val="0"/>
          <w:sz w:val="26"/>
        </w:rPr>
        <w:t>2.3. Thực trạng xác lập và bảo hộ quyền sở hữu trí tuệ</w:t>
      </w:r>
    </w:p>
    <w:p>
      <w:pPr/>
      <w:r>
        <w:rPr>
          <w:rFonts w:ascii="Times New Roman" w:hAnsi="Times New Roman"/>
          <w:b w:val="0"/>
          <w:i w:val="0"/>
          <w:sz w:val="26"/>
        </w:rPr>
        <w:t>Danh sách SHTT do Trường cung cấp có 16 đối tượng nếu tính toàn bộ chủ sở hữu và toàn bộ thời gian. Tuy nhiên, một số đối tượng thuộc Công ty UNIGO, Trường UNIGO hoặc cá nhân. Vì vậy, nghiên cứu chỉ tính vào danh mục TSTT của Trường những đối tượng mà Trường Đại học Thành Đô là chủ sở hữu hoặc đồng chủ sở hữu. Theo cách tính này, có 12 đối tượng trực tiếp của Trường trong toàn bộ danh sách và 11 đối tượng thuộc giai đoạn 2021–2025.</w:t>
      </w:r>
    </w:p>
    <w:p>
      <w:pPr/>
      <w:r>
        <w:rPr>
          <w:rFonts w:ascii="Times New Roman" w:hAnsi="Times New Roman"/>
          <w:i w:val="0"/>
        </w:rPr>
        <w:t>Cơ cấu 11 đối tượng giai đoạn 2021–2025 gồm 2 đăng ký quyền tác giả, 3 nhãn hiệu, 5 kiểu dáng công nghiệp và 1 sáng chế trong danh mục nội bộ. Chín đối tượng có số đăng ký, văn bằng hoặc ký mã hiệu được thể hiện trong dữ liệu nguồn. Nhãn hiệu Double2n mới ở trạng thái “Tiếp nhận đơn”; sáng chế liên quan đến các hợp chất furofuran lignan glucoside và phương pháp chiết từ lá Quế hoa năm 2025 chưa thể hiện số đơn hoặc số văn bằng. Hai trường hợp này vì vậy không được tính như quyền đã được cấp.</w:t>
      </w:r>
    </w:p>
    <w:p>
      <w:pPr>
        <w:pStyle w:val="CaptionVN"/>
      </w:pPr>
      <w:r>
        <w:rPr>
          <w:rFonts w:ascii="Times New Roman" w:hAnsi="Times New Roman"/>
          <w:b/>
        </w:rPr>
        <w:t>Bảng 2.4. Cơ cấu quyền SHTT trực tiếp của ĐHTĐ giai đoạn 2021–2025</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D9EAF7"/>
          </w:tcPr>
          <w:p>
            <w:pPr>
              <w:spacing w:after="0"/>
              <w:ind w:firstLine="0"/>
              <w:jc w:val="center"/>
            </w:pPr>
            <w:r>
              <w:t>Loại hình</w:t>
            </w:r>
            <w:r>
              <w:rPr>
                <w:rFonts w:ascii="Times New Roman" w:hAnsi="Times New Roman"/>
                <w:b/>
                <w:sz w:val="20"/>
              </w:rPr>
            </w:r>
          </w:p>
        </w:tc>
        <w:tc>
          <w:tcPr>
            <w:tcW w:type="dxa" w:w="1701"/>
            <w:vAlign w:val="center"/>
            <w:shd w:fill="D9EAF7"/>
          </w:tcPr>
          <w:p>
            <w:pPr>
              <w:spacing w:after="0"/>
              <w:ind w:firstLine="0"/>
              <w:jc w:val="center"/>
            </w:pPr>
            <w:r>
              <w:t>Số đối tượng</w:t>
            </w:r>
            <w:r>
              <w:rPr>
                <w:rFonts w:ascii="Times New Roman" w:hAnsi="Times New Roman"/>
                <w:b/>
                <w:sz w:val="20"/>
              </w:rPr>
            </w:r>
          </w:p>
        </w:tc>
        <w:tc>
          <w:tcPr>
            <w:tcW w:type="dxa" w:w="4535"/>
            <w:vAlign w:val="center"/>
            <w:shd w:fill="D9EAF7"/>
          </w:tcPr>
          <w:p>
            <w:pPr>
              <w:spacing w:after="0"/>
              <w:ind w:firstLine="0"/>
              <w:jc w:val="center"/>
            </w:pPr>
            <w:r>
              <w:t>Trạng thái chính</w:t>
            </w:r>
            <w:r>
              <w:rPr>
                <w:rFonts w:ascii="Times New Roman" w:hAnsi="Times New Roman"/>
                <w:b/>
                <w:sz w:val="20"/>
              </w:rPr>
            </w:r>
          </w:p>
        </w:tc>
      </w:tr>
      <w:tr>
        <w:tc>
          <w:tcPr>
            <w:tcW w:type="dxa" w:w="2268"/>
            <w:vAlign w:val="center"/>
          </w:tcPr>
          <w:p>
            <w:pPr>
              <w:spacing w:after="0"/>
              <w:ind w:firstLine="0"/>
              <w:jc w:val="left"/>
            </w:pPr>
            <w:r>
              <w:t>Quyền tác giả</w:t>
            </w:r>
            <w:r>
              <w:rPr>
                <w:rFonts w:ascii="Times New Roman" w:hAnsi="Times New Roman"/>
                <w:b w:val="0"/>
                <w:sz w:val="20"/>
              </w:rPr>
            </w:r>
          </w:p>
        </w:tc>
        <w:tc>
          <w:tcPr>
            <w:tcW w:type="dxa" w:w="1701"/>
            <w:vAlign w:val="center"/>
          </w:tcPr>
          <w:p>
            <w:pPr>
              <w:spacing w:after="0"/>
              <w:ind w:firstLine="0"/>
              <w:jc w:val="left"/>
            </w:pPr>
            <w:r>
              <w:t>2</w:t>
            </w:r>
            <w:r>
              <w:rPr>
                <w:rFonts w:ascii="Times New Roman" w:hAnsi="Times New Roman"/>
                <w:b w:val="0"/>
                <w:sz w:val="20"/>
              </w:rPr>
            </w:r>
          </w:p>
        </w:tc>
        <w:tc>
          <w:tcPr>
            <w:tcW w:type="dxa" w:w="4535"/>
            <w:vAlign w:val="center"/>
          </w:tcPr>
          <w:p>
            <w:pPr>
              <w:spacing w:after="0"/>
              <w:ind w:firstLine="0"/>
              <w:jc w:val="left"/>
            </w:pPr>
            <w:r>
              <w:t>Có số đăng ký</w:t>
            </w:r>
            <w:r>
              <w:rPr>
                <w:rFonts w:ascii="Times New Roman" w:hAnsi="Times New Roman"/>
                <w:b w:val="0"/>
                <w:sz w:val="20"/>
              </w:rPr>
            </w:r>
          </w:p>
        </w:tc>
      </w:tr>
      <w:tr>
        <w:tc>
          <w:tcPr>
            <w:tcW w:type="dxa" w:w="2268"/>
            <w:vAlign w:val="center"/>
          </w:tcPr>
          <w:p>
            <w:pPr>
              <w:spacing w:after="0"/>
              <w:ind w:firstLine="0"/>
              <w:jc w:val="left"/>
            </w:pPr>
            <w:r>
              <w:t>Nhãn hiệu</w:t>
            </w:r>
            <w:r>
              <w:rPr>
                <w:rFonts w:ascii="Times New Roman" w:hAnsi="Times New Roman"/>
                <w:b w:val="0"/>
                <w:sz w:val="20"/>
              </w:rPr>
            </w:r>
          </w:p>
        </w:tc>
        <w:tc>
          <w:tcPr>
            <w:tcW w:type="dxa" w:w="1701"/>
            <w:vAlign w:val="center"/>
          </w:tcPr>
          <w:p>
            <w:pPr>
              <w:spacing w:after="0"/>
              <w:ind w:firstLine="0"/>
              <w:jc w:val="left"/>
            </w:pPr>
            <w:r>
              <w:t>3</w:t>
            </w:r>
            <w:r>
              <w:rPr>
                <w:rFonts w:ascii="Times New Roman" w:hAnsi="Times New Roman"/>
                <w:b w:val="0"/>
                <w:sz w:val="20"/>
              </w:rPr>
            </w:r>
          </w:p>
        </w:tc>
        <w:tc>
          <w:tcPr>
            <w:tcW w:type="dxa" w:w="4535"/>
            <w:vAlign w:val="center"/>
          </w:tcPr>
          <w:p>
            <w:pPr>
              <w:spacing w:after="0"/>
              <w:ind w:firstLine="0"/>
              <w:jc w:val="left"/>
            </w:pPr>
            <w:r>
              <w:t>2 mục có số văn bằng/ký hiệu; 1 mục tiếp nhận đơn</w:t>
            </w:r>
            <w:r>
              <w:rPr>
                <w:rFonts w:ascii="Times New Roman" w:hAnsi="Times New Roman"/>
                <w:b w:val="0"/>
                <w:sz w:val="20"/>
              </w:rPr>
            </w:r>
          </w:p>
        </w:tc>
      </w:tr>
      <w:tr>
        <w:tc>
          <w:tcPr>
            <w:tcW w:type="dxa" w:w="2268"/>
            <w:vAlign w:val="center"/>
          </w:tcPr>
          <w:p>
            <w:pPr>
              <w:spacing w:after="0"/>
              <w:ind w:firstLine="0"/>
              <w:jc w:val="left"/>
            </w:pPr>
            <w:r>
              <w:t>Kiểu dáng công nghiệp</w:t>
            </w:r>
            <w:r>
              <w:rPr>
                <w:rFonts w:ascii="Times New Roman" w:hAnsi="Times New Roman"/>
                <w:b w:val="0"/>
                <w:sz w:val="20"/>
              </w:rPr>
            </w:r>
          </w:p>
        </w:tc>
        <w:tc>
          <w:tcPr>
            <w:tcW w:type="dxa" w:w="1701"/>
            <w:vAlign w:val="center"/>
          </w:tcPr>
          <w:p>
            <w:pPr>
              <w:spacing w:after="0"/>
              <w:ind w:firstLine="0"/>
              <w:jc w:val="left"/>
            </w:pPr>
            <w:r>
              <w:t>5</w:t>
            </w:r>
            <w:r>
              <w:rPr>
                <w:rFonts w:ascii="Times New Roman" w:hAnsi="Times New Roman"/>
                <w:b w:val="0"/>
                <w:sz w:val="20"/>
              </w:rPr>
            </w:r>
          </w:p>
        </w:tc>
        <w:tc>
          <w:tcPr>
            <w:tcW w:type="dxa" w:w="4535"/>
            <w:vAlign w:val="center"/>
          </w:tcPr>
          <w:p>
            <w:pPr>
              <w:spacing w:after="0"/>
              <w:ind w:firstLine="0"/>
              <w:jc w:val="left"/>
            </w:pPr>
            <w:r>
              <w:t>Có số/ký mã hiệu trong danh sách</w:t>
            </w:r>
            <w:r>
              <w:rPr>
                <w:rFonts w:ascii="Times New Roman" w:hAnsi="Times New Roman"/>
                <w:b w:val="0"/>
                <w:sz w:val="20"/>
              </w:rPr>
            </w:r>
          </w:p>
        </w:tc>
      </w:tr>
      <w:tr>
        <w:tc>
          <w:tcPr>
            <w:tcW w:type="dxa" w:w="2268"/>
            <w:vAlign w:val="center"/>
          </w:tcPr>
          <w:p>
            <w:pPr>
              <w:spacing w:after="0"/>
              <w:ind w:firstLine="0"/>
              <w:jc w:val="left"/>
            </w:pPr>
            <w:r>
              <w:t>Sáng chế</w:t>
            </w:r>
            <w:r>
              <w:rPr>
                <w:rFonts w:ascii="Times New Roman" w:hAnsi="Times New Roman"/>
                <w:b w:val="0"/>
                <w:sz w:val="20"/>
              </w:rPr>
            </w:r>
          </w:p>
        </w:tc>
        <w:tc>
          <w:tcPr>
            <w:tcW w:type="dxa" w:w="1701"/>
            <w:vAlign w:val="center"/>
          </w:tcPr>
          <w:p>
            <w:pPr>
              <w:spacing w:after="0"/>
              <w:ind w:firstLine="0"/>
              <w:jc w:val="left"/>
            </w:pPr>
            <w:r>
              <w:t>1</w:t>
            </w:r>
            <w:r>
              <w:rPr>
                <w:rFonts w:ascii="Times New Roman" w:hAnsi="Times New Roman"/>
                <w:b w:val="0"/>
                <w:sz w:val="20"/>
              </w:rPr>
            </w:r>
          </w:p>
        </w:tc>
        <w:tc>
          <w:tcPr>
            <w:tcW w:type="dxa" w:w="4535"/>
            <w:vAlign w:val="center"/>
          </w:tcPr>
          <w:p>
            <w:pPr>
              <w:spacing w:after="0"/>
              <w:ind w:firstLine="0"/>
              <w:jc w:val="left"/>
            </w:pPr>
            <w:r>
              <w:t>Có trong danh sách nội bộ; chưa thể hiện số đơn/văn bằng</w:t>
            </w:r>
            <w:r>
              <w:rPr>
                <w:rFonts w:ascii="Times New Roman" w:hAnsi="Times New Roman"/>
                <w:b w:val="0"/>
                <w:sz w:val="20"/>
              </w:rPr>
            </w:r>
          </w:p>
        </w:tc>
      </w:tr>
      <w:tr>
        <w:tc>
          <w:tcPr>
            <w:tcW w:type="dxa" w:w="2268"/>
            <w:vAlign w:val="center"/>
          </w:tcPr>
          <w:p>
            <w:pPr>
              <w:spacing w:after="0"/>
              <w:ind w:firstLine="0"/>
              <w:jc w:val="left"/>
            </w:pPr>
            <w:r>
              <w:t>Tổng</w:t>
            </w:r>
            <w:r>
              <w:rPr>
                <w:rFonts w:ascii="Times New Roman" w:hAnsi="Times New Roman"/>
                <w:b w:val="0"/>
                <w:sz w:val="20"/>
              </w:rPr>
            </w:r>
          </w:p>
        </w:tc>
        <w:tc>
          <w:tcPr>
            <w:tcW w:type="dxa" w:w="1701"/>
            <w:vAlign w:val="center"/>
          </w:tcPr>
          <w:p>
            <w:pPr>
              <w:spacing w:after="0"/>
              <w:ind w:firstLine="0"/>
              <w:jc w:val="left"/>
            </w:pPr>
            <w:r>
              <w:t>11</w:t>
            </w:r>
            <w:r>
              <w:rPr>
                <w:rFonts w:ascii="Times New Roman" w:hAnsi="Times New Roman"/>
                <w:b w:val="0"/>
                <w:sz w:val="20"/>
              </w:rPr>
            </w:r>
          </w:p>
        </w:tc>
        <w:tc>
          <w:tcPr>
            <w:tcW w:type="dxa" w:w="4535"/>
            <w:vAlign w:val="center"/>
          </w:tcPr>
          <w:p>
            <w:pPr>
              <w:spacing w:after="0"/>
              <w:ind w:firstLine="0"/>
              <w:jc w:val="left"/>
            </w:pPr>
            <w:r>
              <w:t>9 mục có số đăng ký/văn bằng/ký hiệu</w:t>
            </w:r>
            <w:r>
              <w:rPr>
                <w:rFonts w:ascii="Times New Roman" w:hAnsi="Times New Roman"/>
                <w:b w:val="0"/>
                <w:sz w:val="20"/>
              </w:rPr>
            </w:r>
          </w:p>
        </w:tc>
      </w:tr>
    </w:tbl>
    <w:p>
      <w:pPr>
        <w:pStyle w:val="SourceVN"/>
      </w:pPr>
      <w:r>
        <w:rPr>
          <w:rFonts w:ascii="Times New Roman" w:hAnsi="Times New Roman"/>
          <w:i/>
        </w:rPr>
        <w:t>Nguồn: Tác giả tổng hợp từ danh sách SHTT do Trường cung cấp.</w:t>
      </w:r>
    </w:p>
    <w:p>
      <w:pPr>
        <w:ind w:firstLine="0"/>
        <w:jc w:val="center"/>
      </w:pPr>
      <w:r>
        <w:rPr>
          <w:rFonts w:ascii="Times New Roman" w:hAnsi="Times New Roman"/>
        </w:rPr>
      </w:r>
    </w:p>
    <w:p>
      <w:pPr>
        <w:pStyle w:val="CaptionVN"/>
      </w:pPr>
      <w:r>
        <w:rPr>
          <w:rFonts w:ascii="Times New Roman" w:hAnsi="Times New Roman"/>
          <w:b/>
          <w:i w:val="0"/>
          <w:sz w:val="26"/>
        </w:rPr>
        <w:t>Hình 2.3. Cơ cấu các loại quyền SHTT của Trường giai đoạn 2021–2025</w:t>
      </w:r>
    </w:p>
    <w:p>
      <w:pPr>
        <w:pStyle w:val="SourceVN"/>
      </w:pPr>
      <w:r>
        <w:rPr>
          <w:rFonts w:ascii="Times New Roman" w:hAnsi="Times New Roman"/>
          <w:i/>
        </w:rPr>
        <w:t>Nguồn: Tác giả tổng hợp và tính toán từ danh sách SHTT do Trường cung cấp.</w:t>
      </w:r>
    </w:p>
    <w:p>
      <w:pPr/>
      <w:r>
        <w:rPr>
          <w:rFonts w:ascii="Times New Roman" w:hAnsi="Times New Roman"/>
          <w:i w:val="0"/>
        </w:rPr>
        <w:t>Điểm đáng chú ý không chỉ là số lượng 11 đối tượng SHTT mà còn là cơ cấu của chúng. Năm kiểu dáng công nghiệp đều được ghi nhận trong năm 2024 và đều do Trường Đại học Thành Đô cùng Công ty Thanh Huế đồng sở hữu. Điều này cho thấy hợp tác với doanh nghiệp đã tạo ra kết quả SHTT cụ thể. Tuy nhiên, danh sách hiện có chưa cho biết rõ từng kiểu dáng xuất phát từ đề tài nào, quyền của mỗi bên được xác định ra sao và tài sản sau đó được sử dụng như thế nào. Vì vậy, danh sách hiện mới cho biết kết quả đăng ký, chưa cho thấy đầy đủ quá trình quản lý trước và sau đăng ký.</w:t>
      </w:r>
    </w:p>
    <w:p>
      <w:pPr>
        <w:spacing w:before="160" w:after="80"/>
        <w:ind w:firstLine="0"/>
      </w:pPr>
      <w:r>
        <w:rPr>
          <w:rFonts w:ascii="Times New Roman" w:hAnsi="Times New Roman"/>
          <w:b/>
          <w:i w:val="0"/>
          <w:sz w:val="26"/>
        </w:rPr>
        <w:t>Việc nhận diện và lựa chọn tài sản để bảo hộ</w:t>
      </w:r>
    </w:p>
    <w:p>
      <w:pPr>
        <w:spacing w:before="160" w:after="80"/>
        <w:ind w:firstLine="0"/>
      </w:pPr>
      <w:r>
        <w:rPr>
          <w:rFonts w:ascii="Times New Roman" w:hAnsi="Times New Roman"/>
          <w:b/>
          <w:i w:val="0"/>
          <w:sz w:val="26"/>
        </w:rPr>
        <w:t>Ghi nhận tài sản trí tuệ</w:t>
      </w:r>
    </w:p>
    <w:p>
      <w:pPr/>
      <w:r>
        <w:rPr>
          <w:rFonts w:ascii="Times New Roman" w:hAnsi="Times New Roman"/>
          <w:i w:val="0"/>
        </w:rPr>
        <w:t>Theo Điều 11 Quy chế quản trị TSTT ban hành kèm Quyết định số 217/QĐ-ĐHTĐ, Phòng Khoa học và Công nghệ có trách nhiệm xây dựng quy trình, biểu mẫu ghi nhận hoặc khai báo, nhận diện TSTT mới, lập hồ sơ thống kê và theo dõi tập trung. Việc này giúp Trường biết tài sản được hình thành khi nào, do ai tạo ra và có cần xem xét bảo hộ hay không.</w:t>
      </w:r>
    </w:p>
    <w:p>
      <w:pPr/>
      <w:r>
        <w:rPr>
          <w:rFonts w:ascii="Times New Roman" w:hAnsi="Times New Roman"/>
          <w:i w:val="0"/>
        </w:rPr>
        <w:t>Trong bộ hồ sơ hiện có, chưa ghi nhận phiếu khai báo, biên bản nhận diện hoặc sổ theo dõi có chức năng tương đương. Vì vậy, nghiên cứu chưa xác định được tài sản được ghi nhận vào thời điểm nào, ai đề xuất bảo hộ và vì sao có tài sản được đăng ký trong khi tài sản khác chỉ dừng ở sản phẩm nghiệm thu. Điều này cho thấy hồ sơ theo dõi còn thiếu, nhưng chưa đủ căn cứ để khẳng định hoạt động nhận diện TSTT không diễn ra trên thực tế.</w:t>
      </w:r>
    </w:p>
    <w:p>
      <w:pPr>
        <w:spacing w:before="160" w:after="80"/>
        <w:ind w:firstLine="0"/>
      </w:pPr>
      <w:r>
        <w:rPr>
          <w:rFonts w:ascii="Times New Roman" w:hAnsi="Times New Roman"/>
          <w:b/>
          <w:i w:val="0"/>
          <w:sz w:val="26"/>
        </w:rPr>
        <w:t>Xem xét khả năng bảo hộ</w:t>
      </w:r>
    </w:p>
    <w:p>
      <w:pPr/>
      <w:r>
        <w:rPr>
          <w:rFonts w:ascii="Times New Roman" w:hAnsi="Times New Roman"/>
          <w:b w:val="0"/>
          <w:i w:val="0"/>
          <w:sz w:val="26"/>
        </w:rPr>
        <w:t>Một vấn đề khác là bước xem xét khả năng bảo hộ. Điều 10 Quy chế quản trị TSTT yêu cầu việc công bố không được làm ảnh hưởng đến khả năng bảo hộ và khai thác. Trong dữ liệu thực tế, một số đề tài vừa có bài báo, vừa có công thức hoặc quy trình mới và dự kiến đăng ký giải pháp hữu ích (GPHI). Chẳng hạn, đề tài cồn xoa bóp năm 2025 có bài đăng khoa học, công thức mới và 50 chai sản phẩm; đề tài viên ngậm Gừng – Húng chanh có bài báo, quy trình mới và sản phẩm thử nghiệm. Với các trường hợp này, cần làm rõ việc xem xét khả năng bảo hộ có được thực hiện trước khi công bố hay không.</w:t>
      </w:r>
    </w:p>
    <w:p>
      <w:pPr/>
      <w:r>
        <w:rPr>
          <w:rFonts w:ascii="Times New Roman" w:hAnsi="Times New Roman"/>
          <w:i w:val="0"/>
        </w:rPr>
        <w:t>Hiện nghiên cứu chưa có biên bản xem xét khả năng bảo hộ, báo cáo tra cứu hoặc tài liệu nêu rõ lý do lựa chọn sáng chế, giải pháp hữu ích, kiểu dáng công nghiệp, nhãn hiệu hay giữ bí mật. Vì vậy, chưa thể xác định rõ tiêu chí ra quyết định và lý do vì sao một số kết quả được tiếp tục đăng ký còn một số khác thì không.</w:t>
      </w:r>
    </w:p>
    <w:p>
      <w:pPr>
        <w:spacing w:before="160" w:after="80"/>
        <w:ind w:firstLine="0"/>
      </w:pPr>
      <w:r>
        <w:rPr>
          <w:rFonts w:ascii="Times New Roman" w:hAnsi="Times New Roman"/>
          <w:b/>
          <w:i w:val="0"/>
          <w:sz w:val="26"/>
        </w:rPr>
        <w:t>Đăng ký và theo dõi hồ sơ</w:t>
      </w:r>
    </w:p>
    <w:p>
      <w:pPr/>
      <w:r>
        <w:rPr>
          <w:rFonts w:ascii="Times New Roman" w:hAnsi="Times New Roman"/>
          <w:i w:val="0"/>
        </w:rPr>
        <w:t>Ở bước đăng ký, thông tin rõ hơn. Điều 35 Quy chế hoạt động KHCN năm 2021 quy định việc tiếp nhận hồ sơ, kiểm tra, trình ký và nộp đơn. Danh sách SHTT cho thấy Trường đã có đăng ký quyền tác giả, nhãn hiệu, kiểu dáng công nghiệp và có một sáng chế được ghi trong danh sách nội bộ. Như vậy, hoạt động đăng ký quyền SHTT đã được thực hiện và đã có kết quả cụ thể.</w:t>
      </w:r>
    </w:p>
    <w:p>
      <w:pPr/>
      <w:r>
        <w:rPr>
          <w:rFonts w:ascii="Times New Roman" w:hAnsi="Times New Roman"/>
          <w:i w:val="0"/>
        </w:rPr>
        <w:t>Tuy nhiên, hồ sơ hiện có chưa thể hiện đầy đủ các mốc như ngày ghi nhận tài sản, ngày xem xét khả năng bảo hộ, ngày quyết định đăng ký và ngày nộp đơn. Do đó, nghiên cứu chưa thể tính chính xác thời gian từ khi có kết quả nghiên cứu đến khi nộp đơn, cũng chưa thể tính tỷ lệ kết quả có tiềm năng được chuyển thành đơn đăng ký. Đây là hạn chế của dữ liệu quản lý hiện có.</w:t>
      </w:r>
    </w:p>
    <w:p>
      <w:pPr>
        <w:pStyle w:val="CaptionVN"/>
      </w:pPr>
      <w:r>
        <w:rPr>
          <w:rFonts w:ascii="Times New Roman" w:hAnsi="Times New Roman"/>
          <w:b/>
        </w:rPr>
        <w:t>Bảng 2.5. Đối sánh một số yêu cầu quản trị với bằng chứng thực tế</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vAlign w:val="center"/>
            <w:shd w:fill="D9EAF7"/>
          </w:tcPr>
          <w:p>
            <w:pPr>
              <w:spacing w:after="0"/>
              <w:ind w:firstLine="0"/>
              <w:jc w:val="center"/>
            </w:pPr>
            <w:r>
              <w:t>Khâu</w:t>
            </w:r>
            <w:r>
              <w:rPr>
                <w:rFonts w:ascii="Times New Roman" w:hAnsi="Times New Roman"/>
                <w:b/>
                <w:sz w:val="20"/>
              </w:rPr>
            </w:r>
          </w:p>
        </w:tc>
        <w:tc>
          <w:tcPr>
            <w:tcW w:type="dxa" w:w="3118"/>
            <w:vAlign w:val="center"/>
            <w:shd w:fill="D9EAF7"/>
          </w:tcPr>
          <w:p>
            <w:pPr>
              <w:spacing w:after="0"/>
              <w:ind w:firstLine="0"/>
              <w:jc w:val="center"/>
            </w:pPr>
            <w:r>
              <w:t>Chuẩn nội bộ</w:t>
            </w:r>
            <w:r>
              <w:rPr>
                <w:rFonts w:ascii="Times New Roman" w:hAnsi="Times New Roman"/>
                <w:b/>
                <w:sz w:val="20"/>
              </w:rPr>
            </w:r>
          </w:p>
        </w:tc>
        <w:tc>
          <w:tcPr>
            <w:tcW w:type="dxa" w:w="3402"/>
            <w:vAlign w:val="center"/>
            <w:shd w:fill="D9EAF7"/>
          </w:tcPr>
          <w:p>
            <w:pPr>
              <w:spacing w:after="0"/>
              <w:ind w:firstLine="0"/>
              <w:jc w:val="center"/>
            </w:pPr>
            <w:r>
              <w:t>Bằng chứng thực tế</w:t>
            </w:r>
            <w:r>
              <w:rPr>
                <w:rFonts w:ascii="Times New Roman" w:hAnsi="Times New Roman"/>
                <w:b/>
                <w:sz w:val="20"/>
              </w:rPr>
            </w:r>
          </w:p>
        </w:tc>
        <w:tc>
          <w:tcPr>
            <w:tcW w:type="dxa" w:w="2835"/>
            <w:vAlign w:val="center"/>
            <w:shd w:fill="D9EAF7"/>
          </w:tcPr>
          <w:p>
            <w:pPr>
              <w:spacing w:after="0"/>
              <w:ind w:firstLine="0"/>
              <w:jc w:val="center"/>
            </w:pPr>
            <w:r>
              <w:t>Nhận định</w:t>
            </w:r>
            <w:r>
              <w:rPr>
                <w:rFonts w:ascii="Times New Roman" w:hAnsi="Times New Roman"/>
                <w:b/>
                <w:sz w:val="20"/>
              </w:rPr>
            </w:r>
          </w:p>
        </w:tc>
      </w:tr>
      <w:tr>
        <w:tc>
          <w:tcPr>
            <w:tcW w:type="dxa" w:w="1701"/>
            <w:vAlign w:val="center"/>
          </w:tcPr>
          <w:p>
            <w:pPr>
              <w:spacing w:after="0"/>
              <w:ind w:firstLine="0"/>
              <w:jc w:val="left"/>
            </w:pPr>
            <w:r>
              <w:t>Nhận diện/kê khai</w:t>
            </w:r>
            <w:r>
              <w:rPr>
                <w:rFonts w:ascii="Times New Roman" w:hAnsi="Times New Roman"/>
                <w:b w:val="0"/>
                <w:sz w:val="20"/>
              </w:rPr>
            </w:r>
          </w:p>
        </w:tc>
        <w:tc>
          <w:tcPr>
            <w:tcW w:type="dxa" w:w="3118"/>
            <w:vAlign w:val="center"/>
          </w:tcPr>
          <w:p>
            <w:pPr>
              <w:spacing w:after="0"/>
              <w:ind w:firstLine="0"/>
              <w:jc w:val="left"/>
            </w:pPr>
            <w:r>
              <w:t>QĐ 217 yêu cầu biểu mẫu, ghi nhận, thống kê và theo dõi</w:t>
            </w:r>
            <w:r>
              <w:rPr>
                <w:rFonts w:ascii="Times New Roman" w:hAnsi="Times New Roman"/>
                <w:b w:val="0"/>
                <w:sz w:val="20"/>
              </w:rPr>
            </w:r>
          </w:p>
        </w:tc>
        <w:tc>
          <w:tcPr>
            <w:tcW w:type="dxa" w:w="3402"/>
            <w:vAlign w:val="center"/>
          </w:tcPr>
          <w:p>
            <w:pPr>
              <w:spacing w:after="0"/>
              <w:ind w:firstLine="0"/>
              <w:jc w:val="left"/>
            </w:pPr>
            <w:r>
              <w:t>Chưa có phiếu/biên bản/sổ khai báo TSTT trong bộ hồ sơ</w:t>
            </w:r>
            <w:r>
              <w:rPr>
                <w:rFonts w:ascii="Times New Roman" w:hAnsi="Times New Roman"/>
                <w:b w:val="0"/>
                <w:sz w:val="20"/>
              </w:rPr>
            </w:r>
          </w:p>
        </w:tc>
        <w:tc>
          <w:tcPr>
            <w:tcW w:type="dxa" w:w="2835"/>
            <w:vAlign w:val="center"/>
          </w:tcPr>
          <w:p>
            <w:r>
              <w:t>Thiếu hồ sơ theo dõi – mức rủi ro rất cao</w:t>
            </w:r>
          </w:p>
        </w:tc>
      </w:tr>
      <w:tr>
        <w:tc>
          <w:tcPr>
            <w:tcW w:type="dxa" w:w="1701"/>
            <w:vAlign w:val="center"/>
          </w:tcPr>
          <w:p>
            <w:pPr>
              <w:spacing w:after="0"/>
              <w:ind w:firstLine="0"/>
              <w:jc w:val="left"/>
            </w:pPr>
            <w:r>
              <w:t>Công bố trước bảo hộ</w:t>
            </w:r>
            <w:r>
              <w:rPr>
                <w:rFonts w:ascii="Times New Roman" w:hAnsi="Times New Roman"/>
                <w:b w:val="0"/>
                <w:sz w:val="20"/>
              </w:rPr>
            </w:r>
          </w:p>
        </w:tc>
        <w:tc>
          <w:tcPr>
            <w:tcW w:type="dxa" w:w="3118"/>
            <w:vAlign w:val="center"/>
          </w:tcPr>
          <w:p>
            <w:pPr>
              <w:spacing w:after="0"/>
              <w:ind w:firstLine="0"/>
              <w:jc w:val="left"/>
            </w:pPr>
            <w:r>
              <w:t>QĐ 217 yêu cầu không làm ảnh hưởng khả năng bảo hộ</w:t>
            </w:r>
            <w:r>
              <w:rPr>
                <w:rFonts w:ascii="Times New Roman" w:hAnsi="Times New Roman"/>
                <w:b w:val="0"/>
                <w:sz w:val="20"/>
              </w:rPr>
            </w:r>
          </w:p>
        </w:tc>
        <w:tc>
          <w:tcPr>
            <w:tcW w:type="dxa" w:w="3402"/>
            <w:vAlign w:val="center"/>
          </w:tcPr>
          <w:p>
            <w:pPr>
              <w:spacing w:after="0"/>
              <w:ind w:firstLine="0"/>
              <w:jc w:val="left"/>
            </w:pPr>
            <w:r>
              <w:t>Có trường hợp vừa công bố vừa có công thức/quy trình dự kiến GPHI</w:t>
            </w:r>
            <w:r>
              <w:rPr>
                <w:rFonts w:ascii="Times New Roman" w:hAnsi="Times New Roman"/>
                <w:b w:val="0"/>
                <w:sz w:val="20"/>
              </w:rPr>
            </w:r>
          </w:p>
        </w:tc>
        <w:tc>
          <w:tcPr>
            <w:tcW w:type="dxa" w:w="2835"/>
            <w:vAlign w:val="center"/>
          </w:tcPr>
          <w:p>
            <w:pPr>
              <w:spacing w:after="0"/>
              <w:ind w:firstLine="0"/>
              <w:jc w:val="left"/>
            </w:pPr>
            <w:r>
              <w:t>Rủi ro theo dõi lại trình tự quyết định – mức cao</w:t>
            </w:r>
            <w:r>
              <w:rPr>
                <w:rFonts w:ascii="Times New Roman" w:hAnsi="Times New Roman"/>
                <w:b w:val="0"/>
                <w:sz w:val="20"/>
              </w:rPr>
            </w:r>
          </w:p>
        </w:tc>
      </w:tr>
      <w:tr>
        <w:tc>
          <w:tcPr>
            <w:tcW w:type="dxa" w:w="1701"/>
            <w:vAlign w:val="center"/>
          </w:tcPr>
          <w:p>
            <w:r>
              <w:t>Lựa chọn hình thức bảo hộ</w:t>
            </w:r>
          </w:p>
        </w:tc>
        <w:tc>
          <w:tcPr>
            <w:tcW w:type="dxa" w:w="3118"/>
            <w:vAlign w:val="center"/>
          </w:tcPr>
          <w:p>
            <w:pPr>
              <w:spacing w:after="0"/>
              <w:ind w:firstLine="0"/>
              <w:jc w:val="left"/>
            </w:pPr>
            <w:r>
              <w:t>Cần nhận diện và lựa chọn cơ chế bảo hộ phù hợp</w:t>
            </w:r>
            <w:r>
              <w:rPr>
                <w:rFonts w:ascii="Times New Roman" w:hAnsi="Times New Roman"/>
                <w:b w:val="0"/>
                <w:sz w:val="20"/>
              </w:rPr>
            </w:r>
          </w:p>
        </w:tc>
        <w:tc>
          <w:tcPr>
            <w:tcW w:type="dxa" w:w="3402"/>
            <w:vAlign w:val="center"/>
          </w:tcPr>
          <w:p>
            <w:pPr>
              <w:spacing w:after="0"/>
              <w:ind w:firstLine="0"/>
              <w:jc w:val="left"/>
            </w:pPr>
            <w:r>
              <w:t>Không có hồ sơ xem xét/tra cứu khả năng bảo hộ</w:t>
            </w:r>
            <w:r>
              <w:rPr>
                <w:rFonts w:ascii="Times New Roman" w:hAnsi="Times New Roman"/>
                <w:b w:val="0"/>
                <w:sz w:val="20"/>
              </w:rPr>
            </w:r>
          </w:p>
        </w:tc>
        <w:tc>
          <w:tcPr>
            <w:tcW w:type="dxa" w:w="2835"/>
            <w:vAlign w:val="center"/>
          </w:tcPr>
          <w:p>
            <w:r>
              <w:t>Thiếu hồ sơ về việc ra quyết định – mức rủi ro rất cao</w:t>
            </w:r>
          </w:p>
        </w:tc>
      </w:tr>
      <w:tr>
        <w:tc>
          <w:tcPr>
            <w:tcW w:type="dxa" w:w="1701"/>
            <w:vAlign w:val="center"/>
          </w:tcPr>
          <w:p>
            <w:pPr>
              <w:spacing w:after="0"/>
              <w:ind w:firstLine="0"/>
              <w:jc w:val="left"/>
            </w:pPr>
            <w:r>
              <w:t>Đăng ký quyền</w:t>
            </w:r>
            <w:r>
              <w:rPr>
                <w:rFonts w:ascii="Times New Roman" w:hAnsi="Times New Roman"/>
                <w:b w:val="0"/>
                <w:sz w:val="20"/>
              </w:rPr>
            </w:r>
          </w:p>
        </w:tc>
        <w:tc>
          <w:tcPr>
            <w:tcW w:type="dxa" w:w="3118"/>
            <w:vAlign w:val="center"/>
          </w:tcPr>
          <w:p>
            <w:pPr>
              <w:spacing w:after="0"/>
              <w:ind w:firstLine="0"/>
              <w:jc w:val="left"/>
            </w:pPr>
            <w:r>
              <w:t>QĐ 213 quy định tiếp nhận – trình ký – nộp đơn</w:t>
            </w:r>
            <w:r>
              <w:rPr>
                <w:rFonts w:ascii="Times New Roman" w:hAnsi="Times New Roman"/>
                <w:b w:val="0"/>
                <w:sz w:val="20"/>
              </w:rPr>
            </w:r>
          </w:p>
        </w:tc>
        <w:tc>
          <w:tcPr>
            <w:tcW w:type="dxa" w:w="3402"/>
            <w:vAlign w:val="center"/>
          </w:tcPr>
          <w:p>
            <w:pPr>
              <w:spacing w:after="0"/>
              <w:ind w:firstLine="0"/>
              <w:jc w:val="left"/>
            </w:pPr>
            <w:r>
              <w:t>Có danh mục quyền/đơn nhưng thiếu mốc quy trình trung gian</w:t>
            </w:r>
            <w:r>
              <w:rPr>
                <w:rFonts w:ascii="Times New Roman" w:hAnsi="Times New Roman"/>
                <w:b w:val="0"/>
                <w:sz w:val="20"/>
              </w:rPr>
            </w:r>
          </w:p>
        </w:tc>
        <w:tc>
          <w:tcPr>
            <w:tcW w:type="dxa" w:w="2835"/>
            <w:vAlign w:val="center"/>
          </w:tcPr>
          <w:p>
            <w:pPr>
              <w:spacing w:after="0"/>
              <w:ind w:firstLine="0"/>
              <w:jc w:val="left"/>
            </w:pPr>
            <w:r>
              <w:t>Chưa đo được hiệu suất quy trình – cao</w:t>
            </w:r>
            <w:r>
              <w:rPr>
                <w:rFonts w:ascii="Times New Roman" w:hAnsi="Times New Roman"/>
                <w:b w:val="0"/>
                <w:sz w:val="20"/>
              </w:rPr>
            </w:r>
          </w:p>
        </w:tc>
      </w:tr>
      <w:tr>
        <w:tc>
          <w:tcPr>
            <w:tcW w:type="dxa" w:w="1701"/>
            <w:vAlign w:val="center"/>
          </w:tcPr>
          <w:p>
            <w:pPr>
              <w:spacing w:after="0"/>
              <w:ind w:firstLine="0"/>
              <w:jc w:val="left"/>
            </w:pPr>
            <w:r>
              <w:t>Theo dõi danh mục</w:t>
            </w:r>
            <w:r>
              <w:rPr>
                <w:rFonts w:ascii="Times New Roman" w:hAnsi="Times New Roman"/>
                <w:b w:val="0"/>
                <w:sz w:val="20"/>
              </w:rPr>
            </w:r>
          </w:p>
        </w:tc>
        <w:tc>
          <w:tcPr>
            <w:tcW w:type="dxa" w:w="3118"/>
            <w:vAlign w:val="center"/>
          </w:tcPr>
          <w:p>
            <w:pPr>
              <w:spacing w:after="0"/>
              <w:ind w:firstLine="0"/>
              <w:jc w:val="left"/>
            </w:pPr>
            <w:r>
              <w:t>QĐ 217 yêu cầu hồ sơ thống kê, theo dõi và lưu trữ tập trung</w:t>
            </w:r>
            <w:r>
              <w:rPr>
                <w:rFonts w:ascii="Times New Roman" w:hAnsi="Times New Roman"/>
                <w:b w:val="0"/>
                <w:sz w:val="20"/>
              </w:rPr>
            </w:r>
          </w:p>
        </w:tc>
        <w:tc>
          <w:tcPr>
            <w:tcW w:type="dxa" w:w="3402"/>
            <w:vAlign w:val="center"/>
          </w:tcPr>
          <w:p>
            <w:pPr>
              <w:spacing w:after="0"/>
              <w:ind w:firstLine="0"/>
              <w:jc w:val="left"/>
            </w:pPr>
            <w:r>
              <w:t>Có danh sách tổng hợp nhưng chưa liên kết đầy đủ với đề tài và khai thác</w:t>
            </w:r>
            <w:r>
              <w:rPr>
                <w:rFonts w:ascii="Times New Roman" w:hAnsi="Times New Roman"/>
                <w:b w:val="0"/>
                <w:sz w:val="20"/>
              </w:rPr>
            </w:r>
          </w:p>
        </w:tc>
        <w:tc>
          <w:tcPr>
            <w:tcW w:type="dxa" w:w="2835"/>
            <w:vAlign w:val="center"/>
          </w:tcPr>
          <w:p>
            <w:r>
              <w:t>Dữ liệu còn rời rạc – mức rủi ro cao</w:t>
            </w:r>
          </w:p>
        </w:tc>
      </w:tr>
    </w:tbl>
    <w:p>
      <w:pPr>
        <w:pStyle w:val="SourceVN"/>
      </w:pPr>
      <w:r>
        <w:rPr>
          <w:rFonts w:ascii="Times New Roman" w:hAnsi="Times New Roman"/>
          <w:i/>
        </w:rPr>
        <w:t>Nguồn: Tác giả tổng hợp từ QĐ 213/QĐ-ĐHTĐ, QĐ 217/QĐ-ĐHTĐ và hồ sơ nghiên cứu.</w:t>
      </w:r>
    </w:p>
    <w:p>
      <w:pPr>
        <w:pStyle w:val="Heading1"/>
        <w:ind w:firstLine="0"/>
      </w:pPr>
      <w:r>
        <w:rPr>
          <w:rFonts w:ascii="Times New Roman" w:hAnsi="Times New Roman"/>
          <w:b/>
          <w:i w:val="0"/>
          <w:sz w:val="26"/>
        </w:rPr>
        <w:t>2.4. Thực trạng sử dụng và khai thác tài sản trí tuệ</w:t>
      </w:r>
    </w:p>
    <w:p>
      <w:pPr/>
      <w:r>
        <w:rPr>
          <w:rFonts w:ascii="Times New Roman" w:hAnsi="Times New Roman"/>
          <w:i w:val="0"/>
        </w:rPr>
        <w:t>Bảo hộ quyền SHTT chỉ là một bước. Giá trị của TSTT còn thể hiện ở việc tài sản có được sử dụng hay không. Trong 90 kết quả nghiên cứu, có 25 kết quả có thông tin cho thấy đã hoặc có khả năng được ứng dụng. Có 18/38 đề tài có ít nhất một kết quả thuộc nhóm này.</w:t>
      </w:r>
    </w:p>
    <w:p>
      <w:pPr/>
      <w:r>
        <w:rPr>
          <w:rFonts w:ascii="Times New Roman" w:hAnsi="Times New Roman"/>
          <w:i w:val="0"/>
        </w:rPr>
        <w:t>Cần phân biệt rõ giữa sử dụng, chuyển giao và thương mại hóa. Một sản phẩm được dùng trong giảng dạy là đã được ứng dụng, nhưng chưa thể coi là chuyển giao. Một sản phẩm được bàn giao nội bộ cũng chưa đồng nghĩa với việc đã có hợp đồng thương mại. Chỉ khi có hợp đồng, đối tác, phạm vi quyền và giá trị giao dịch thì mới có thể khẳng định hoạt động chuyển giao hoặc thương mại hóa.</w:t>
      </w:r>
    </w:p>
    <w:p>
      <w:pPr/>
      <w:r>
        <w:rPr>
          <w:rFonts w:ascii="Times New Roman" w:hAnsi="Times New Roman"/>
          <w:i w:val="0"/>
        </w:rPr>
        <w:t>Trường hợp tinh dầu vỏ bưởi cho thấy sự khác nhau giữa các mức độ xác nhận. Hồ sơ đề tài ghi sản phẩm “chuyển giao công nghệ cho Trường ... thương mại hóa”, nhưng hiện chưa có hợp đồng hoặc chứng từ cho thấy đã có giao dịch thương mại. Vì vậy, nghiên cứu chỉ ghi nhận đây là dấu hiệu khai thác, chưa kết luận đã thương mại hóa.</w:t>
      </w:r>
    </w:p>
    <w:p>
      <w:pPr>
        <w:pStyle w:val="CaptionVN"/>
      </w:pPr>
      <w:r>
        <w:rPr>
          <w:rFonts w:ascii="Times New Roman" w:hAnsi="Times New Roman"/>
          <w:b/>
        </w:rPr>
        <w:t>Bảng 2.6. Mức độ xác minh việc sử dụng và khai thác TSTT</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D9EAF7"/>
          </w:tcPr>
          <w:p>
            <w:pPr>
              <w:spacing w:after="0"/>
              <w:ind w:firstLine="0"/>
              <w:jc w:val="center"/>
            </w:pPr>
            <w:r>
              <w:t>Mức độ xác minh</w:t>
            </w:r>
            <w:r>
              <w:rPr>
                <w:rFonts w:ascii="Times New Roman" w:hAnsi="Times New Roman"/>
                <w:b/>
                <w:sz w:val="20"/>
              </w:rPr>
            </w:r>
          </w:p>
        </w:tc>
        <w:tc>
          <w:tcPr>
            <w:tcW w:type="dxa" w:w="4535"/>
            <w:vAlign w:val="center"/>
            <w:shd w:fill="D9EAF7"/>
          </w:tcPr>
          <w:p>
            <w:pPr>
              <w:spacing w:after="0"/>
              <w:ind w:firstLine="0"/>
              <w:jc w:val="center"/>
            </w:pPr>
            <w:r>
              <w:t>Ví dụ</w:t>
            </w:r>
            <w:r>
              <w:rPr>
                <w:rFonts w:ascii="Times New Roman" w:hAnsi="Times New Roman"/>
                <w:b/>
                <w:sz w:val="20"/>
              </w:rPr>
            </w:r>
          </w:p>
        </w:tc>
        <w:tc>
          <w:tcPr>
            <w:tcW w:type="dxa" w:w="3969"/>
            <w:vAlign w:val="center"/>
            <w:shd w:fill="D9EAF7"/>
          </w:tcPr>
          <w:p>
            <w:pPr>
              <w:spacing w:after="0"/>
              <w:ind w:firstLine="0"/>
              <w:jc w:val="center"/>
            </w:pPr>
            <w:r>
              <w:t>Kết luận có thể đưa ra</w:t>
            </w:r>
            <w:r>
              <w:rPr>
                <w:rFonts w:ascii="Times New Roman" w:hAnsi="Times New Roman"/>
                <w:b/>
                <w:sz w:val="20"/>
              </w:rPr>
            </w:r>
          </w:p>
        </w:tc>
      </w:tr>
      <w:tr>
        <w:tc>
          <w:tcPr>
            <w:tcW w:type="dxa" w:w="2268"/>
            <w:vAlign w:val="center"/>
          </w:tcPr>
          <w:p>
            <w:pPr>
              <w:spacing w:after="0"/>
              <w:ind w:firstLine="0"/>
              <w:jc w:val="left"/>
            </w:pPr>
            <w:r>
              <w:t>Dấu hiệu ứng dụng</w:t>
            </w:r>
            <w:r>
              <w:rPr>
                <w:rFonts w:ascii="Times New Roman" w:hAnsi="Times New Roman"/>
                <w:b w:val="0"/>
                <w:sz w:val="20"/>
              </w:rPr>
            </w:r>
          </w:p>
        </w:tc>
        <w:tc>
          <w:tcPr>
            <w:tcW w:type="dxa" w:w="4535"/>
            <w:vAlign w:val="center"/>
          </w:tcPr>
          <w:p>
            <w:pPr>
              <w:spacing w:after="0"/>
              <w:ind w:firstLine="0"/>
              <w:jc w:val="left"/>
            </w:pPr>
            <w:r>
              <w:t>Mô tả trong hồ sơ nghiệm thu; sản phẩm dùng cho dạy học; giải pháp áp dụng tại Trường</w:t>
            </w:r>
            <w:r>
              <w:rPr>
                <w:rFonts w:ascii="Times New Roman" w:hAnsi="Times New Roman"/>
                <w:b w:val="0"/>
                <w:sz w:val="20"/>
              </w:rPr>
            </w:r>
          </w:p>
        </w:tc>
        <w:tc>
          <w:tcPr>
            <w:tcW w:type="dxa" w:w="3969"/>
            <w:vAlign w:val="center"/>
          </w:tcPr>
          <w:p>
            <w:pPr>
              <w:spacing w:after="0"/>
              <w:ind w:firstLine="0"/>
              <w:jc w:val="left"/>
            </w:pPr>
            <w:r>
              <w:t>Có khả năng hoặc có dấu hiệu sử dụng</w:t>
            </w:r>
            <w:r>
              <w:rPr>
                <w:rFonts w:ascii="Times New Roman" w:hAnsi="Times New Roman"/>
                <w:b w:val="0"/>
                <w:sz w:val="20"/>
              </w:rPr>
            </w:r>
          </w:p>
        </w:tc>
      </w:tr>
      <w:tr>
        <w:tc>
          <w:tcPr>
            <w:tcW w:type="dxa" w:w="2268"/>
            <w:vAlign w:val="center"/>
          </w:tcPr>
          <w:p>
            <w:pPr>
              <w:spacing w:after="0"/>
              <w:ind w:firstLine="0"/>
              <w:jc w:val="left"/>
            </w:pPr>
            <w:r>
              <w:t>Ứng dụng được xác minh</w:t>
            </w:r>
            <w:r>
              <w:rPr>
                <w:rFonts w:ascii="Times New Roman" w:hAnsi="Times New Roman"/>
                <w:b w:val="0"/>
                <w:sz w:val="20"/>
              </w:rPr>
            </w:r>
          </w:p>
        </w:tc>
        <w:tc>
          <w:tcPr>
            <w:tcW w:type="dxa" w:w="4535"/>
            <w:vAlign w:val="center"/>
          </w:tcPr>
          <w:p>
            <w:pPr>
              <w:spacing w:after="0"/>
              <w:ind w:firstLine="0"/>
              <w:jc w:val="left"/>
            </w:pPr>
            <w:r>
              <w:t>Biên bản bàn giao/sử dụng; học phần, số người dùng; xác nhận của đơn vị sử dụng</w:t>
            </w:r>
            <w:r>
              <w:rPr>
                <w:rFonts w:ascii="Times New Roman" w:hAnsi="Times New Roman"/>
                <w:b w:val="0"/>
                <w:sz w:val="20"/>
              </w:rPr>
            </w:r>
          </w:p>
        </w:tc>
        <w:tc>
          <w:tcPr>
            <w:tcW w:type="dxa" w:w="3969"/>
            <w:vAlign w:val="center"/>
          </w:tcPr>
          <w:p>
            <w:pPr>
              <w:spacing w:after="0"/>
              <w:ind w:firstLine="0"/>
              <w:jc w:val="left"/>
            </w:pPr>
            <w:r>
              <w:t>Đã sử dụng trong phạm vi xác định</w:t>
            </w:r>
            <w:r>
              <w:rPr>
                <w:rFonts w:ascii="Times New Roman" w:hAnsi="Times New Roman"/>
                <w:b w:val="0"/>
                <w:sz w:val="20"/>
              </w:rPr>
            </w:r>
          </w:p>
        </w:tc>
      </w:tr>
      <w:tr>
        <w:tc>
          <w:tcPr>
            <w:tcW w:type="dxa" w:w="2268"/>
            <w:vAlign w:val="center"/>
          </w:tcPr>
          <w:p>
            <w:pPr>
              <w:spacing w:after="0"/>
              <w:ind w:firstLine="0"/>
              <w:jc w:val="left"/>
            </w:pPr>
            <w:r>
              <w:t>Chuyển giao/cấp phép</w:t>
            </w:r>
            <w:r>
              <w:rPr>
                <w:rFonts w:ascii="Times New Roman" w:hAnsi="Times New Roman"/>
                <w:b w:val="0"/>
                <w:sz w:val="20"/>
              </w:rPr>
            </w:r>
          </w:p>
        </w:tc>
        <w:tc>
          <w:tcPr>
            <w:tcW w:type="dxa" w:w="4535"/>
            <w:vAlign w:val="center"/>
          </w:tcPr>
          <w:p>
            <w:pPr>
              <w:spacing w:after="0"/>
              <w:ind w:firstLine="0"/>
              <w:jc w:val="left"/>
            </w:pPr>
            <w:r>
              <w:t>Hợp đồng, phạm vi quyền, đối tác, thời hạn, giá trị</w:t>
            </w:r>
            <w:r>
              <w:rPr>
                <w:rFonts w:ascii="Times New Roman" w:hAnsi="Times New Roman"/>
                <w:b w:val="0"/>
                <w:sz w:val="20"/>
              </w:rPr>
            </w:r>
          </w:p>
        </w:tc>
        <w:tc>
          <w:tcPr>
            <w:tcW w:type="dxa" w:w="3969"/>
            <w:vAlign w:val="center"/>
          </w:tcPr>
          <w:p>
            <w:pPr>
              <w:spacing w:after="0"/>
              <w:ind w:firstLine="0"/>
              <w:jc w:val="left"/>
            </w:pPr>
            <w:r>
              <w:t>Đã có giao dịch chuyển giao hoặc cấp phép</w:t>
            </w:r>
            <w:r>
              <w:rPr>
                <w:rFonts w:ascii="Times New Roman" w:hAnsi="Times New Roman"/>
                <w:b w:val="0"/>
                <w:sz w:val="20"/>
              </w:rPr>
            </w:r>
          </w:p>
        </w:tc>
      </w:tr>
      <w:tr>
        <w:tc>
          <w:tcPr>
            <w:tcW w:type="dxa" w:w="2268"/>
            <w:vAlign w:val="center"/>
          </w:tcPr>
          <w:p>
            <w:pPr>
              <w:spacing w:after="0"/>
              <w:ind w:firstLine="0"/>
              <w:jc w:val="left"/>
            </w:pPr>
            <w:r>
              <w:t>Thương mại hóa</w:t>
            </w:r>
            <w:r>
              <w:rPr>
                <w:rFonts w:ascii="Times New Roman" w:hAnsi="Times New Roman"/>
                <w:b w:val="0"/>
                <w:sz w:val="20"/>
              </w:rPr>
            </w:r>
          </w:p>
        </w:tc>
        <w:tc>
          <w:tcPr>
            <w:tcW w:type="dxa" w:w="4535"/>
            <w:vAlign w:val="center"/>
          </w:tcPr>
          <w:p>
            <w:pPr>
              <w:spacing w:after="0"/>
              <w:ind w:firstLine="0"/>
              <w:jc w:val="left"/>
            </w:pPr>
            <w:r>
              <w:t>Hợp đồng kèm doanh thu/thu nhập hoặc bằng chứng thị trường</w:t>
            </w:r>
            <w:r>
              <w:rPr>
                <w:rFonts w:ascii="Times New Roman" w:hAnsi="Times New Roman"/>
                <w:b w:val="0"/>
                <w:sz w:val="20"/>
              </w:rPr>
            </w:r>
          </w:p>
        </w:tc>
        <w:tc>
          <w:tcPr>
            <w:tcW w:type="dxa" w:w="3969"/>
            <w:vAlign w:val="center"/>
          </w:tcPr>
          <w:p>
            <w:pPr>
              <w:spacing w:after="0"/>
              <w:ind w:firstLine="0"/>
              <w:jc w:val="left"/>
            </w:pPr>
            <w:r>
              <w:t>Đã tạo giá trị kinh tế được chứng minh</w:t>
            </w:r>
            <w:r>
              <w:rPr>
                <w:rFonts w:ascii="Times New Roman" w:hAnsi="Times New Roman"/>
                <w:b w:val="0"/>
                <w:sz w:val="20"/>
              </w:rPr>
            </w:r>
          </w:p>
        </w:tc>
      </w:tr>
    </w:tbl>
    <w:p>
      <w:pPr>
        <w:pStyle w:val="SourceVN"/>
      </w:pPr>
      <w:r>
        <w:rPr>
          <w:rFonts w:ascii="Times New Roman" w:hAnsi="Times New Roman"/>
          <w:b w:val="0"/>
          <w:i w:val="0"/>
          <w:sz w:val="26"/>
        </w:rPr>
        <w:t>Nguồn: Tác giả tổng hợp từ hồ sơ nghiên cứu.</w:t>
      </w:r>
    </w:p>
    <w:p>
      <w:pPr/>
      <w:r>
        <w:rPr>
          <w:rFonts w:ascii="Times New Roman" w:hAnsi="Times New Roman"/>
          <w:i w:val="0"/>
        </w:rPr>
        <w:t>Cách phân biệt này cũng cho thấy giá trị của TSTT trong trường đại học không chỉ là doanh thu. Một mô hình thực hành, bộ mẫu dược liệu hoặc học liệu có thể tạo giá trị trực tiếp cho đào tạo dù không bán ra thị trường. Vì vậy, khi đánh giá hiệu quả quản lý TSTT cần xem xét cả giá trị đào tạo, nghiên cứu, hợp tác và kinh tế.</w:t>
      </w:r>
    </w:p>
    <w:p>
      <w:pPr>
        <w:pStyle w:val="Heading1"/>
        <w:ind w:firstLine="0"/>
      </w:pPr>
      <w:r>
        <w:rPr>
          <w:rFonts w:ascii="Times New Roman" w:hAnsi="Times New Roman"/>
          <w:b/>
          <w:i w:val="0"/>
          <w:sz w:val="26"/>
        </w:rPr>
        <w:t>2.5. Một số trường hợp điển hình</w:t>
      </w:r>
    </w:p>
    <w:p>
      <w:pPr/>
      <w:r>
        <w:rPr>
          <w:rFonts w:ascii="Times New Roman" w:hAnsi="Times New Roman"/>
          <w:i w:val="0"/>
        </w:rPr>
        <w:t>Sáu trường hợp được chọn vì có đặc điểm khác nhau, qua đó cho thấy kết quả nghiên cứu có thể đi theo những hướng khác nhau: được đăng ký bảo hộ, được ứng dụng trực tiếp hoặc chưa xác định được hồ sơ bảo hộ tương ứng. Các trường hợp này giúp làm rõ hơn những vấn đề cần tiếp tục xác minh.</w:t>
      </w:r>
    </w:p>
    <w:p>
      <w:pPr>
        <w:pStyle w:val="CaptionVN"/>
      </w:pPr>
      <w:r>
        <w:rPr>
          <w:rFonts w:ascii="Times New Roman" w:hAnsi="Times New Roman"/>
          <w:b/>
        </w:rPr>
        <w:t>Bảng 2.7. So sánh sáu trường hợp nghiên cứu điển hình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57"/>
            <w:vAlign w:val="center"/>
            <w:shd w:fill="D9EAF7"/>
          </w:tcPr>
          <w:p>
            <w:pPr>
              <w:spacing w:after="0"/>
              <w:ind w:firstLine="0"/>
              <w:jc w:val="center"/>
            </w:pPr>
            <w:r>
              <w:t>Trường hợp</w:t>
            </w:r>
            <w:r>
              <w:rPr>
                <w:rFonts w:ascii="Times New Roman" w:hAnsi="Times New Roman"/>
                <w:b/>
                <w:sz w:val="20"/>
              </w:rPr>
            </w:r>
          </w:p>
        </w:tc>
        <w:tc>
          <w:tcPr>
            <w:tcW w:type="dxa" w:w="2324"/>
            <w:vAlign w:val="center"/>
            <w:shd w:fill="D9EAF7"/>
          </w:tcPr>
          <w:p>
            <w:r>
              <w:t>Kết quả kỹ thuật</w:t>
            </w:r>
          </w:p>
        </w:tc>
        <w:tc>
          <w:tcPr>
            <w:tcW w:type="dxa" w:w="2948"/>
            <w:vAlign w:val="center"/>
            <w:shd w:fill="D9EAF7"/>
          </w:tcPr>
          <w:p>
            <w:r>
              <w:t>Tình trạng đăng ký/bảo hộ</w:t>
            </w:r>
          </w:p>
        </w:tc>
        <w:tc>
          <w:tcPr>
            <w:tcW w:type="dxa" w:w="2381"/>
            <w:vAlign w:val="center"/>
            <w:shd w:fill="D9EAF7"/>
          </w:tcPr>
          <w:p>
            <w:r>
              <w:t>Tình trạng sử dụng</w:t>
            </w:r>
          </w:p>
        </w:tc>
        <w:tc>
          <w:tcPr>
            <w:tcW w:type="dxa" w:w="2948"/>
            <w:vAlign w:val="center"/>
            <w:shd w:fill="D9EAF7"/>
          </w:tcPr>
          <w:p>
            <w:r>
              <w:t>Nhận định hiện tại</w:t>
            </w:r>
          </w:p>
        </w:tc>
      </w:tr>
      <w:tr>
        <w:tc>
          <w:tcPr>
            <w:tcW w:type="dxa" w:w="1757"/>
            <w:vAlign w:val="center"/>
          </w:tcPr>
          <w:p>
            <w:pPr>
              <w:spacing w:after="0"/>
              <w:ind w:firstLine="0"/>
              <w:jc w:val="left"/>
            </w:pPr>
            <w:r>
              <w:t>Tinh dầu vỏ bưởi</w:t>
            </w:r>
            <w:r>
              <w:rPr>
                <w:rFonts w:ascii="Times New Roman" w:hAnsi="Times New Roman"/>
                <w:b w:val="0"/>
                <w:sz w:val="20"/>
              </w:rPr>
            </w:r>
          </w:p>
        </w:tc>
        <w:tc>
          <w:tcPr>
            <w:tcW w:type="dxa" w:w="2324"/>
            <w:vAlign w:val="center"/>
          </w:tcPr>
          <w:p>
            <w:pPr>
              <w:spacing w:after="0"/>
              <w:ind w:firstLine="0"/>
              <w:jc w:val="left"/>
            </w:pPr>
            <w:r>
              <w:t>Tinh dầu Citrus grandis 100 ml</w:t>
            </w:r>
            <w:r>
              <w:rPr>
                <w:rFonts w:ascii="Times New Roman" w:hAnsi="Times New Roman"/>
                <w:b w:val="0"/>
                <w:sz w:val="20"/>
              </w:rPr>
            </w:r>
          </w:p>
        </w:tc>
        <w:tc>
          <w:tcPr>
            <w:tcW w:type="dxa" w:w="2948"/>
            <w:vAlign w:val="center"/>
          </w:tcPr>
          <w:p>
            <w:pPr>
              <w:spacing w:after="0"/>
              <w:ind w:firstLine="0"/>
              <w:jc w:val="left"/>
            </w:pPr>
            <w:r>
              <w:t>KDCN “Tinh dầu vỏ bưởi đào” 3-0039694-000, 2024; ĐHTĐ + CTY Thanh Huế</w:t>
            </w:r>
            <w:r>
              <w:rPr>
                <w:rFonts w:ascii="Times New Roman" w:hAnsi="Times New Roman"/>
                <w:b w:val="0"/>
                <w:sz w:val="20"/>
              </w:rPr>
            </w:r>
          </w:p>
        </w:tc>
        <w:tc>
          <w:tcPr>
            <w:tcW w:type="dxa" w:w="2381"/>
            <w:vAlign w:val="center"/>
          </w:tcPr>
          <w:p>
            <w:pPr>
              <w:spacing w:after="0"/>
              <w:ind w:firstLine="0"/>
              <w:jc w:val="left"/>
            </w:pPr>
            <w:r>
              <w:t>Hồ sơ ghi “chuyển giao cho Trường ... thương mại hóa”</w:t>
            </w:r>
            <w:r>
              <w:rPr>
                <w:rFonts w:ascii="Times New Roman" w:hAnsi="Times New Roman"/>
                <w:b w:val="0"/>
                <w:sz w:val="20"/>
              </w:rPr>
            </w:r>
          </w:p>
        </w:tc>
        <w:tc>
          <w:tcPr>
            <w:tcW w:type="dxa" w:w="2948"/>
            <w:vAlign w:val="center"/>
          </w:tcPr>
          <w:p>
            <w:pPr>
              <w:spacing w:after="0"/>
              <w:ind w:firstLine="0"/>
              <w:jc w:val="left"/>
            </w:pPr>
            <w:r>
              <w:t>Liên kết nghiên cứu–KDCN có khả năng cao; chưa xác nhận giao dịch thương mại</w:t>
            </w:r>
            <w:r>
              <w:rPr>
                <w:rFonts w:ascii="Times New Roman" w:hAnsi="Times New Roman"/>
                <w:b w:val="0"/>
                <w:sz w:val="20"/>
              </w:rPr>
            </w:r>
          </w:p>
        </w:tc>
      </w:tr>
      <w:tr>
        <w:tc>
          <w:tcPr>
            <w:tcW w:type="dxa" w:w="1757"/>
            <w:vAlign w:val="center"/>
          </w:tcPr>
          <w:p>
            <w:pPr>
              <w:spacing w:after="0"/>
              <w:ind w:firstLine="0"/>
              <w:jc w:val="left"/>
            </w:pPr>
            <w:r>
              <w:t>Quế hoa (Osmanthus fragrans)</w:t>
            </w:r>
            <w:r>
              <w:rPr>
                <w:rFonts w:ascii="Times New Roman" w:hAnsi="Times New Roman"/>
                <w:b w:val="0"/>
                <w:sz w:val="20"/>
              </w:rPr>
            </w:r>
          </w:p>
        </w:tc>
        <w:tc>
          <w:tcPr>
            <w:tcW w:type="dxa" w:w="2324"/>
            <w:vAlign w:val="center"/>
          </w:tcPr>
          <w:p>
            <w:pPr>
              <w:spacing w:after="0"/>
              <w:ind w:firstLine="0"/>
              <w:jc w:val="left"/>
            </w:pPr>
            <w:r>
              <w:t>Chiết xuất/đánh giá hoạt tính lá Quế hoa</w:t>
            </w:r>
            <w:r>
              <w:rPr>
                <w:rFonts w:ascii="Times New Roman" w:hAnsi="Times New Roman"/>
                <w:b w:val="0"/>
                <w:sz w:val="20"/>
              </w:rPr>
            </w:r>
          </w:p>
        </w:tc>
        <w:tc>
          <w:tcPr>
            <w:tcW w:type="dxa" w:w="2948"/>
            <w:vAlign w:val="center"/>
          </w:tcPr>
          <w:p>
            <w:pPr>
              <w:spacing w:after="0"/>
              <w:ind w:firstLine="0"/>
              <w:jc w:val="left"/>
            </w:pPr>
            <w:r>
              <w:t>Sáng chế cùng đối tượng năm 2025; chưa có số trong danh sách</w:t>
            </w:r>
            <w:r>
              <w:rPr>
                <w:rFonts w:ascii="Times New Roman" w:hAnsi="Times New Roman"/>
                <w:b w:val="0"/>
                <w:sz w:val="20"/>
              </w:rPr>
            </w:r>
          </w:p>
        </w:tc>
        <w:tc>
          <w:tcPr>
            <w:tcW w:type="dxa" w:w="2381"/>
            <w:vAlign w:val="center"/>
          </w:tcPr>
          <w:p>
            <w:pPr>
              <w:spacing w:after="0"/>
              <w:ind w:firstLine="0"/>
              <w:jc w:val="left"/>
            </w:pPr>
            <w:r>
              <w:t>Chưa có bằng chứng khai thác</w:t>
            </w:r>
            <w:r>
              <w:rPr>
                <w:rFonts w:ascii="Times New Roman" w:hAnsi="Times New Roman"/>
                <w:b w:val="0"/>
                <w:sz w:val="20"/>
              </w:rPr>
            </w:r>
          </w:p>
        </w:tc>
        <w:tc>
          <w:tcPr>
            <w:tcW w:type="dxa" w:w="2948"/>
            <w:vAlign w:val="center"/>
          </w:tcPr>
          <w:p>
            <w:pPr>
              <w:spacing w:after="0"/>
              <w:ind w:firstLine="0"/>
              <w:jc w:val="left"/>
            </w:pPr>
            <w:r>
              <w:t>Liên kết đề tài–sáng chế rất cao; chưa được gọi là bằng độc quyền đã cấp</w:t>
            </w:r>
            <w:r>
              <w:rPr>
                <w:rFonts w:ascii="Times New Roman" w:hAnsi="Times New Roman"/>
                <w:b w:val="0"/>
                <w:sz w:val="20"/>
              </w:rPr>
            </w:r>
          </w:p>
        </w:tc>
      </w:tr>
      <w:tr>
        <w:tc>
          <w:tcPr>
            <w:tcW w:type="dxa" w:w="1757"/>
            <w:vAlign w:val="center"/>
          </w:tcPr>
          <w:p>
            <w:pPr>
              <w:spacing w:after="0"/>
              <w:ind w:firstLine="0"/>
              <w:jc w:val="left"/>
            </w:pPr>
            <w:r>
              <w:t>Xà phòng tảo biển</w:t>
            </w:r>
            <w:r>
              <w:rPr>
                <w:rFonts w:ascii="Times New Roman" w:hAnsi="Times New Roman"/>
                <w:b w:val="0"/>
                <w:sz w:val="20"/>
              </w:rPr>
            </w:r>
          </w:p>
        </w:tc>
        <w:tc>
          <w:tcPr>
            <w:tcW w:type="dxa" w:w="2324"/>
            <w:vAlign w:val="center"/>
          </w:tcPr>
          <w:p>
            <w:pPr>
              <w:spacing w:after="0"/>
              <w:ind w:firstLine="0"/>
              <w:jc w:val="left"/>
            </w:pPr>
            <w:r>
              <w:t>200 bánh xà phòng + quy trình/công thức</w:t>
            </w:r>
            <w:r>
              <w:rPr>
                <w:rFonts w:ascii="Times New Roman" w:hAnsi="Times New Roman"/>
                <w:b w:val="0"/>
                <w:sz w:val="20"/>
              </w:rPr>
            </w:r>
          </w:p>
        </w:tc>
        <w:tc>
          <w:tcPr>
            <w:tcW w:type="dxa" w:w="2948"/>
            <w:vAlign w:val="center"/>
          </w:tcPr>
          <w:p>
            <w:r>
              <w:t>Chưa xác định được hồ sơ bảo hộ tương ứng</w:t>
            </w:r>
          </w:p>
        </w:tc>
        <w:tc>
          <w:tcPr>
            <w:tcW w:type="dxa" w:w="2381"/>
            <w:vAlign w:val="center"/>
          </w:tcPr>
          <w:p>
            <w:pPr>
              <w:spacing w:after="0"/>
              <w:ind w:firstLine="0"/>
              <w:jc w:val="left"/>
            </w:pPr>
            <w:r>
              <w:t>Có sản phẩm vật chất; chưa có bằng chứng mức sử dụng</w:t>
            </w:r>
            <w:r>
              <w:rPr>
                <w:rFonts w:ascii="Times New Roman" w:hAnsi="Times New Roman"/>
                <w:b w:val="0"/>
                <w:sz w:val="20"/>
              </w:rPr>
            </w:r>
          </w:p>
        </w:tc>
        <w:tc>
          <w:tcPr>
            <w:tcW w:type="dxa" w:w="2948"/>
            <w:vAlign w:val="center"/>
          </w:tcPr>
          <w:p>
            <w:r>
              <w:t>Có kết quả kỹ thuật đáng chú ý nhưng chưa xác định được việc đăng ký bảo hộ.</w:t>
            </w:r>
          </w:p>
        </w:tc>
      </w:tr>
      <w:tr>
        <w:tc>
          <w:tcPr>
            <w:tcW w:type="dxa" w:w="1757"/>
            <w:vAlign w:val="center"/>
          </w:tcPr>
          <w:p>
            <w:pPr>
              <w:spacing w:after="0"/>
              <w:ind w:firstLine="0"/>
              <w:jc w:val="left"/>
            </w:pPr>
            <w:r>
              <w:t>Cồn xoa bóp</w:t>
            </w:r>
            <w:r>
              <w:rPr>
                <w:rFonts w:ascii="Times New Roman" w:hAnsi="Times New Roman"/>
                <w:b w:val="0"/>
                <w:sz w:val="20"/>
              </w:rPr>
            </w:r>
          </w:p>
        </w:tc>
        <w:tc>
          <w:tcPr>
            <w:tcW w:type="dxa" w:w="2324"/>
            <w:vAlign w:val="center"/>
          </w:tcPr>
          <w:p>
            <w:pPr>
              <w:spacing w:after="0"/>
              <w:ind w:firstLine="0"/>
              <w:jc w:val="left"/>
            </w:pPr>
            <w:r>
              <w:t>Công thức + 50 chai sản phẩm</w:t>
            </w:r>
            <w:r>
              <w:rPr>
                <w:rFonts w:ascii="Times New Roman" w:hAnsi="Times New Roman"/>
                <w:b w:val="0"/>
                <w:sz w:val="20"/>
              </w:rPr>
            </w:r>
          </w:p>
        </w:tc>
        <w:tc>
          <w:tcPr>
            <w:tcW w:type="dxa" w:w="2948"/>
            <w:vAlign w:val="center"/>
          </w:tcPr>
          <w:p>
            <w:pPr>
              <w:spacing w:after="0"/>
              <w:ind w:firstLine="0"/>
              <w:jc w:val="left"/>
            </w:pPr>
            <w:r>
              <w:t>Chưa có số đơn/văn bằng</w:t>
            </w:r>
            <w:r>
              <w:rPr>
                <w:rFonts w:ascii="Times New Roman" w:hAnsi="Times New Roman"/>
                <w:b w:val="0"/>
                <w:sz w:val="20"/>
              </w:rPr>
            </w:r>
          </w:p>
        </w:tc>
        <w:tc>
          <w:tcPr>
            <w:tcW w:type="dxa" w:w="2381"/>
            <w:vAlign w:val="center"/>
          </w:tcPr>
          <w:p>
            <w:pPr>
              <w:spacing w:after="0"/>
              <w:ind w:firstLine="0"/>
              <w:jc w:val="left"/>
            </w:pPr>
            <w:r>
              <w:t>Chưa có bằng chứng khai thác</w:t>
            </w:r>
            <w:r>
              <w:rPr>
                <w:rFonts w:ascii="Times New Roman" w:hAnsi="Times New Roman"/>
                <w:b w:val="0"/>
                <w:sz w:val="20"/>
              </w:rPr>
            </w:r>
          </w:p>
        </w:tc>
        <w:tc>
          <w:tcPr>
            <w:tcW w:type="dxa" w:w="2948"/>
            <w:vAlign w:val="center"/>
          </w:tcPr>
          <w:p>
            <w:r>
              <w:t>Hồ sơ mới ghi dự kiến đăng ký GPHI; chưa có bằng chứng đã nộp đơn.</w:t>
            </w:r>
          </w:p>
        </w:tc>
      </w:tr>
      <w:tr>
        <w:tc>
          <w:tcPr>
            <w:tcW w:type="dxa" w:w="1757"/>
            <w:vAlign w:val="center"/>
          </w:tcPr>
          <w:p>
            <w:pPr>
              <w:spacing w:after="0"/>
              <w:ind w:firstLine="0"/>
              <w:jc w:val="left"/>
            </w:pPr>
            <w:r>
              <w:t>Viên ngậm Gừng – Húng chanh</w:t>
            </w:r>
            <w:r>
              <w:rPr>
                <w:rFonts w:ascii="Times New Roman" w:hAnsi="Times New Roman"/>
                <w:b w:val="0"/>
                <w:sz w:val="20"/>
              </w:rPr>
            </w:r>
          </w:p>
        </w:tc>
        <w:tc>
          <w:tcPr>
            <w:tcW w:type="dxa" w:w="2324"/>
            <w:vAlign w:val="center"/>
          </w:tcPr>
          <w:p>
            <w:pPr>
              <w:spacing w:after="0"/>
              <w:ind w:firstLine="0"/>
              <w:jc w:val="left"/>
            </w:pPr>
            <w:r>
              <w:t>Quy trình + sản phẩm viên ngậm</w:t>
            </w:r>
            <w:r>
              <w:rPr>
                <w:rFonts w:ascii="Times New Roman" w:hAnsi="Times New Roman"/>
                <w:b w:val="0"/>
                <w:sz w:val="20"/>
              </w:rPr>
            </w:r>
          </w:p>
        </w:tc>
        <w:tc>
          <w:tcPr>
            <w:tcW w:type="dxa" w:w="2948"/>
            <w:vAlign w:val="center"/>
          </w:tcPr>
          <w:p>
            <w:pPr>
              <w:spacing w:after="0"/>
              <w:ind w:firstLine="0"/>
              <w:jc w:val="left"/>
            </w:pPr>
            <w:r>
              <w:t>Chưa có số đơn/văn bằng</w:t>
            </w:r>
            <w:r>
              <w:rPr>
                <w:rFonts w:ascii="Times New Roman" w:hAnsi="Times New Roman"/>
                <w:b w:val="0"/>
                <w:sz w:val="20"/>
              </w:rPr>
            </w:r>
          </w:p>
        </w:tc>
        <w:tc>
          <w:tcPr>
            <w:tcW w:type="dxa" w:w="2381"/>
            <w:vAlign w:val="center"/>
          </w:tcPr>
          <w:p>
            <w:pPr>
              <w:spacing w:after="0"/>
              <w:ind w:firstLine="0"/>
              <w:jc w:val="left"/>
            </w:pPr>
            <w:r>
              <w:t>Chưa có bằng chứng khai thác</w:t>
            </w:r>
            <w:r>
              <w:rPr>
                <w:rFonts w:ascii="Times New Roman" w:hAnsi="Times New Roman"/>
                <w:b w:val="0"/>
                <w:sz w:val="20"/>
              </w:rPr>
            </w:r>
          </w:p>
        </w:tc>
        <w:tc>
          <w:tcPr>
            <w:tcW w:type="dxa" w:w="2948"/>
            <w:vAlign w:val="center"/>
          </w:tcPr>
          <w:p>
            <w:r>
              <w:t>Cần xác định đề tài đã chuyển từ dự kiến đăng ký sang nộp đơn hay chưa.</w:t>
            </w:r>
          </w:p>
        </w:tc>
      </w:tr>
      <w:tr>
        <w:tc>
          <w:tcPr>
            <w:tcW w:type="dxa" w:w="1757"/>
            <w:vAlign w:val="center"/>
          </w:tcPr>
          <w:p>
            <w:pPr>
              <w:spacing w:after="0"/>
              <w:ind w:firstLine="0"/>
              <w:jc w:val="left"/>
            </w:pPr>
            <w:r>
              <w:t>Bảng kiểm tra ô tô</w:t>
            </w:r>
            <w:r>
              <w:rPr>
                <w:rFonts w:ascii="Times New Roman" w:hAnsi="Times New Roman"/>
                <w:b w:val="0"/>
                <w:sz w:val="20"/>
              </w:rPr>
            </w:r>
          </w:p>
        </w:tc>
        <w:tc>
          <w:tcPr>
            <w:tcW w:type="dxa" w:w="2324"/>
            <w:vAlign w:val="center"/>
          </w:tcPr>
          <w:p>
            <w:pPr>
              <w:spacing w:after="0"/>
              <w:ind w:firstLine="0"/>
              <w:jc w:val="left"/>
            </w:pPr>
            <w:r>
              <w:t>Mô hình kiểm tra/sửa chữa hệ thống khởi động</w:t>
            </w:r>
            <w:r>
              <w:rPr>
                <w:rFonts w:ascii="Times New Roman" w:hAnsi="Times New Roman"/>
                <w:b w:val="0"/>
                <w:sz w:val="20"/>
              </w:rPr>
            </w:r>
          </w:p>
        </w:tc>
        <w:tc>
          <w:tcPr>
            <w:tcW w:type="dxa" w:w="2948"/>
            <w:vAlign w:val="center"/>
          </w:tcPr>
          <w:p>
            <w:r>
              <w:t>Chưa xác định được hồ sơ bảo hộ tương ứng</w:t>
            </w:r>
          </w:p>
        </w:tc>
        <w:tc>
          <w:tcPr>
            <w:tcW w:type="dxa" w:w="2381"/>
            <w:vAlign w:val="center"/>
          </w:tcPr>
          <w:p>
            <w:pPr>
              <w:spacing w:after="0"/>
              <w:ind w:firstLine="0"/>
              <w:jc w:val="left"/>
            </w:pPr>
            <w:r>
              <w:t>Có tiềm năng dùng trong thực hành</w:t>
            </w:r>
            <w:r>
              <w:rPr>
                <w:rFonts w:ascii="Times New Roman" w:hAnsi="Times New Roman"/>
                <w:b w:val="0"/>
                <w:sz w:val="20"/>
              </w:rPr>
            </w:r>
          </w:p>
        </w:tc>
        <w:tc>
          <w:tcPr>
            <w:tcW w:type="dxa" w:w="2948"/>
            <w:vAlign w:val="center"/>
          </w:tcPr>
          <w:p>
            <w:r>
              <w:t>Có giá trị cho đào tạo; không nhất thiết phải đăng ký bảo hộ độc quyền.</w:t>
            </w:r>
          </w:p>
        </w:tc>
      </w:tr>
    </w:tbl>
    <w:p>
      <w:pPr>
        <w:pStyle w:val="SourceVN"/>
      </w:pPr>
      <w:r>
        <w:rPr>
          <w:rFonts w:ascii="Times New Roman" w:hAnsi="Times New Roman"/>
          <w:i/>
        </w:rPr>
        <w:t>Nguồn: Tác giả tổng hợp từ hồ sơ đề tài và danh sách SHTT do Trường cung cấp.</w:t>
      </w:r>
    </w:p>
    <w:p>
      <w:pPr>
        <w:spacing w:before="160" w:after="80"/>
        <w:ind w:firstLine="0"/>
      </w:pPr>
      <w:r>
        <w:rPr>
          <w:rFonts w:ascii="Times New Roman" w:hAnsi="Times New Roman"/>
          <w:b/>
          <w:i w:val="0"/>
          <w:sz w:val="26"/>
        </w:rPr>
        <w:t>Trường hợp tinh dầu vỏ bưởi</w:t>
      </w:r>
    </w:p>
    <w:p>
      <w:pPr/>
      <w:r>
        <w:rPr>
          <w:rFonts w:ascii="Times New Roman" w:hAnsi="Times New Roman"/>
          <w:b w:val="0"/>
          <w:i w:val="0"/>
          <w:sz w:val="26"/>
        </w:rPr>
        <w:t>Đề tài 08-2023/KHCN về mô hình hợp tác Nhà trường – Doanh nghiệp trong nghiên cứu chiết xuất tinh dầu từ vỏ bưởi tạo ra sản phẩm tinh dầu Citrus grandis và một kết quả công bố. Năm 2024, danh mục SHTT xuất hiện kiểu dáng công nghiệp “Tinh dầu vỏ bưởi đào”, ký mã hiệu 3-0039694-000, do ĐHTĐ và Công ty Thanh Huế đồng sở hữu. Sự gần nhau về thời gian, đối tượng sản phẩm và chủ thể hợp tác tạo cơ sở để coi đây là liên kết có khả năng cao giữa đề tài và quyền SHTT.</w:t>
      </w:r>
    </w:p>
    <w:p>
      <w:pPr/>
      <w:r>
        <w:rPr>
          <w:rFonts w:ascii="Times New Roman" w:hAnsi="Times New Roman"/>
          <w:i w:val="0"/>
        </w:rPr>
        <w:t>Điểm chưa rõ nằm ở giai đoạn sau. Hồ sơ nghiệm thu ghi “chuyển giao công nghệ cho Trường ... thương mại hóa”, nhưng hiện chưa có hợp đồng hoặc chứng từ để xác nhận một giao dịch thương mại cụ thể. Vì vậy, chỉ có thể nói rằng kết quả nghiên cứu đã có hướng khai thác, chưa thể khẳng định đã thương mại hóa.</w:t>
      </w:r>
    </w:p>
    <w:p>
      <w:pPr>
        <w:spacing w:before="160" w:after="80"/>
        <w:ind w:firstLine="0"/>
      </w:pPr>
      <w:r>
        <w:rPr>
          <w:rFonts w:ascii="Times New Roman" w:hAnsi="Times New Roman"/>
          <w:b/>
          <w:i w:val="0"/>
          <w:sz w:val="26"/>
        </w:rPr>
        <w:t>Trường hợp Quế hoa</w:t>
      </w:r>
    </w:p>
    <w:p>
      <w:pPr/>
      <w:r>
        <w:rPr>
          <w:rFonts w:ascii="Times New Roman" w:hAnsi="Times New Roman"/>
          <w:b w:val="0"/>
          <w:i w:val="0"/>
          <w:sz w:val="26"/>
        </w:rPr>
        <w:t>Đề tài 09-2025/KHCN nghiên cứu chiết xuất và đánh giá hoạt tính dược học của lá Quế hoa (Osmanthus fragrans) ghi kết quả dự kiến ở giai đoạn tiếp theo là sáng chế. Cùng năm, danh mục SHTT của Trường có đối tượng “Các hợp chất furofuran lignan glucoside và phương pháp chiết các hợp chất này từ lá của cây quế hoa (Osmanthus fragrans)”. Sự trùng khớp trực tiếp về loài thực vật và hướng chiết xuất làm cho liên kết nội dung giữa đề tài và đối tượng sáng chế trở nên đặc biệt mạnh.</w:t>
      </w:r>
    </w:p>
    <w:p>
      <w:pPr/>
      <w:r>
        <w:rPr>
          <w:rFonts w:ascii="Times New Roman" w:hAnsi="Times New Roman"/>
          <w:i w:val="0"/>
        </w:rPr>
        <w:t>Tuy nhiên, danh sách hiện chưa có số đơn, số văn bằng hoặc thông tin về tình trạng xử lý hồ sơ. Vì vậy, chương này chỉ ghi nhận đây là một sáng chế có liên quan rất rõ đến đề tài Quế hoa, chưa gọi là bằng độc quyền đã được cấp.</w:t>
      </w:r>
    </w:p>
    <w:p>
      <w:pPr>
        <w:spacing w:before="160" w:after="80"/>
        <w:ind w:firstLine="0"/>
      </w:pPr>
      <w:r>
        <w:rPr>
          <w:rFonts w:ascii="Times New Roman" w:hAnsi="Times New Roman"/>
          <w:b/>
          <w:i w:val="0"/>
          <w:sz w:val="26"/>
        </w:rPr>
        <w:t>Các trường hợp chưa xác định được hồ sơ bảo hộ tương ứng</w:t>
      </w:r>
    </w:p>
    <w:p>
      <w:pPr/>
      <w:r>
        <w:rPr>
          <w:rFonts w:ascii="Times New Roman" w:hAnsi="Times New Roman"/>
          <w:i w:val="0"/>
        </w:rPr>
        <w:t>Xà phòng tảo biển, cồn xoa bóp và viên ngậm Gừng – Húng chanh đều có sản phẩm hoặc quy trình khá rõ, nhưng trong danh sách SHTT hiện có chưa xác định được hồ sơ bảo hộ tương ứng. Vì vậy, cần tiếp tục làm rõ các kết quả này đã được xem xét đăng ký hay chưa, nếu chưa thì lý do là gì.</w:t>
      </w:r>
    </w:p>
    <w:p>
      <w:pPr/>
      <w:r>
        <w:rPr>
          <w:rFonts w:ascii="Times New Roman" w:hAnsi="Times New Roman"/>
          <w:i w:val="0"/>
        </w:rPr>
        <w:t>Mô hình bảng kiểm tra ô tô là một trường hợp khác. Sản phẩm này có thể có giá trị rõ trong đào tạo dù không đăng ký bảo hộ độc quyền. Vì vậy, hiệu quả của TSTT trong trường đại học không nên chỉ đo bằng số văn bằng mà còn phải xem tài sản có được sử dụng và mang lại lợi ích thực tế hay không.</w:t>
      </w:r>
    </w:p>
    <w:p>
      <w:pPr>
        <w:pStyle w:val="Heading1"/>
        <w:ind w:firstLine="0"/>
      </w:pPr>
      <w:r>
        <w:rPr>
          <w:rFonts w:ascii="Times New Roman" w:hAnsi="Times New Roman"/>
          <w:b/>
          <w:i w:val="0"/>
          <w:sz w:val="26"/>
        </w:rPr>
        <w:t>2.6. Đánh giá chung về công tác quản lý sở hữu trí tuệ</w:t>
      </w:r>
    </w:p>
    <w:p>
      <w:pPr/>
      <w:r>
        <w:rPr>
          <w:rFonts w:ascii="Times New Roman" w:hAnsi="Times New Roman"/>
          <w:i w:val="0"/>
        </w:rPr>
        <w:t>Đối chiếu quy định của Trường với dữ liệu thực tế cho thấy Trường đã có nền tảng pháp lý nội bộ cho quản lý SHTT. Tuy nhiên, hồ sơ hiện có chưa thể hiện đầy đủ toàn bộ quá trình từ khi kết quả nghiên cứu được tạo ra, được xem xét khả năng bảo hộ, được đăng ký đến khi được sử dụng.</w:t>
      </w:r>
    </w:p>
    <w:p>
      <w:pPr/>
      <w:r>
        <w:rPr>
          <w:rFonts w:ascii="Times New Roman" w:hAnsi="Times New Roman"/>
          <w:i w:val="0"/>
        </w:rPr>
        <w:t>Hạn chế đầu tiên là việc ghi nhận TSTT chưa có hồ sơ đầy đủ. Khi chưa có biểu mẫu hoặc sổ theo dõi rõ ràng, Trường khó biết tài sản được phát hiện khi nào, do ai đề xuất và đã được xử lý đến bước nào.</w:t>
      </w:r>
    </w:p>
    <w:p>
      <w:pPr>
        <w:pStyle w:val="CaptionVN"/>
      </w:pPr>
      <w:r>
        <w:rPr>
          <w:rFonts w:ascii="Times New Roman" w:hAnsi="Times New Roman"/>
          <w:b/>
        </w:rPr>
        <w:t>Bảng 2.8. Những hạn chế chính trong quản lý TSTT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vAlign w:val="center"/>
            <w:shd w:fill="D9EAF7"/>
          </w:tcPr>
          <w:p>
            <w:r>
              <w:t>Nội dung còn hạn chế</w:t>
            </w:r>
          </w:p>
        </w:tc>
        <w:tc>
          <w:tcPr>
            <w:tcW w:type="dxa" w:w="3402"/>
            <w:vAlign w:val="center"/>
            <w:shd w:fill="D9EAF7"/>
          </w:tcPr>
          <w:p>
            <w:pPr>
              <w:spacing w:after="0"/>
              <w:ind w:firstLine="0"/>
              <w:jc w:val="center"/>
            </w:pPr>
            <w:r>
              <w:t>Biểu hiện</w:t>
            </w:r>
            <w:r>
              <w:rPr>
                <w:rFonts w:ascii="Times New Roman" w:hAnsi="Times New Roman"/>
                <w:b/>
                <w:sz w:val="20"/>
              </w:rPr>
            </w:r>
          </w:p>
        </w:tc>
        <w:tc>
          <w:tcPr>
            <w:tcW w:type="dxa" w:w="3969"/>
            <w:vAlign w:val="center"/>
            <w:shd w:fill="D9EAF7"/>
          </w:tcPr>
          <w:p>
            <w:r>
              <w:t>Ảnh hưởng</w:t>
            </w:r>
          </w:p>
        </w:tc>
        <w:tc>
          <w:tcPr>
            <w:tcW w:type="dxa" w:w="1417"/>
            <w:vAlign w:val="center"/>
            <w:shd w:fill="D9EAF7"/>
          </w:tcPr>
          <w:p>
            <w:pPr>
              <w:spacing w:after="0"/>
              <w:ind w:firstLine="0"/>
              <w:jc w:val="center"/>
            </w:pPr>
            <w:r>
              <w:t>Rủi ro</w:t>
            </w:r>
            <w:r>
              <w:rPr>
                <w:rFonts w:ascii="Times New Roman" w:hAnsi="Times New Roman"/>
                <w:b/>
                <w:sz w:val="20"/>
              </w:rPr>
            </w:r>
          </w:p>
        </w:tc>
      </w:tr>
      <w:tr>
        <w:tc>
          <w:tcPr>
            <w:tcW w:type="dxa" w:w="2268"/>
            <w:vAlign w:val="center"/>
          </w:tcPr>
          <w:p>
            <w:r>
              <w:t>Ghi nhận tài sản</w:t>
            </w:r>
          </w:p>
        </w:tc>
        <w:tc>
          <w:tcPr>
            <w:tcW w:type="dxa" w:w="3402"/>
            <w:vAlign w:val="center"/>
          </w:tcPr>
          <w:p>
            <w:r>
              <w:t>Chưa có hồ sơ khai báo/nhận diện rõ ràng.</w:t>
            </w:r>
          </w:p>
        </w:tc>
        <w:tc>
          <w:tcPr>
            <w:tcW w:type="dxa" w:w="3969"/>
            <w:vAlign w:val="center"/>
          </w:tcPr>
          <w:p>
            <w:r>
              <w:t>Khó biết tài sản được phát hiện khi nào và do ai đề xuất.</w:t>
            </w:r>
          </w:p>
        </w:tc>
        <w:tc>
          <w:tcPr>
            <w:tcW w:type="dxa" w:w="1417"/>
            <w:vAlign w:val="center"/>
          </w:tcPr>
          <w:p>
            <w:pPr>
              <w:spacing w:after="0"/>
              <w:ind w:firstLine="0"/>
              <w:jc w:val="left"/>
            </w:pPr>
            <w:r>
              <w:t>Rất cao</w:t>
            </w:r>
            <w:r>
              <w:rPr>
                <w:rFonts w:ascii="Times New Roman" w:hAnsi="Times New Roman"/>
                <w:b w:val="0"/>
                <w:sz w:val="20"/>
              </w:rPr>
            </w:r>
          </w:p>
        </w:tc>
      </w:tr>
      <w:tr>
        <w:tc>
          <w:tcPr>
            <w:tcW w:type="dxa" w:w="2268"/>
            <w:vAlign w:val="center"/>
          </w:tcPr>
          <w:p>
            <w:r>
              <w:t>Xem xét khả năng bảo hộ</w:t>
            </w:r>
          </w:p>
        </w:tc>
        <w:tc>
          <w:tcPr>
            <w:tcW w:type="dxa" w:w="3402"/>
            <w:vAlign w:val="center"/>
          </w:tcPr>
          <w:p>
            <w:r>
              <w:t>Chưa có hồ sơ tra cứu hoặc tài liệu giải thích việc lựa chọn hình thức bảo hộ.</w:t>
            </w:r>
          </w:p>
        </w:tc>
        <w:tc>
          <w:tcPr>
            <w:tcW w:type="dxa" w:w="3969"/>
            <w:vAlign w:val="center"/>
          </w:tcPr>
          <w:p>
            <w:r>
              <w:t>Khó giải thích vì sao kết quả này được đăng ký còn kết quả khác thì không.</w:t>
            </w:r>
          </w:p>
        </w:tc>
        <w:tc>
          <w:tcPr>
            <w:tcW w:type="dxa" w:w="1417"/>
            <w:vAlign w:val="center"/>
          </w:tcPr>
          <w:p>
            <w:pPr>
              <w:spacing w:after="0"/>
              <w:ind w:firstLine="0"/>
              <w:jc w:val="left"/>
            </w:pPr>
            <w:r>
              <w:t>Rất cao</w:t>
            </w:r>
            <w:r>
              <w:rPr>
                <w:rFonts w:ascii="Times New Roman" w:hAnsi="Times New Roman"/>
                <w:b w:val="0"/>
                <w:sz w:val="20"/>
              </w:rPr>
            </w:r>
          </w:p>
        </w:tc>
      </w:tr>
      <w:tr>
        <w:tc>
          <w:tcPr>
            <w:tcW w:type="dxa" w:w="2268"/>
            <w:vAlign w:val="center"/>
          </w:tcPr>
          <w:p>
            <w:r>
              <w:t>Chuyển giao và thương mại hóa</w:t>
            </w:r>
          </w:p>
        </w:tc>
        <w:tc>
          <w:tcPr>
            <w:tcW w:type="dxa" w:w="3402"/>
            <w:vAlign w:val="center"/>
          </w:tcPr>
          <w:p>
            <w:r>
              <w:t>Chưa có hợp đồng chuyển giao/cấp phép/thương mại hóa trong bộ hồ sơ hiện có.</w:t>
            </w:r>
          </w:p>
        </w:tc>
        <w:tc>
          <w:tcPr>
            <w:tcW w:type="dxa" w:w="3969"/>
            <w:vAlign w:val="center"/>
          </w:tcPr>
          <w:p>
            <w:r>
              <w:t>Chưa thể tính tỷ lệ thương mại hóa hoặc doanh thu từ TSTT.</w:t>
            </w:r>
          </w:p>
        </w:tc>
        <w:tc>
          <w:tcPr>
            <w:tcW w:type="dxa" w:w="1417"/>
            <w:vAlign w:val="center"/>
          </w:tcPr>
          <w:p>
            <w:pPr>
              <w:spacing w:after="0"/>
              <w:ind w:firstLine="0"/>
              <w:jc w:val="left"/>
            </w:pPr>
            <w:r>
              <w:t>Rất cao</w:t>
            </w:r>
            <w:r>
              <w:rPr>
                <w:rFonts w:ascii="Times New Roman" w:hAnsi="Times New Roman"/>
                <w:b w:val="0"/>
                <w:sz w:val="20"/>
              </w:rPr>
            </w:r>
          </w:p>
        </w:tc>
      </w:tr>
      <w:tr>
        <w:tc>
          <w:tcPr>
            <w:tcW w:type="dxa" w:w="2268"/>
            <w:vAlign w:val="center"/>
          </w:tcPr>
          <w:p>
            <w:r>
              <w:t>Theo dõi tài sản</w:t>
            </w:r>
          </w:p>
        </w:tc>
        <w:tc>
          <w:tcPr>
            <w:tcW w:type="dxa" w:w="3402"/>
            <w:vAlign w:val="center"/>
          </w:tcPr>
          <w:p>
            <w:r>
              <w:t>Danh sách quyền chưa gắn đầy đủ với đề tài, chi phí, tình trạng xử lý và việc sử dụng.</w:t>
            </w:r>
          </w:p>
        </w:tc>
        <w:tc>
          <w:tcPr>
            <w:tcW w:type="dxa" w:w="3969"/>
            <w:vAlign w:val="center"/>
          </w:tcPr>
          <w:p>
            <w:r>
              <w:t>Khó theo dõi một tài sản từ khi hình thành đến khi sử dụng.</w:t>
            </w:r>
          </w:p>
        </w:tc>
        <w:tc>
          <w:tcPr>
            <w:tcW w:type="dxa" w:w="1417"/>
            <w:vAlign w:val="center"/>
          </w:tcPr>
          <w:p>
            <w:pPr>
              <w:spacing w:after="0"/>
              <w:ind w:firstLine="0"/>
              <w:jc w:val="left"/>
            </w:pPr>
            <w:r>
              <w:t>Cao</w:t>
            </w:r>
            <w:r>
              <w:rPr>
                <w:rFonts w:ascii="Times New Roman" w:hAnsi="Times New Roman"/>
                <w:b w:val="0"/>
                <w:sz w:val="20"/>
              </w:rPr>
            </w:r>
          </w:p>
        </w:tc>
      </w:tr>
      <w:tr>
        <w:tc>
          <w:tcPr>
            <w:tcW w:type="dxa" w:w="2268"/>
            <w:vAlign w:val="center"/>
          </w:tcPr>
          <w:p>
            <w:r>
              <w:t>Xác định quyền sở hữu</w:t>
            </w:r>
          </w:p>
        </w:tc>
        <w:tc>
          <w:tcPr>
            <w:tcW w:type="dxa" w:w="3402"/>
            <w:vAlign w:val="center"/>
          </w:tcPr>
          <w:p>
            <w:r>
              <w:t>Có tài sản đồng sở hữu nhưng hồ sơ đề tài chưa luôn thể hiện rõ cách xác định quyền của các bên.</w:t>
            </w:r>
          </w:p>
        </w:tc>
        <w:tc>
          <w:tcPr>
            <w:tcW w:type="dxa" w:w="3969"/>
            <w:vAlign w:val="center"/>
          </w:tcPr>
          <w:p>
            <w:r>
              <w:t>Khó xác định đầy đủ quyền và trách nhiệm của từng bên.</w:t>
            </w:r>
          </w:p>
        </w:tc>
        <w:tc>
          <w:tcPr>
            <w:tcW w:type="dxa" w:w="1417"/>
            <w:vAlign w:val="center"/>
          </w:tcPr>
          <w:p>
            <w:pPr>
              <w:spacing w:after="0"/>
              <w:ind w:firstLine="0"/>
              <w:jc w:val="left"/>
            </w:pPr>
            <w:r>
              <w:t>Cao</w:t>
            </w:r>
            <w:r>
              <w:rPr>
                <w:rFonts w:ascii="Times New Roman" w:hAnsi="Times New Roman"/>
                <w:b w:val="0"/>
                <w:sz w:val="20"/>
              </w:rPr>
            </w:r>
          </w:p>
        </w:tc>
      </w:tr>
    </w:tbl>
    <w:p>
      <w:pPr>
        <w:pStyle w:val="SourceVN"/>
      </w:pPr>
      <w:r>
        <w:rPr>
          <w:rFonts w:ascii="Times New Roman" w:hAnsi="Times New Roman"/>
          <w:i/>
        </w:rPr>
        <w:t>Nguồn: Tác giả đối chiếu quy định của Trường với hồ sơ thực tế.</w:t>
      </w:r>
    </w:p>
    <w:p>
      <w:pPr/>
      <w:r>
        <w:rPr>
          <w:rFonts w:ascii="Times New Roman" w:hAnsi="Times New Roman"/>
          <w:b w:val="0"/>
          <w:i w:val="0"/>
          <w:sz w:val="26"/>
        </w:rPr>
        <w:t>Các hạn chế trên cần được hiểu thận trọng. Việc chưa có hồ sơ không có nghĩa chắc chắn hoạt động chưa diễn ra. Vì vậy, những nội dung liên quan đến cách ra quyết định, nguyên nhân dừng đăng ký hoặc lý do chưa khai thác cần được làm rõ thêm qua phỏng vấn những người trực tiếp tham gia.</w:t>
      </w:r>
    </w:p>
    <w:p>
      <w:pPr>
        <w:spacing w:before="160" w:after="80"/>
        <w:ind w:firstLine="0"/>
      </w:pPr>
      <w:r>
        <w:rPr>
          <w:rFonts w:ascii="Times New Roman" w:hAnsi="Times New Roman"/>
          <w:b/>
          <w:i w:val="0"/>
          <w:sz w:val="26"/>
        </w:rPr>
        <w:t>Kết quả, hạn chế và vấn đề cần giải quyết</w:t>
      </w:r>
    </w:p>
    <w:p>
      <w:pPr>
        <w:spacing w:before="160" w:after="80"/>
        <w:ind w:firstLine="0"/>
      </w:pPr>
      <w:r>
        <w:rPr>
          <w:rFonts w:ascii="Times New Roman" w:hAnsi="Times New Roman"/>
          <w:b/>
          <w:i w:val="0"/>
          <w:sz w:val="26"/>
        </w:rPr>
        <w:t>Kết quả đạt được</w:t>
      </w:r>
    </w:p>
    <w:p>
      <w:pPr/>
      <w:r>
        <w:rPr>
          <w:rFonts w:ascii="Times New Roman" w:hAnsi="Times New Roman"/>
          <w:i w:val="0"/>
        </w:rPr>
        <w:t>Thực trạng cho thấy Trường đã có ba nền tảng quan trọng. Thứ nhất, Trường đã có Quy chế hoạt động KHCN và Quy chế quản trị TSTT. Thứ hai, các đề tài nghiên cứu đã tạo ra nhiều loại kết quả, trong đó có sản phẩm mẫu, công thức, quy trình, mô hình và học liệu. Thứ ba, Trường đã có các đăng ký quyền tác giả, nhãn hiệu, kiểu dáng công nghiệp và sáng chế được ghi nhận trong danh sách, trong đó có tài sản đồng sở hữu với doanh nghiệp.</w:t>
      </w:r>
    </w:p>
    <w:p>
      <w:pPr/>
      <w:r>
        <w:rPr>
          <w:rFonts w:ascii="Times New Roman" w:hAnsi="Times New Roman"/>
          <w:i w:val="0"/>
        </w:rPr>
        <w:t>Như vậy, Trường không bắt đầu từ con số không. Vấn đề cần quan tâm là làm cho các bước từ khi tài sản được hình thành, được xem xét bảo hộ, đăng ký và sử dụng được ghi chép rõ ràng, dễ theo dõi và dễ kiểm tra.</w:t>
      </w:r>
    </w:p>
    <w:p>
      <w:pPr>
        <w:spacing w:before="160" w:after="80"/>
        <w:ind w:firstLine="0"/>
      </w:pPr>
      <w:r>
        <w:rPr>
          <w:rFonts w:ascii="Times New Roman" w:hAnsi="Times New Roman"/>
          <w:b/>
          <w:i w:val="0"/>
          <w:sz w:val="26"/>
        </w:rPr>
        <w:t>Hạn chế chính</w:t>
      </w:r>
    </w:p>
    <w:p>
      <w:pPr/>
      <w:r>
        <w:rPr>
          <w:rFonts w:ascii="Times New Roman" w:hAnsi="Times New Roman"/>
          <w:b w:val="0"/>
          <w:i w:val="0"/>
          <w:sz w:val="26"/>
        </w:rPr>
        <w:t>Hạn chế nổi bật là hồ sơ quản lý chưa đầy đủ để theo dõi một tài sản từ đề tài nguồn đến đăng ký và sử dụng. Vì vậy, Trường có thể biết mình đang có bao nhiêu quyền SHTT nhưng khó xác định tài sản nào cần tiếp tục đầu tư, tài sản nào đang được sử dụng và khâu nào còn chậm.</w:t>
      </w:r>
    </w:p>
    <w:p>
      <w:pPr/>
      <w:r>
        <w:rPr>
          <w:rFonts w:ascii="Times New Roman" w:hAnsi="Times New Roman"/>
          <w:i w:val="0"/>
        </w:rPr>
        <w:t>Hạn chế thứ hai là chưa có đủ thông tin để giải thích vì sao một số kết quả có khả năng bảo hộ nhưng chưa thấy hồ sơ đăng ký tương ứng. Các trường hợp xà phòng tảo biển, cồn xoa bóp và viên ngậm cần được làm rõ thêm trước khi kết luận nguyên nhân.</w:t>
      </w:r>
    </w:p>
    <w:p>
      <w:pPr/>
      <w:r>
        <w:rPr>
          <w:rFonts w:ascii="Times New Roman" w:hAnsi="Times New Roman"/>
          <w:i w:val="0"/>
        </w:rPr>
        <w:t>Hạn chế thứ ba là thông tin về việc sử dụng tài sản sau khi đăng ký còn ít. Dữ liệu cho thấy nhiều kết quả có dấu hiệu được ứng dụng, nhưng chưa có đủ chứng từ về chuyển giao và thương mại hóa. Vì vậy, chỉ dùng số văn bằng để đánh giá hiệu quả quản lý là chưa đủ.</w:t>
      </w:r>
    </w:p>
    <w:p>
      <w:pPr>
        <w:spacing w:before="160" w:after="80"/>
        <w:ind w:firstLine="0"/>
      </w:pPr>
      <w:r>
        <w:rPr>
          <w:rFonts w:ascii="Times New Roman" w:hAnsi="Times New Roman"/>
          <w:b/>
          <w:i w:val="0"/>
          <w:sz w:val="26"/>
        </w:rPr>
        <w:t>Vấn đề cần tập trung giải quyết</w:t>
      </w:r>
    </w:p>
    <w:p>
      <w:pPr/>
      <w:r>
        <w:rPr>
          <w:rFonts w:ascii="Times New Roman" w:hAnsi="Times New Roman"/>
          <w:i w:val="0"/>
        </w:rPr>
        <w:t>Tóm lại, Trường đã có kết quả nghiên cứu, có quy định nội bộ và có danh sách quyền SHTT. Tuy nhiên, hồ sơ quản lý chưa thể hiện đầy đủ quá trình từ khi kết quả được tạo ra đến khi được xem xét bảo hộ, đăng ký và sử dụng. Vì vậy, giải pháp cần tập trung vào việc ghi nhận TSTT, xem xét khả năng bảo hộ, theo dõi tình trạng đăng ký và theo dõi việc sử dụng tài sản sau đăng ký.</w:t>
      </w:r>
    </w:p>
    <w:p>
      <w:pPr>
        <w:pStyle w:val="CaptionVN"/>
      </w:pPr>
      <w:r>
        <w:rPr>
          <w:rFonts w:ascii="Times New Roman" w:hAnsi="Times New Roman"/>
          <w:b/>
        </w:rPr>
        <w:t>Bảng 2.9. Tổng hợp kết quả, hạn chế và hướng cần cải thiện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vAlign w:val="center"/>
            <w:shd w:fill="D9EAF7"/>
          </w:tcPr>
          <w:p>
            <w:pPr>
              <w:spacing w:after="0"/>
              <w:ind w:firstLine="0"/>
              <w:jc w:val="center"/>
            </w:pPr>
            <w:r>
              <w:t>Nội dung</w:t>
            </w:r>
            <w:r>
              <w:rPr>
                <w:rFonts w:ascii="Times New Roman" w:hAnsi="Times New Roman"/>
                <w:b/>
                <w:sz w:val="20"/>
              </w:rPr>
            </w:r>
          </w:p>
        </w:tc>
        <w:tc>
          <w:tcPr>
            <w:tcW w:type="dxa" w:w="3685"/>
            <w:vAlign w:val="center"/>
            <w:shd w:fill="D9EAF7"/>
          </w:tcPr>
          <w:p>
            <w:pPr>
              <w:spacing w:after="0"/>
              <w:ind w:firstLine="0"/>
              <w:jc w:val="center"/>
            </w:pPr>
            <w:r>
              <w:t>Kết quả/điểm mạnh</w:t>
            </w:r>
            <w:r>
              <w:rPr>
                <w:rFonts w:ascii="Times New Roman" w:hAnsi="Times New Roman"/>
                <w:b/>
                <w:sz w:val="20"/>
              </w:rPr>
            </w:r>
          </w:p>
        </w:tc>
        <w:tc>
          <w:tcPr>
            <w:tcW w:type="dxa" w:w="3685"/>
            <w:vAlign w:val="center"/>
            <w:shd w:fill="D9EAF7"/>
          </w:tcPr>
          <w:p>
            <w:r>
              <w:t>Hạn chế hiện có</w:t>
            </w:r>
          </w:p>
        </w:tc>
        <w:tc>
          <w:tcPr>
            <w:tcW w:type="dxa" w:w="3685"/>
            <w:vAlign w:val="center"/>
            <w:shd w:fill="D9EAF7"/>
          </w:tcPr>
          <w:p>
            <w:r>
              <w:t>Hướng cần cải thiện</w:t>
            </w:r>
          </w:p>
        </w:tc>
      </w:tr>
      <w:tr>
        <w:tc>
          <w:tcPr>
            <w:tcW w:type="dxa" w:w="1984"/>
            <w:vAlign w:val="center"/>
          </w:tcPr>
          <w:p>
            <w:pPr>
              <w:spacing w:after="0"/>
              <w:ind w:firstLine="0"/>
              <w:jc w:val="left"/>
            </w:pPr>
            <w:r>
              <w:t>Thể chế</w:t>
            </w:r>
            <w:r>
              <w:rPr>
                <w:rFonts w:ascii="Times New Roman" w:hAnsi="Times New Roman"/>
                <w:b w:val="0"/>
                <w:sz w:val="20"/>
              </w:rPr>
            </w:r>
          </w:p>
        </w:tc>
        <w:tc>
          <w:tcPr>
            <w:tcW w:type="dxa" w:w="3685"/>
            <w:vAlign w:val="center"/>
          </w:tcPr>
          <w:p>
            <w:pPr>
              <w:spacing w:after="0"/>
              <w:ind w:firstLine="0"/>
              <w:jc w:val="left"/>
            </w:pPr>
            <w:r>
              <w:t>Có QĐ 213/2021 và QĐ 217/2024; phạm vi quản trị tương đối rộng</w:t>
            </w:r>
            <w:r>
              <w:rPr>
                <w:rFonts w:ascii="Times New Roman" w:hAnsi="Times New Roman"/>
                <w:b w:val="0"/>
                <w:sz w:val="20"/>
              </w:rPr>
            </w:r>
          </w:p>
        </w:tc>
        <w:tc>
          <w:tcPr>
            <w:tcW w:type="dxa" w:w="3685"/>
            <w:vAlign w:val="center"/>
          </w:tcPr>
          <w:p>
            <w:r>
              <w:t>Chưa thấy đầy đủ hồ sơ và quy trình để theo dõi tài sản từ khi hình thành đến khi sử dụng</w:t>
            </w:r>
          </w:p>
        </w:tc>
        <w:tc>
          <w:tcPr>
            <w:tcW w:type="dxa" w:w="3685"/>
            <w:vAlign w:val="center"/>
          </w:tcPr>
          <w:p>
            <w:pPr>
              <w:spacing w:after="0"/>
              <w:ind w:firstLine="0"/>
              <w:jc w:val="left"/>
            </w:pPr>
            <w:r>
              <w:t>Chuẩn hóa quy trình vận hành và trách nhiệm</w:t>
            </w:r>
            <w:r>
              <w:rPr>
                <w:rFonts w:ascii="Times New Roman" w:hAnsi="Times New Roman"/>
                <w:b w:val="0"/>
                <w:sz w:val="20"/>
              </w:rPr>
            </w:r>
          </w:p>
        </w:tc>
      </w:tr>
      <w:tr>
        <w:tc>
          <w:tcPr>
            <w:tcW w:type="dxa" w:w="1984"/>
            <w:vAlign w:val="center"/>
          </w:tcPr>
          <w:p>
            <w:r>
              <w:rPr>
                <w:rFonts w:ascii="Times New Roman" w:hAnsi="Times New Roman"/>
                <w:sz w:val="22"/>
              </w:rPr>
              <w:t>Nguồn hình thành TSTT</w:t>
            </w:r>
          </w:p>
        </w:tc>
        <w:tc>
          <w:tcPr>
            <w:tcW w:type="dxa" w:w="3685"/>
            <w:vAlign w:val="center"/>
          </w:tcPr>
          <w:p>
            <w:r>
              <w:rPr>
                <w:rFonts w:ascii="Times New Roman" w:hAnsi="Times New Roman"/>
                <w:sz w:val="22"/>
              </w:rPr>
              <w:t>38 đề tài, 90 kết quả; có sản phẩm mẫu, quy trình, công thức, học liệu</w:t>
            </w:r>
          </w:p>
        </w:tc>
        <w:tc>
          <w:tcPr>
            <w:tcW w:type="dxa" w:w="3685"/>
            <w:vAlign w:val="center"/>
          </w:tcPr>
          <w:p>
            <w:r>
              <w:rPr>
                <w:rFonts w:ascii="Times New Roman" w:hAnsi="Times New Roman"/>
                <w:sz w:val="22"/>
              </w:rPr>
              <w:t>Nhiều kết quả chưa được xem xét/ghi nhận theo một cơ chế thống nhất</w:t>
            </w:r>
          </w:p>
        </w:tc>
        <w:tc>
          <w:tcPr>
            <w:tcW w:type="dxa" w:w="3685"/>
            <w:vAlign w:val="center"/>
          </w:tcPr>
          <w:p>
            <w:r>
              <w:rPr>
                <w:rFonts w:ascii="Times New Roman" w:hAnsi="Times New Roman"/>
                <w:sz w:val="22"/>
              </w:rPr>
              <w:t>Thiết lập việc khai báo TSTT và quy trình xem xét khả năng bảo hộ</w:t>
            </w:r>
          </w:p>
        </w:tc>
      </w:tr>
      <w:tr>
        <w:tc>
          <w:tcPr>
            <w:tcW w:type="dxa" w:w="1984"/>
            <w:vAlign w:val="center"/>
          </w:tcPr>
          <w:p>
            <w:pPr>
              <w:spacing w:after="0"/>
              <w:ind w:firstLine="0"/>
              <w:jc w:val="left"/>
            </w:pPr>
            <w:r>
              <w:t>Xác lập quyền</w:t>
            </w:r>
            <w:r>
              <w:rPr>
                <w:rFonts w:ascii="Times New Roman" w:hAnsi="Times New Roman"/>
                <w:b w:val="0"/>
                <w:sz w:val="20"/>
              </w:rPr>
            </w:r>
          </w:p>
        </w:tc>
        <w:tc>
          <w:tcPr>
            <w:tcW w:type="dxa" w:w="3685"/>
            <w:vAlign w:val="center"/>
          </w:tcPr>
          <w:p>
            <w:pPr>
              <w:spacing w:after="0"/>
              <w:ind w:firstLine="0"/>
              <w:jc w:val="left"/>
            </w:pPr>
            <w:r>
              <w:t>Có quyền tác giả, nhãn hiệu, KDCN và đối tượng sáng chế trong danh mục</w:t>
            </w:r>
            <w:r>
              <w:rPr>
                <w:rFonts w:ascii="Times New Roman" w:hAnsi="Times New Roman"/>
                <w:b w:val="0"/>
                <w:sz w:val="20"/>
              </w:rPr>
            </w:r>
          </w:p>
        </w:tc>
        <w:tc>
          <w:tcPr>
            <w:tcW w:type="dxa" w:w="3685"/>
            <w:vAlign w:val="center"/>
          </w:tcPr>
          <w:p>
            <w:pPr>
              <w:spacing w:after="0"/>
              <w:ind w:firstLine="0"/>
              <w:jc w:val="left"/>
            </w:pPr>
            <w:r>
              <w:t>Thiếu mốc quy trình, chi phí và liên kết với nguồn đề tài</w:t>
            </w:r>
            <w:r>
              <w:rPr>
                <w:rFonts w:ascii="Times New Roman" w:hAnsi="Times New Roman"/>
                <w:b w:val="0"/>
                <w:sz w:val="20"/>
              </w:rPr>
            </w:r>
          </w:p>
        </w:tc>
        <w:tc>
          <w:tcPr>
            <w:tcW w:type="dxa" w:w="3685"/>
            <w:vAlign w:val="center"/>
          </w:tcPr>
          <w:p>
            <w:pPr>
              <w:spacing w:after="0"/>
              <w:ind w:firstLine="0"/>
              <w:jc w:val="left"/>
            </w:pPr>
            <w:r>
              <w:t>Xây cơ sở dữ liệu theo dõi quá trình của tài sản và chỉ số thời gian từ khi có kết quả đến khi nộp đơn</w:t>
            </w:r>
            <w:r>
              <w:rPr>
                <w:rFonts w:ascii="Times New Roman" w:hAnsi="Times New Roman"/>
                <w:b w:val="0"/>
                <w:sz w:val="20"/>
              </w:rPr>
            </w:r>
          </w:p>
        </w:tc>
      </w:tr>
      <w:tr>
        <w:tc>
          <w:tcPr>
            <w:tcW w:type="dxa" w:w="1984"/>
            <w:vAlign w:val="center"/>
          </w:tcPr>
          <w:p>
            <w:pPr>
              <w:spacing w:after="0"/>
              <w:ind w:firstLine="0"/>
              <w:jc w:val="left"/>
            </w:pPr>
            <w:r>
              <w:t>Khai thác</w:t>
            </w:r>
            <w:r>
              <w:rPr>
                <w:rFonts w:ascii="Times New Roman" w:hAnsi="Times New Roman"/>
                <w:b w:val="0"/>
                <w:sz w:val="20"/>
              </w:rPr>
            </w:r>
          </w:p>
        </w:tc>
        <w:tc>
          <w:tcPr>
            <w:tcW w:type="dxa" w:w="3685"/>
            <w:vAlign w:val="center"/>
          </w:tcPr>
          <w:p>
            <w:pPr>
              <w:spacing w:after="0"/>
              <w:ind w:firstLine="0"/>
              <w:jc w:val="left"/>
            </w:pPr>
            <w:r>
              <w:t>Có dấu hiệu ứng dụng ở nhiều đề tài; có hợp tác doanh nghiệp</w:t>
            </w:r>
            <w:r>
              <w:rPr>
                <w:rFonts w:ascii="Times New Roman" w:hAnsi="Times New Roman"/>
                <w:b w:val="0"/>
                <w:sz w:val="20"/>
              </w:rPr>
            </w:r>
          </w:p>
        </w:tc>
        <w:tc>
          <w:tcPr>
            <w:tcW w:type="dxa" w:w="3685"/>
            <w:vAlign w:val="center"/>
          </w:tcPr>
          <w:p>
            <w:pPr>
              <w:spacing w:after="0"/>
              <w:ind w:firstLine="0"/>
              <w:jc w:val="left"/>
            </w:pPr>
            <w:r>
              <w:t>Thiếu bằng chứng giao dịch/chuyển giao và dữ liệu giá trị</w:t>
            </w:r>
            <w:r>
              <w:rPr>
                <w:rFonts w:ascii="Times New Roman" w:hAnsi="Times New Roman"/>
                <w:b w:val="0"/>
                <w:sz w:val="20"/>
              </w:rPr>
            </w:r>
          </w:p>
        </w:tc>
        <w:tc>
          <w:tcPr>
            <w:tcW w:type="dxa" w:w="3685"/>
            <w:vAlign w:val="center"/>
          </w:tcPr>
          <w:p>
            <w:pPr>
              <w:spacing w:after="0"/>
              <w:ind w:firstLine="0"/>
              <w:jc w:val="left"/>
            </w:pPr>
            <w:r>
              <w:t>Theo dõi sử dụng, cấp phép và giá trị</w:t>
            </w:r>
            <w:r>
              <w:rPr>
                <w:rFonts w:ascii="Times New Roman" w:hAnsi="Times New Roman"/>
                <w:b w:val="0"/>
                <w:sz w:val="20"/>
              </w:rPr>
            </w:r>
          </w:p>
        </w:tc>
      </w:tr>
      <w:tr>
        <w:tc>
          <w:tcPr>
            <w:tcW w:type="dxa" w:w="1984"/>
            <w:vAlign w:val="center"/>
          </w:tcPr>
          <w:p>
            <w:pPr>
              <w:spacing w:after="0"/>
              <w:ind w:firstLine="0"/>
              <w:jc w:val="left"/>
            </w:pPr>
            <w:r>
              <w:t>Dữ liệu</w:t>
            </w:r>
            <w:r>
              <w:rPr>
                <w:rFonts w:ascii="Times New Roman" w:hAnsi="Times New Roman"/>
                <w:b w:val="0"/>
                <w:sz w:val="20"/>
              </w:rPr>
            </w:r>
          </w:p>
        </w:tc>
        <w:tc>
          <w:tcPr>
            <w:tcW w:type="dxa" w:w="3685"/>
            <w:vAlign w:val="center"/>
          </w:tcPr>
          <w:p>
            <w:pPr>
              <w:spacing w:after="0"/>
              <w:ind w:firstLine="0"/>
              <w:jc w:val="left"/>
            </w:pPr>
            <w:r>
              <w:t>Đã có các danh mục riêng lẻ</w:t>
            </w:r>
            <w:r>
              <w:rPr>
                <w:rFonts w:ascii="Times New Roman" w:hAnsi="Times New Roman"/>
                <w:b w:val="0"/>
                <w:sz w:val="20"/>
              </w:rPr>
            </w:r>
          </w:p>
        </w:tc>
        <w:tc>
          <w:tcPr>
            <w:tcW w:type="dxa" w:w="3685"/>
            <w:vAlign w:val="center"/>
          </w:tcPr>
          <w:p>
            <w:pPr>
              <w:spacing w:after="0"/>
              <w:ind w:firstLine="0"/>
              <w:jc w:val="left"/>
            </w:pPr>
            <w:r>
              <w:t>Dữ liệu phân tán, khó nối quá trình từ khi tài sản hình thành đến khi được sử dụng</w:t>
            </w:r>
            <w:r>
              <w:rPr>
                <w:rFonts w:ascii="Times New Roman" w:hAnsi="Times New Roman"/>
                <w:b w:val="0"/>
                <w:sz w:val="20"/>
              </w:rPr>
            </w:r>
          </w:p>
        </w:tc>
        <w:tc>
          <w:tcPr>
            <w:tcW w:type="dxa" w:w="3685"/>
            <w:vAlign w:val="center"/>
          </w:tcPr>
          <w:p>
            <w:pPr>
              <w:spacing w:after="0"/>
              <w:ind w:firstLine="0"/>
              <w:jc w:val="left"/>
            </w:pPr>
            <w:r>
              <w:t>Mã định danh thống nhất và bảng theo dõi tổng hợp danh mục</w:t>
            </w:r>
            <w:r>
              <w:rPr>
                <w:rFonts w:ascii="Times New Roman" w:hAnsi="Times New Roman"/>
                <w:b w:val="0"/>
                <w:sz w:val="20"/>
              </w:rPr>
            </w:r>
          </w:p>
        </w:tc>
      </w:tr>
    </w:tbl>
    <w:p>
      <w:pPr>
        <w:pStyle w:val="SourceVN"/>
      </w:pPr>
      <w:r>
        <w:rPr>
          <w:rFonts w:ascii="Times New Roman" w:hAnsi="Times New Roman"/>
          <w:i/>
        </w:rPr>
        <w:t>Nguồn: Tác giả tổng hợp từ kết quả phân tích của Chương 2.</w:t>
      </w:r>
    </w:p>
    <w:p>
      <w:pPr>
        <w:ind w:firstLine="0"/>
      </w:pPr>
      <w:r>
        <w:rPr>
          <w:rFonts w:ascii="Times New Roman" w:hAnsi="Times New Roman"/>
          <w:i w:val="0"/>
        </w:rPr>
        <w:t>Nhìn chung, Trường cần chuyển từ việc chỉ lưu danh sách văn bằng sang theo dõi đầy đủ từng tài sản từ khi hình thành đến khi sử dụng. Khi dữ liệu được ghi chép thống nhất, Trường mới có thể biết tỷ lệ kết quả nghiên cứu được đăng ký, thời gian xử lý hồ sơ, mức độ sử dụng tài sản và giá trị mà tài sản mang lại.</w:t>
      </w:r>
    </w:p>
    <w:p>
      <w:pPr>
        <w:ind w:firstLine="0"/>
      </w:pPr>
      <w:r>
        <w:rPr>
          <w:rFonts w:ascii="Times New Roman" w:hAnsi="Times New Roman"/>
          <w:b/>
          <w:i w:val="0"/>
          <w:sz w:val="26"/>
        </w:rPr>
        <w:t>Tài liệu và dữ liệu sử dụng trong Chương 2</w:t>
      </w:r>
    </w:p>
    <w:p>
      <w:pPr>
        <w:spacing w:after="60"/>
        <w:ind w:firstLine="0" w:left="340"/>
      </w:pPr>
      <w:r>
        <w:rPr>
          <w:rFonts w:ascii="Times New Roman" w:hAnsi="Times New Roman"/>
        </w:rPr>
        <w:t>• Trường Đại học Thành Đô (2021), Quyết định số 213/QĐ-ĐHTĐ ban hành Quy chế hoạt động khoa học và công nghệ.</w:t>
      </w:r>
    </w:p>
    <w:p>
      <w:pPr>
        <w:spacing w:after="60"/>
        <w:ind w:firstLine="0" w:left="340"/>
      </w:pPr>
      <w:r>
        <w:rPr>
          <w:rFonts w:ascii="Times New Roman" w:hAnsi="Times New Roman"/>
        </w:rPr>
        <w:t>• Trường Đại học Thành Đô (2024), Quyết định số 217/QĐ-ĐHTĐ ngày 21/11/2024 ban hành Quy chế quản trị Tài sản trí tuệ.</w:t>
      </w:r>
    </w:p>
    <w:p>
      <w:pPr>
        <w:spacing w:after="60"/>
        <w:ind w:firstLine="0" w:left="340"/>
      </w:pPr>
      <w:r>
        <w:rPr>
          <w:rFonts w:ascii="Times New Roman" w:hAnsi="Times New Roman"/>
        </w:rPr>
        <w:t>• Tổng hợp đề tài KHCN cấp cơ sở của giảng viên Trường Đại học Thành Đô giai đoạn 2021–2025.</w:t>
      </w:r>
    </w:p>
    <w:p>
      <w:pPr>
        <w:spacing w:after="60"/>
        <w:ind w:firstLine="0" w:left="340"/>
      </w:pPr>
      <w:r>
        <w:rPr>
          <w:rFonts w:ascii="Times New Roman" w:hAnsi="Times New Roman"/>
        </w:rPr>
        <w:t>• Danh sách thống kê văn bằng/đơn SHTT do Trường cung cấp.</w:t>
      </w:r>
    </w:p>
    <w:p>
      <w:pPr>
        <w:spacing w:after="60"/>
        <w:ind w:firstLine="0" w:left="340"/>
      </w:pPr>
      <w:r>
        <w:rPr>
          <w:rFonts w:ascii="Times New Roman" w:hAnsi="Times New Roman"/>
        </w:rPr>
        <w:t>• Danh mục bài báo trong nước, quốc tế và hội thảo giai đoạn 2021–2025 của Trường.</w:t>
      </w:r>
    </w:p>
    <w:p>
      <w:pPr>
        <w:spacing w:after="60"/>
        <w:ind w:firstLine="0" w:left="340"/>
      </w:pPr>
      <w:r>
        <w:rPr>
          <w:rFonts w:ascii="Times New Roman" w:hAnsi="Times New Roman"/>
        </w:rPr>
        <w:t>• Bộ dữ liệu tổng hợp của nghiên cứu: đề tài, kết quả nghiên cứu, tình trạng đăng ký/bảo hộ, mức độ ứng dụng và đối chiếu giữa quy định với thực tế.</w:t>
      </w:r>
    </w:p>
    <w:sectPr w:rsidR="00FC693F" w:rsidRPr="0006063C" w:rsidSect="00034616">
      <w:footerReference w:type="default" r:id="rId12"/>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60"/>
      <w:ind w:firstLine="0"/>
      <w:jc w:val="center"/>
    </w:pPr>
    <w:rPr>
      <w:rFonts w:ascii="Times New Roman" w:hAnsi="Times New Roman"/>
      <w:i w:val="0"/>
      <w:sz w:val="22"/>
    </w:rPr>
  </w:style>
  <w:style w:type="paragraph" w:customStyle="1" w:styleId="SourceVN">
    <w:name w:val="SourceVN"/>
    <w:pPr>
      <w:spacing w:after="60"/>
      <w:ind w:firstLine="0"/>
      <w:jc w:val="left"/>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