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w:t>
        <w:br/>
        <w:t>THỰC TRẠNG QUẢN LÝ QUYỀN SỞ HỮU TRÍ TUỆ</w:t>
        <w:br/>
        <w:t>TẠI TRƯỜNG ĐẠI HỌC THÀNH ĐÔ</w:t>
      </w:r>
    </w:p>
    <w:p>
      <w:pPr/>
      <w:r>
        <w:rPr>
          <w:rFonts w:ascii="Times New Roman" w:hAnsi="Times New Roman" w:eastAsia="Times New Roman"/>
        </w:rPr>
        <w:t>Chương này đánh giá thực trạng quản lý quyền sở hữu trí tuệ tại Trường Đại học Thành Đô giai đoạn 2021–2025. Việc đánh giá không chỉ dựa vào số văn bằng đã có mà còn xem xét toàn bộ quá trình từ kết quả nghiên cứu, khả năng hình thành tài sản trí tuệ, đăng ký bảo hộ đến sử dụng và khai thác. Cách tiếp cận này phù hợp với đặc điểm của Trường là một cơ sở giáo dục nằm trong hệ sinh thái Thado EduPark, có hoạt động đào tạo, nghiên cứu, thực hành và hợp tác với doanh nghiệp.</w:t>
      </w:r>
    </w:p>
    <w:p>
      <w:pPr/>
      <w:r>
        <w:rPr>
          <w:rFonts w:ascii="Times New Roman" w:hAnsi="Times New Roman" w:eastAsia="Times New Roman"/>
        </w:rPr>
        <w:t>Nguồn dữ liệu chính gồm 38 đề tài khoa học và công nghệ cấp cơ sở, các sản phẩm nghiệm thu của đề tài, danh sách quyền sở hữu trí tuệ do Trường cung cấp, các quy chế nội bộ và tài liệu chiến lược của hệ sinh thái. Khi phân tích số liệu, nghiên cứu sử dụng hai mức: mức thứ nhất là toàn bộ kết quả ghi nhận trong hồ sơ; mức thứ hai là các kết quả nghiên cứu thực chất sau khi loại báo cáo tổng kết bắt buộc. Cách phân chia này giúp tránh đánh giá thấp năng lực tạo tài sản trí tuệ của giảng viên chỉ vì số lượng báo cáo hành chính chiếm tỷ trọng lớn.</w:t>
      </w:r>
    </w:p>
    <w:p>
      <w:pPr/>
      <w:r>
        <w:rPr>
          <w:b/>
        </w:rPr>
        <w:t xml:space="preserve">Nguyên tắc đánh giá. </w:t>
      </w:r>
      <w:r>
        <w:t>Chương này phân biệt giữa việc “chưa có hồ sơ để kiểm chứng” và việc “hoạt động không diễn ra”. Khi nghiên cứu không tìm thấy phiếu khai báo, biên bản xem xét khả năng bảo hộ, hợp đồng chuyển giao hoặc chứng từ doanh thu, kết luận chỉ dừng ở mức chưa có đủ bằng chứng tài liệu hóa. Chỉ khi phỏng vấn hoặc tài liệu bổ sung xác nhận rõ thì mới có thể kết luận một khâu quản lý chưa được thực hiện. Nguyên tắc này được áp dụng thống nhất trong toàn bộ Chương 2.</w:t>
      </w:r>
    </w:p>
    <w:p>
      <w:pPr>
        <w:pStyle w:val="Heading1"/>
      </w:pPr>
      <w:r>
        <w:rPr>
          <w:rFonts w:ascii="Times New Roman" w:hAnsi="Times New Roman" w:eastAsia="Times New Roman"/>
        </w:rPr>
        <w:t>2.1. Khái quát bối cảnh, thể chế và tổ chức quản lý sở hữu trí tuệ tại Trường Đại học Thành Đô</w:t>
      </w:r>
    </w:p>
    <w:p>
      <w:pPr/>
      <w:r>
        <w:rPr>
          <w:rFonts w:ascii="Times New Roman" w:hAnsi="Times New Roman" w:eastAsia="Times New Roman"/>
        </w:rPr>
        <w:t>Trong giai đoạn nghiên cứu, cơ sở nội bộ về quản lý sở hữu trí tuệ của Trường được hình thành theo hai bước. Quy chế hoạt động khoa học và công nghệ ban hành năm 2021 đã quy định quyền sở hữu trí tuệ đối với kết quả nghiên cứu, quy trình đăng ký, chuyển giao và phân chia lợi ích. Đến ngày 21/11/2024, Trường ban hành Quy chế quản trị tài sản trí tuệ theo Quyết định số 217/QĐ-ĐHTĐ. Quy chế mới mở rộng phạm vi quản lý từ việc đăng ký quyền sang cả quá trình tạo lập, ghi nhận, bảo vệ và khai thác tài sản trí tuệ.</w:t>
      </w:r>
    </w:p>
    <w:p>
      <w:pPr/>
      <w:r>
        <w:rPr>
          <w:rFonts w:ascii="Times New Roman" w:hAnsi="Times New Roman" w:eastAsia="Times New Roman"/>
        </w:rPr>
        <w:t>Về tổ chức quản lý. Quy chế năm 2024 giao Phòng Khoa học và Công nghệ làm đầu mối quản lý hoạt động sở hữu trí tuệ: xây dựng biểu mẫu, tiếp nhận và ghi nhận tài sản mới, theo dõi tài sản thuộc sở hữu hoặc đồng sở hữu của Trường, phối hợp bảo hộ và xúc tiến khai thác. Các khoa, viện, giảng viên và chủ nhiệm đề tài là nơi trực tiếp tạo ra kết quả nghiên cứu; doanh nghiệp và các đơn vị trong hệ sinh thái có thể tham gia khi tài sản được hình thành từ hoạt động hợp tác.</w:t>
      </w:r>
    </w:p>
    <w:p>
      <w:pPr/>
      <w:r>
        <w:rPr>
          <w:rFonts w:ascii="Times New Roman" w:hAnsi="Times New Roman" w:eastAsia="Times New Roman"/>
        </w:rPr>
        <w:t>Về nhân lực thực hiện. Các tài liệu hiện có xác định rõ đơn vị đầu mối nhưng chưa cho biết có bao nhiêu cán bộ chuyên trách về sở hữu trí tuệ, cán bộ có được đào tạo chuyên sâu về tra cứu sáng chế, lựa chọn hình thức bảo hộ hoặc soạn thảo hồ sơ đăng ký hay không. Vì vậy, ở thời điểm hiện tại chưa đủ căn cứ để đánh giá năng lực nhân sự là mạnh hay yếu. Đây là nội dung cần được làm rõ thêm qua phỏng vấn cán bộ phụ trách.</w:t>
      </w:r>
    </w:p>
    <w:p>
      <w:pPr/>
      <w:r>
        <w:rPr>
          <w:rFonts w:ascii="Times New Roman" w:hAnsi="Times New Roman" w:eastAsia="Times New Roman"/>
        </w:rPr>
        <w:t>Về kinh phí và chính sách khuyến khích. Quy chế khoa học và công nghệ năm 2021 cho phép sử dụng quỹ nghiên cứu cho các khoản chi phục vụ nghiên cứu, dịch vụ thuê ngoài, quản lý đề tài và khen thưởng; đồng thời có quy định về phân chia lợi ích khi kết quả nghiên cứu được chuyển giao hoặc thương mại hóa. Tuy nhiên, trong hồ sơ đang có chưa thấy thông tin về một khoản ngân sách riêng hằng năm dành cho tra cứu, nộp đơn và duy trì quyền sở hữu trí tuệ. Do đó, nghiên cứu mới có thể khẳng định rằng Trường đã có cơ chế tài chính và khen thưởng ở mức quy định, nhưng chưa đủ dữ liệu để đánh giá mức kinh phí thực tế dành riêng cho hoạt động bảo hộ.</w:t>
      </w:r>
    </w:p>
    <w:p>
      <w:pPr/>
      <w:r>
        <w:t>Về nguồn kinh phí của 38 đề tài. Theo hồ sơ tổng hợp, nguồn kinh phí không hoàn toàn giống nhau: 35 đề tài được ghi nhận theo các hình thức tiền mặt, quy đổi hoặc tính giờ nghiên cứu khoa học, hoặc kết hợp các hình thức này; 3 đề tài ghi tự tìm nhà tài trợ hoặc tự tìm nguồn tài trợ. Bộ hồ sơ hiện có không ghi nhận đề tài nào trong nhóm 38 đề tài cấp cơ sở là nhiệm vụ sử dụng ngân sách nhà nước. Vì vậy, nghiên cứu không áp dụng máy móc các quy định riêng đối với nhiệm vụ dùng ngân sách nhà nước để xác định quyền sở hữu của 38 đề tài; quyền sở hữu trước hết được xem xét theo quy chế của Trường, nguồn lực thực tế đã sử dụng và thỏa thuận giữa các bên.</w:t>
      </w:r>
    </w:p>
    <w:p>
      <w:pPr>
        <w:pStyle w:val="CaptionVN"/>
        <w:jc w:val="center"/>
      </w:pPr>
      <w:r>
        <w:rPr>
          <w:rFonts w:ascii="Times New Roman" w:hAnsi="Times New Roman" w:eastAsia="Times New Roman"/>
          <w:b/>
        </w:rPr>
        <w:t>Bảng 2.1. Một số nội dung chính trong tổ chức quản lý sở hữu trí tuệ của Trường</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75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Quy định hiện có</w:t>
            </w:r>
          </w:p>
        </w:tc>
        <w:tc>
          <w:tcPr>
            <w:tcW w:type="dxa" w:w="39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Nhận xét từ dữ liệu thực tế</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Đơn vị đầu mối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Khoa học và Công nghệ quản lý, ghi nhận, theo dõi và phối hợp khai thác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xác định rõ đầu mối quản lý. Chưa có dữ liệu về số cán bộ chuyên trách và năng lực chuyên môn cụ thể.</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2024 yêu cầu xây dựng quy trình, biểu mẫu khai báo và ghi nhận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Trong bộ hồ sơ hiện có chưa thấy phiếu khai báo hoặc sổ theo dõi thống nhất.</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Đăng ký bảo hộ</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tác giả nộp hồ sơ qua Phòng Khoa học và Công nghệ để kiểm tra, trình ký và nộp cơ quan nhà nước.</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của Trường cho thấy đã có nhiều đối tượng được đăng ký, nhưng thiếu dữ liệu về các bước xử lý nội bộ trước khi nộp.</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và phân chia lợi ích</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quy định về chuyển giao, thương mại hóa và phân chia lợi ích.</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 hoặc chứng từ doanh thu trong bộ hồ sơ nghiên cứu đang sử dụng.</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Khen thưởng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khen thưởng cho kết quả nghiên cứu, công bố và kết quả được ứng dụng.</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dữ liệu để xác định mức khuyến khích riêng đối với tác giả có tài sản được cấp quyền sở hữu trí tuệ.</w:t>
            </w:r>
          </w:p>
        </w:tc>
      </w:tr>
    </w:tbl>
    <w:p>
      <w:pPr>
        <w:pStyle w:val="SourceVN"/>
      </w:pPr>
      <w:r>
        <w:rPr>
          <w:rFonts w:ascii="Times New Roman" w:hAnsi="Times New Roman" w:eastAsia="Times New Roman"/>
          <w:i/>
        </w:rPr>
        <w:t>Nguồn: Tổng hợp từ Quyết định số 213/QĐ-ĐHTĐ năm 2021, Quyết định số 217/QĐ-ĐHTĐ ngày 21/11/2024 và hồ sơ nghiên cứu.</w:t>
      </w:r>
    </w:p>
    <w:p>
      <w:pPr/>
      <w:r>
        <w:rPr>
          <w:rFonts w:ascii="Times New Roman" w:hAnsi="Times New Roman" w:eastAsia="Times New Roman"/>
        </w:rPr>
        <w:t>Công tác quản lý sở hữu trí tuệ của Trường cũng cần được đặt trong bối cảnh rộng hơn của hệ sinh thái giáo dục. Khung chiến lược Thado EduPark xác định định hướng xây dựng một hệ sinh thái giáo dục mở, kết nối học tập với trải nghiệm thực tế và kết nối nhà trường với doanh nghiệp. Danh mục tài sản trí tuệ cũng cho thấy các dấu hiệu của hệ sinh thái này, như bộ nhận diện hệ sinh thái giáo dục, nhãn hiệu Thado Edupark và các tài sản có sự tham gia của doanh nghiệp đối tác. Một số tài sản của UNIGO hoặc cá nhân không được tính vào danh mục sở hữu trực tiếp của Trường Đại học Thành Đô, nhưng sự hiện diện của chúng cho thấy hoạt động sáng tạo diễn ra trong một không gian rộng hơn phạm vi của riêng trường đại học.</w:t>
      </w:r>
    </w:p>
    <w:p>
      <w:pPr/>
      <w:r>
        <w:rPr>
          <w:rFonts w:ascii="Times New Roman" w:hAnsi="Times New Roman" w:eastAsia="Times New Roman"/>
        </w:rPr>
        <w:t>Từ góc độ nghiên cứu này, có thể thấy Trường đã có những điều kiện ban đầu để phát triển một không gian thử nghiệm mở cho kết quả nghiên cứu: phòng thực hành, người học, các đơn vị trong hệ sinh thái và doanh nghiệp đối tác. Tuy nhiên, hồ sơ hiện có chưa cho thấy một quy trình thống nhất để kết nối các nơi tạo ra kết quả nghiên cứu với việc nhận diện, bảo hộ, thử nghiệm và khai thác tài sản trí tuệ. Đây là điểm cần được tiếp tục làm rõ ở các phần sau.</w:t>
      </w:r>
    </w:p>
    <w:p>
      <w:pPr>
        <w:pStyle w:val="Heading1"/>
      </w:pPr>
      <w:r>
        <w:rPr>
          <w:rFonts w:ascii="Times New Roman" w:hAnsi="Times New Roman" w:eastAsia="Times New Roman"/>
        </w:rPr>
        <w:t>2.2. Năng lực tạo lập kết quả nghiên cứu và nhận diện tài sản trí tuệ tiềm năng</w:t>
      </w:r>
    </w:p>
    <w:p>
      <w:pPr/>
      <w:r>
        <w:rPr>
          <w:rFonts w:ascii="Times New Roman" w:hAnsi="Times New Roman" w:eastAsia="Times New Roman"/>
        </w:rPr>
        <w:t>Trong 38 đề tài cấp cơ sở giai đoạn 2021–2025, hồ sơ nghiệm thu ghi nhận tổng cộng 90 kết quả. Tuy nhiên, 34 kết quả trong số này là báo cáo tổng kết đề tài - sản phẩm bắt buộc để hoàn thành thủ tục nghiệm thu. Nếu dùng cả 90 kết quả làm mẫu số để đánh giá năng lực tạo tài sản trí tuệ, tỷ trọng các sản phẩm nghiên cứu có giá trị ứng dụng sẽ bị giảm xuống do bị pha loãng bởi báo cáo hành chính.</w:t>
      </w:r>
    </w:p>
    <w:p>
      <w:pPr/>
      <w:r>
        <w:rPr>
          <w:rFonts w:ascii="Times New Roman" w:hAnsi="Times New Roman" w:eastAsia="Times New Roman"/>
        </w:rPr>
        <w:t>Vì vậy, nghiên cứu tách 34 báo cáo tổng kết ra khỏi phần phân tích chuyên sâu. Sau khi loại nhóm này, còn 56 kết quả nghiên cứu thực chất, gồm công bố khoa học, sản phẩm mẫu, mô hình, giải pháp ứng dụng, quy trình, công thức, bộ mẫu, học liệu và một số kết quả khác. Trong 56 kết quả này, 24 kết quả được xác định là có khả năng hình thành tài sản trí tuệ cần được xem xét tiếp, tương đương 42,86%. Trong số 24 kết quả đó, 15 kết quả được xếp vào nhóm nên ưu tiên xem xét trước do có tính kỹ thuật, có sản phẩm vật chất hoặc có khả năng ứng dụng rõ hơn.</w:t>
      </w:r>
    </w:p>
    <w:p>
      <w:pPr>
        <w:pStyle w:val="CaptionVN"/>
        <w:jc w:val="center"/>
      </w:pPr>
      <w:r>
        <w:rPr>
          <w:rFonts w:ascii="Times New Roman" w:hAnsi="Times New Roman" w:eastAsia="Times New Roman"/>
          <w:b/>
        </w:rPr>
        <w:t>Bảng 2.2. Hai mức số liệu dùng để phân tích kết quả nghiên cứu</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453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Chỉ tiêu</w:t>
            </w:r>
          </w:p>
        </w:tc>
        <w:tc>
          <w:tcPr>
            <w:tcW w:type="dxa" w:w="124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Ý nghĩa</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Toàn bộ kết quả ghi trong hồ sơ nghiệm thu</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90</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Dùng để kiểm kê đầy đủ sản phẩm của 38 đề tài.</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Báo cáo tổng kết đề tài</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sản phẩm bắt buộc khi nghiệm thu, không dùng làm mẫu số chính để đánh giá tiềm năng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nghiên cứu thực chất</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mẫu số dùng để xem xét khả năng hình thành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có khả năng hình thành tài sản trí tuệ</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Chiếm 42,86% trong 56 kết quả nghiên cứu thực chất.</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nên ưu tiên xem xét trước</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15</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nhóm có tính kỹ thuật, sản phẩm vật chất hoặc khả năng ứng dụng rõ hơn.</w:t>
            </w:r>
          </w:p>
        </w:tc>
      </w:tr>
    </w:tbl>
    <w:p>
      <w:pPr>
        <w:pStyle w:val="SourceVN"/>
      </w:pPr>
      <w:r>
        <w:rPr>
          <w:rFonts w:ascii="Times New Roman" w:hAnsi="Times New Roman" w:eastAsia="Times New Roman"/>
          <w:i/>
        </w:rPr>
        <w:t>Nguồn: Tính toán từ hồ sơ 38 đề tài cấp cơ sở giai đoạn 2021–2025 và bộ dữ liệu nghiên cứu đã chuẩn hóa.</w:t>
      </w:r>
    </w:p>
    <w:p>
      <w:pPr>
        <w:jc w:val="center"/>
      </w:pPr>
      <w:r>
        <w:drawing>
          <wp:inline xmlns:a="http://schemas.openxmlformats.org/drawingml/2006/main" xmlns:pic="http://schemas.openxmlformats.org/drawingml/2006/picture">
            <wp:extent cx="5623560" cy="3664149"/>
            <wp:docPr id="4" name="Picture 4"/>
            <wp:cNvGraphicFramePr>
              <a:graphicFrameLocks noChangeAspect="1"/>
            </wp:cNvGraphicFramePr>
            <a:graphic>
              <a:graphicData uri="http://schemas.openxmlformats.org/drawingml/2006/picture">
                <pic:pic>
                  <pic:nvPicPr>
                    <pic:cNvPr id="0" name="hinh_2_1_pheu_v2.png"/>
                    <pic:cNvPicPr/>
                  </pic:nvPicPr>
                  <pic:blipFill>
                    <a:blip r:embed="rId16"/>
                    <a:stretch>
                      <a:fillRect/>
                    </a:stretch>
                  </pic:blipFill>
                  <pic:spPr>
                    <a:xfrm>
                      <a:off x="0" y="0"/>
                      <a:ext cx="5623560" cy="3664149"/>
                    </a:xfrm>
                    <a:prstGeom prst="rect"/>
                  </pic:spPr>
                </pic:pic>
              </a:graphicData>
            </a:graphic>
          </wp:inline>
        </w:drawing>
      </w:r>
    </w:p>
    <w:p>
      <w:pPr>
        <w:pStyle w:val="CaptionVN"/>
        <w:jc w:val="center"/>
      </w:pPr>
      <w:r>
        <w:rPr>
          <w:rFonts w:ascii="Times New Roman" w:hAnsi="Times New Roman" w:eastAsia="Times New Roman"/>
          <w:b/>
        </w:rPr>
        <w:t>Hình 2.1. Quá trình thu hẹp từ kết quả nghiên cứu đến nhóm cần ưu tiên xem xét về sở hữu trí tuệ</w:t>
      </w:r>
    </w:p>
    <w:p>
      <w:pPr>
        <w:pStyle w:val="SourceVN"/>
      </w:pPr>
      <w:r>
        <w:rPr>
          <w:rFonts w:ascii="Times New Roman" w:hAnsi="Times New Roman" w:eastAsia="Times New Roman"/>
          <w:i/>
        </w:rPr>
        <w:t>Nguồn: Tính toán từ hồ sơ đề tài cấp cơ sở giai đoạn 2021–2025.</w:t>
      </w:r>
    </w:p>
    <w:p>
      <w:pPr/>
      <w:r>
        <w:rPr>
          <w:rFonts w:ascii="Times New Roman" w:hAnsi="Times New Roman" w:eastAsia="Times New Roman"/>
        </w:rPr>
        <w:t>Nếu chỉ nhìn vào tổng số 90 kết quả, có thể dễ đi đến nhận định rằng phần lớn sản phẩm của đề tài là báo cáo và bài báo. Tuy nhiên, khi tách báo cáo tổng kết bắt buộc, bức tranh thay đổi rõ rệt: gần 43% kết quả nghiên cứu thực chất có khả năng hình thành tài sản trí tuệ. Điều này cho thấy vấn đề của Trường không đơn thuần là thiếu kết quả có tiềm năng, mà còn nằm ở khả năng phát hiện sớm và lựa chọn đúng kết quả để bảo hộ hoặc khai thác.</w:t>
      </w:r>
    </w:p>
    <w:p>
      <w:pPr>
        <w:pStyle w:val="CaptionVN"/>
        <w:jc w:val="center"/>
      </w:pPr>
      <w:r>
        <w:rPr>
          <w:rFonts w:ascii="Times New Roman" w:hAnsi="Times New Roman" w:eastAsia="Times New Roman"/>
          <w:b/>
        </w:rPr>
        <w:t>Bảng 2.3. Cơ cấu 56 kết quả nghiên cứu thực chất theo nhóm</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Nhóm kết quả</w:t>
            </w:r>
          </w:p>
        </w:tc>
        <w:tc>
          <w:tcPr>
            <w:tcW w:type="dxa" w:w="136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158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Tỷ lệ (%)</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bố khoa học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30</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53,6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mẫu và mô hình</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8</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14,3</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Giải pháp, phương pháp ứng dụng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10,7</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công thức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8,9</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Bộ mẫu, tiêu bản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Học liệu, cẩm nang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1,8</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tổ chức, quản trị</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chuyển giao hoặc sáng chế dự kiến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100,0</w:t>
            </w:r>
          </w:p>
        </w:tc>
      </w:tr>
    </w:tbl>
    <w:p>
      <w:pPr>
        <w:pStyle w:val="SourceVN"/>
      </w:pPr>
      <w:r>
        <w:rPr>
          <w:rFonts w:ascii="Times New Roman" w:hAnsi="Times New Roman" w:eastAsia="Times New Roman"/>
          <w:i/>
        </w:rPr>
        <w:t>Nguồn: Phân loại từ 56 kết quả nghiên cứu sau khi loại 34 báo cáo tổng kết đề tài.</w:t>
      </w:r>
    </w:p>
    <w:p>
      <w:pPr/>
      <w:r>
        <w:rPr>
          <w:rFonts w:ascii="Times New Roman" w:hAnsi="Times New Roman" w:eastAsia="Times New Roman"/>
        </w:rPr>
        <w:t>Công bố khoa học vẫn là nhóm lớn nhất, nhưng không phải là nhóm duy nhất. Có 8 sản phẩm mẫu hoặc mô hình, 6 giải pháp ứng dụng và 5 quy trình hoặc công thức. Đây là những dạng kết quả cần được xem xét kỹ vì giá trị của chúng không chỉ nằm ở việc công bố học thuật mà còn có thể nằm ở khả năng sử dụng trong đào tạo, phát triển sản phẩm, giữ bí mật công nghệ hoặc đăng ký quyền sở hữu trí tuệ.</w:t>
      </w:r>
    </w:p>
    <w:p>
      <w:pPr/>
      <w:r>
        <w:rPr>
          <w:rFonts w:ascii="Times New Roman" w:hAnsi="Times New Roman" w:eastAsia="Times New Roman"/>
        </w:rPr>
        <w:t>Kết quả này cũng phù hợp với đặc điểm của hệ sinh thái giáo dục ứng dụng: nhiều sản phẩm có thể được thử nghiệm trước trong phòng thực hành, lớp học, đơn vị trực thuộc hoặc cùng doanh nghiệp đối tác. Nếu có quy trình quản lý phù hợp, môi trường nội bộ của Trường có thể trở thành nơi kiểm chứng tính hữu ích của tài sản trước khi quyết định mở rộng ứng dụng hoặc đưa ra thị trường.</w:t>
      </w:r>
    </w:p>
    <w:p>
      <w:pPr>
        <w:pStyle w:val="Heading1"/>
      </w:pPr>
      <w:r>
        <w:rPr>
          <w:rFonts w:ascii="Times New Roman" w:hAnsi="Times New Roman" w:eastAsia="Times New Roman"/>
        </w:rPr>
        <w:t>2.3. Thực trạng xác lập và bảo hộ quyền sở hữu trí tuệ</w:t>
      </w:r>
    </w:p>
    <w:p>
      <w:pPr/>
      <w:r>
        <w:t>Ngoài các quy định nội bộ của Trường, thực trạng quản lý quyền sở hữu trí tuệ còn được đặt trong khung pháp luật và chính sách quốc gia hiện hành. Chiến lược Sở hữu trí tuệ đến năm 2030, được sửa đổi năm 2026, xác định bốn khâu lớn là sáng tạo, xác lập, khai thác và bảo vệ quyền sở hữu trí tuệ. Đối với cơ sở giáo dục đại học, Chiến lược yêu cầu xác định đối tượng quyền sở hữu trí tuệ cần đạt được từ kết quả nghiên cứu; đối với kết quả có tính ứng dụng cao ở khối kỹ thuật, công nghệ, việc đăng ký bảo hộ cần được tính đến đồng thời với công bố khoa học.</w:t>
      </w:r>
    </w:p>
    <w:p>
      <w:pPr/>
      <w:r>
        <w:t>Cần lưu ý về thời gian áp dụng. Luật Khoa học, công nghệ và đổi mới sáng tạo số 93/2025/QH15 có hiệu lực từ ngày 01/10/2025, trong khi Luật số 131/2025/QH15 sửa đổi Luật Sở hữu trí tuệ, Thông tư số 20/2026/TT-BGDĐT và Quyết định số 1624/QĐ-TTg đều có hiệu lực sau giai đoạn dữ liệu 2021–2025. Vì vậy, các văn bản ban hành năm 2026 được dùng làm chuẩn tham chiếu hiện hành để xem Trường cần hoàn thiện gì từ năm 2026 trở đi, không dùng để kết luận Trường đã không tuân thủ trong giai đoạn trước.</w:t>
      </w:r>
    </w:p>
    <w:p>
      <w:pPr>
        <w:pStyle w:val="Heading2"/>
      </w:pPr>
      <w:r>
        <w:t>2.3.1. Ghi nhận tài sản trí tuệ</w:t>
      </w:r>
    </w:p>
    <w:p>
      <w:pPr/>
      <w:r>
        <w:rPr>
          <w:rFonts w:ascii="Times New Roman" w:hAnsi="Times New Roman" w:eastAsia="Times New Roman"/>
        </w:rPr>
        <w:t>Danh sách do Trường cung cấp có 16 đối tượng sở hữu trí tuệ nếu tính toàn bộ chủ sở hữu và toàn bộ thời gian. Sau khi loại các tài sản thuộc Công ty UNIGO, Trường UNIGO hoặc cá nhân, còn 12 đối tượng mà Trường Đại học Thành Đô là chủ sở hữu hoặc đồng sở hữu; trong đó 11 đối tượng thuộc giai đoạn 2021–2025. Đây là phạm vi phù hợp để đánh giá trực tiếp kết quả xác lập quyền của Trường trong giai đoạn nghiên cứu.</w:t>
      </w:r>
    </w:p>
    <w:p>
      <w:pPr/>
      <w:r>
        <w:rPr>
          <w:rFonts w:ascii="Times New Roman" w:hAnsi="Times New Roman" w:eastAsia="Times New Roman"/>
        </w:rPr>
        <w:t>Cơ cấu 11 đối tượng gồm 2 đăng ký quyền tác giả, 3 nhãn hiệu, 5 kiểu dáng công nghiệp và 1 sáng chế được ghi trong danh mục nội bộ. Chín đối tượng đã có số đăng ký hoặc ký mã hiệu trong danh sách Trường cung cấp. Nhãn hiệu Double2n mới được ghi ở trạng thái tiếp nhận đơn; sáng chế liên quan đến cây Quế hoa năm 2025 chưa có số đơn hoặc số văn bằng trong danh sách. Vì vậy, hai trường hợp này không được tính như quyền đã được cấp.</w:t>
      </w:r>
    </w:p>
    <w:p>
      <w:pPr>
        <w:pStyle w:val="CaptionVN"/>
        <w:jc w:val="center"/>
      </w:pPr>
      <w:r>
        <w:rPr>
          <w:rFonts w:ascii="Times New Roman" w:hAnsi="Times New Roman" w:eastAsia="Times New Roman"/>
          <w:b/>
        </w:rPr>
        <w:t>Bảng 2.4. Cơ cấu tài sản sở hữu trí tuệ trực tiếp của Trường giai đoạn 2021–2025</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226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Loại hình</w:t>
            </w:r>
          </w:p>
        </w:tc>
        <w:tc>
          <w:tcPr>
            <w:tcW w:type="dxa" w:w="1134"/>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Đặc điểm nổi bật</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Quyền tác giả</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Chủ yếu liên quan đến bộ nhận diện của Trường và hệ sinh thái giáo dục.</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Nhãn hiệu</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Gồm Thanh do University, Thado Edupark và Double2n; trong đó Double2n đang ở bước tiếp nhận đơn.</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Kiểu dáng công nghiệp</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Đều ghi nhận đồng sở hữu giữa Trường Đại học Thành Đô và Công ty Thanh Huế.</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Sáng chế</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Liên quan đến hợp chất và phương pháp chiết từ lá cây Quế hoa; danh sách nội bộ chưa ghi số đơn/văn bằng.</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Phản ánh sự kết hợp giữa tài sản thương hiệu, sản phẩm ứng dụng và kết quả nghiên cứu công nghệ.</w:t>
            </w:r>
          </w:p>
        </w:tc>
      </w:tr>
    </w:tbl>
    <w:p>
      <w:pPr>
        <w:pStyle w:val="SourceVN"/>
      </w:pPr>
      <w:r>
        <w:rPr>
          <w:rFonts w:ascii="Times New Roman" w:hAnsi="Times New Roman" w:eastAsia="Times New Roman"/>
          <w:i/>
        </w:rPr>
        <w:t>Nguồn: Danh sách sở hữu trí tuệ do Trường Đại học Thành Đô cung cấp.</w:t>
      </w:r>
    </w:p>
    <w:p>
      <w:pPr>
        <w:jc w:val="center"/>
      </w:pPr>
      <w:r>
        <w:drawing>
          <wp:inline xmlns:a="http://schemas.openxmlformats.org/drawingml/2006/main" xmlns:pic="http://schemas.openxmlformats.org/drawingml/2006/picture">
            <wp:extent cx="5577840" cy="3116628"/>
            <wp:docPr id="5" name="Picture 5"/>
            <wp:cNvGraphicFramePr>
              <a:graphicFrameLocks noChangeAspect="1"/>
            </wp:cNvGraphicFramePr>
            <a:graphic>
              <a:graphicData uri="http://schemas.openxmlformats.org/drawingml/2006/picture">
                <pic:pic>
                  <pic:nvPicPr>
                    <pic:cNvPr id="0" name="hinh_2_2_portfolio_v2.png"/>
                    <pic:cNvPicPr/>
                  </pic:nvPicPr>
                  <pic:blipFill>
                    <a:blip r:embed="rId17"/>
                    <a:stretch>
                      <a:fillRect/>
                    </a:stretch>
                  </pic:blipFill>
                  <pic:spPr>
                    <a:xfrm>
                      <a:off x="0" y="0"/>
                      <a:ext cx="5577840" cy="3116628"/>
                    </a:xfrm>
                    <a:prstGeom prst="rect"/>
                  </pic:spPr>
                </pic:pic>
              </a:graphicData>
            </a:graphic>
          </wp:inline>
        </w:drawing>
      </w:r>
    </w:p>
    <w:p>
      <w:pPr>
        <w:pStyle w:val="CaptionVN"/>
        <w:jc w:val="center"/>
      </w:pPr>
      <w:r>
        <w:rPr>
          <w:rFonts w:ascii="Times New Roman" w:hAnsi="Times New Roman" w:eastAsia="Times New Roman"/>
          <w:b/>
        </w:rPr>
        <w:t>Hình 2.2. Cơ cấu các loại tài sản sở hữu trí tuệ trực tiếp của Trường giai đoạn 2021–2025</w:t>
      </w:r>
    </w:p>
    <w:p>
      <w:pPr>
        <w:pStyle w:val="SourceVN"/>
      </w:pPr>
      <w:r>
        <w:rPr>
          <w:rFonts w:ascii="Times New Roman" w:hAnsi="Times New Roman" w:eastAsia="Times New Roman"/>
          <w:i/>
        </w:rPr>
        <w:t>Nguồn: Tính toán từ danh sách sở hữu trí tuệ do Trường cung cấp.</w:t>
      </w:r>
    </w:p>
    <w:p>
      <w:pPr/>
      <w:r>
        <w:rPr>
          <w:rFonts w:ascii="Times New Roman" w:hAnsi="Times New Roman" w:eastAsia="Times New Roman"/>
        </w:rPr>
        <w:t>Cơ cấu trên cho thấy Trường đã có kết quả thực tế trong đăng ký quyền sở hữu trí tuệ, đặc biệt là kiểu dáng công nghiệp gắn với doanh nghiệp đối tác. Năm kiểu dáng công nghiệp đều có Công ty Thanh Huế cùng đứng tên, cho thấy hoạt động đồng sáng tạo giữa Trường và doanh nghiệp đã xuất hiện. Các nhãn hiệu và quyền tác giả lại phục vụ nhiều hơn cho việc nhận diện thương hiệu và hệ sinh thái giáo dục. Sáng chế về Quế hoa cho thấy khả năng hình thành tài sản công nghệ sâu hơn từ hoạt động nghiên cứu dược liệu.</w:t>
      </w:r>
    </w:p>
    <w:p>
      <w:pPr>
        <w:pStyle w:val="Heading2"/>
      </w:pPr>
      <w:r>
        <w:t>2.3.2. Xem xét khả năng bảo hộ</w:t>
      </w:r>
    </w:p>
    <w:p>
      <w:pPr/>
      <w:r>
        <w:rPr>
          <w:rFonts w:ascii="Times New Roman" w:hAnsi="Times New Roman" w:eastAsia="Times New Roman"/>
        </w:rPr>
        <w:t>Tuy nhiên, khi xem xét quá trình từ kết quả nghiên cứu đến đăng ký quyền, dữ liệu hiện có còn thiếu ở một số bước quan trọng. Quy chế năm 2024 yêu cầu có quy trình và biểu mẫu ghi nhận, khai báo tài sản mới; đồng thời yêu cầu cân nhắc khả năng bảo hộ trước khi công bố. Trong bộ hồ sơ phục vụ nghiên cứu hiện chưa thấy phiếu khai báo tài sản trí tuệ hoặc hồ sơ thể hiện việc tra cứu, đánh giá khả năng bảo hộ trước khi nộp đơn.</w:t>
      </w:r>
    </w:p>
    <w:p>
      <w:pPr>
        <w:pStyle w:val="Heading2"/>
      </w:pPr>
      <w:r>
        <w:t>2.3.3. Đăng ký và theo dõi hồ sơ</w:t>
      </w:r>
    </w:p>
    <w:p>
      <w:pPr/>
      <w:r>
        <w:t>Quy chế hoạt động khoa học và công nghệ năm 2021 đã quy định quy trình nộp hồ sơ qua Phòng Khoa học và Công nghệ, kiểm tra, trình ký và nộp cơ quan nhà nước. Danh mục của Trường cho thấy quy trình này đã tạo ra kết quả đăng ký thực tế. Tuy nhiên, hồ sơ nghiên cứu hiện có chưa cho phép theo dõi đầy đủ thời điểm tiếp nhận nội bộ, thời điểm quyết định đăng ký, ngày nộp đơn và lý do một số kết quả dừng lại trước khi nộp đơn.</w:t>
      </w:r>
    </w:p>
    <w:p>
      <w:pPr>
        <w:pStyle w:val="CaptionVN"/>
        <w:jc w:val="center"/>
      </w:pPr>
      <w:r>
        <w:rPr>
          <w:rFonts w:ascii="Times New Roman" w:hAnsi="Times New Roman" w:eastAsia="Times New Roman"/>
          <w:b/>
        </w:rPr>
        <w:t>Bảng 2.5. Đối chiếu một số khâu quản lý với bằng chứng hiện có</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Khâu quản lý</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Yêu cầu theo quy định nội bộ</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hiện có</w:t>
            </w:r>
          </w:p>
        </w:tc>
        <w:tc>
          <w:tcPr>
            <w:tcW w:type="dxa" w:w="243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Rủi ro cần lưu 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biểu mẫu, ghi nhận và theo dõi tài sản phát sinh.</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thấy phiếu khai báo hoặc sổ theo dõi thống nhất trong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thể bỏ sót kết quả có giá trị hoặc khó xác định thời điểm tài sản hình thành.</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Xem xét trước khi công bố</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cân nhắc khả năng bảo hộ trước khi bộc lộ công khai.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Một số đề tài vừa có bài báo vừa có công thức/quy trình dự kiến bảo hộ, nhưng chưa có hồ sơ đánh giá trước công bố.</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nguy cơ ảnh hưởng đến tính mới nếu công bố quá sớm.</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Nộp đơn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tiếp nhận, kiểm tra, trình ký và nộp hồ sơ.</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có kết quả đăng ký thực tế, nhưng thiếu dữ liệu về các bước xử lý nội bộ.</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đánh giá thời gian xử lý, trách nhiệm và lý do một số kết quả không tiếp tục đăng ký.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Theo dõi sau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thống kê, theo dõi tài sản thuộc sở hữu/đồng sở hữu của Trường.</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danh sách tổng hợp nhưng một số mục còn thiếu số đơn, tình trạng hoặc liên kết với đề tài nguồn.</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Dễ phân tán thông tin và khó theo dõi toàn bộ quá trình của tài sản.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chuyển giao</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phối hợp xúc tiến khai thác và ký hợp đồng phù hợp.</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giao/cấp phép hoặc chứng từ doanh thu trong bộ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chứng minh giá trị kinh tế và hiệu quả khai thác.</w:t>
            </w:r>
          </w:p>
        </w:tc>
      </w:tr>
    </w:tbl>
    <w:p>
      <w:pPr>
        <w:pStyle w:val="SourceVN"/>
      </w:pPr>
      <w:r>
        <w:rPr>
          <w:rFonts w:ascii="Times New Roman" w:hAnsi="Times New Roman" w:eastAsia="Times New Roman"/>
          <w:i/>
        </w:rPr>
        <w:t>Nguồn: Đối chiếu Quyết định số 213/QĐ-ĐHTĐ, Quyết định số 217/QĐ-ĐHTĐ và hồ sơ nghiên cứu.</w:t>
      </w:r>
    </w:p>
    <w:p>
      <w:pPr>
        <w:jc w:val="center"/>
      </w:pPr>
      <w:r>
        <w:drawing>
          <wp:inline xmlns:a="http://schemas.openxmlformats.org/drawingml/2006/main" xmlns:pic="http://schemas.openxmlformats.org/drawingml/2006/picture">
            <wp:extent cx="5806440" cy="3451754"/>
            <wp:docPr id="6" name="Picture 6"/>
            <wp:cNvGraphicFramePr>
              <a:graphicFrameLocks noChangeAspect="1"/>
            </wp:cNvGraphicFramePr>
            <a:graphic>
              <a:graphicData uri="http://schemas.openxmlformats.org/drawingml/2006/picture">
                <pic:pic>
                  <pic:nvPicPr>
                    <pic:cNvPr id="0" name="hinh_2_3_chuoi_v2.png"/>
                    <pic:cNvPicPr/>
                  </pic:nvPicPr>
                  <pic:blipFill>
                    <a:blip r:embed="rId18"/>
                    <a:stretch>
                      <a:fillRect/>
                    </a:stretch>
                  </pic:blipFill>
                  <pic:spPr>
                    <a:xfrm>
                      <a:off x="0" y="0"/>
                      <a:ext cx="5806440" cy="3451754"/>
                    </a:xfrm>
                    <a:prstGeom prst="rect"/>
                  </pic:spPr>
                </pic:pic>
              </a:graphicData>
            </a:graphic>
          </wp:inline>
        </w:drawing>
      </w:r>
    </w:p>
    <w:p>
      <w:pPr>
        <w:pStyle w:val="CaptionVN"/>
        <w:jc w:val="center"/>
      </w:pPr>
      <w:r>
        <w:rPr>
          <w:rFonts w:ascii="Times New Roman" w:hAnsi="Times New Roman" w:eastAsia="Times New Roman"/>
          <w:b/>
        </w:rPr>
        <w:t>Hình 2.3. Chuỗi quản lý tài sản trí tuệ và các khâu hiện còn thiếu hồ sơ để kiểm chứng</w:t>
      </w:r>
    </w:p>
    <w:p>
      <w:pPr>
        <w:pStyle w:val="SourceVN"/>
      </w:pPr>
      <w:r>
        <w:rPr>
          <w:i/>
        </w:rPr>
        <w:t>Nguồn: Tác giả xây dựng trên cơ sở chuỗi sáng tạo – xác lập – khai thác – bảo vệ quyền sở hữu trí tuệ của Chiến lược Sở hữu trí tuệ đến năm 2030, kết hợp Quyết định số 213/QĐ-ĐHTĐ, Quyết định số 217/QĐ-ĐHTĐ và kết quả rà soát hồ sơ giai đoạn 2021–2025.</w:t>
      </w:r>
    </w:p>
    <w:p>
      <w:pPr/>
      <w:r>
        <w:rPr>
          <w:rFonts w:ascii="Times New Roman" w:hAnsi="Times New Roman"/>
          <w:b w:val="0"/>
          <w:i w:val="0"/>
          <w:sz w:val="26"/>
        </w:rPr>
      </w:r>
      <w:r>
        <w:rPr>
          <w:rFonts w:ascii="Times New Roman" w:hAnsi="Times New Roman"/>
          <w:b w:val="0"/>
          <w:i w:val="0"/>
          <w:sz w:val="26"/>
        </w:rPr>
        <w:t>Hình 2.3 sử dụng bốn khâu của Chiến lược quốc gia - sáng tạo, xác lập, khai thác và bảo vệ - làm khung chính. Trên khung đó, nghiên cứu đánh dấu bốn điểm cần bổ sung bằng chứng tại Trường: khai báo và xem xét khả năng bảo hộ trước công bố; theo dõi thời gian xử lý đơn; quản lý dữ liệu sau khi quyền được xác lập; và hồ sơ chứng minh việc chuyển giao, cấp phép hoặc tạo doanh thu. Cách trình bày này giúp xác định rõ tài sản đang dừng ở bước nào mà không suy diễn rằng hoạt động không diễn ra chỉ vì hồ sơ chưa đầy đủ.</w:t>
      </w:r>
    </w:p>
    <w:p>
      <w:pPr/>
      <w:r>
        <w:rPr>
          <w:rFonts w:ascii="Times New Roman" w:hAnsi="Times New Roman" w:eastAsia="Times New Roman"/>
        </w:rPr>
        <w:t>Các điểm thiếu hồ sơ không đồng nghĩa với việc hoạt động tương ứng chắc chắn không diễn ra. Chẳng hạn, cán bộ hoặc giảng viên có thể đã trao đổi trực tiếp về khả năng đăng ký, nhưng nếu không có tài liệu lưu lại thì nghiên cứu không thể kiểm chứng cách quyết định được đưa ra. Vì vậy, hạn chế nổi bật ở đây là khả năng theo dõi lại quá trình quản lý, chứ chưa thể kết luận ngay rằng Trường không thực hiện các bước này.</w:t>
      </w:r>
    </w:p>
    <w:p>
      <w:pPr>
        <w:pStyle w:val="Heading1"/>
      </w:pPr>
      <w:r>
        <w:rPr>
          <w:rFonts w:ascii="Times New Roman" w:hAnsi="Times New Roman" w:eastAsia="Times New Roman"/>
        </w:rPr>
        <w:t>2.4. Thực trạng sử dụng, chuyển giao và khai thác tài sản trí tuệ</w:t>
      </w:r>
    </w:p>
    <w:p>
      <w:pPr/>
      <w:r>
        <w:t>Từ hồ sơ 38 đề tài, có 25 kết quả thuộc 18 đề tài được ghi nhận có dấu hiệu ứng dụng; ngoài ra có 1 kết quả mới ở trạng thái dự kiến ứng dụng. Hai nhóm này được giữ riêng để tránh làm tăng mức độ ứng dụng so với bằng chứng thực tế. Trong 25 kết quả có dấu hiệu ứng dụng, mức độ chứng minh cũng khác nhau: có trường hợp hồ sơ chỉ nêu địa chỉ hoặc khả năng ứng dụng; có trường hợp ghi sản phẩm được dùng tại Trường; nhưng chưa có đủ hợp đồng hoặc chứng từ để xác nhận chuyển giao hay thương mại hóa.</w:t>
      </w:r>
    </w:p>
    <w:p>
      <w:pPr/>
      <w:r>
        <w:rPr>
          <w:rFonts w:ascii="Times New Roman" w:hAnsi="Times New Roman" w:eastAsia="Times New Roman"/>
        </w:rPr>
        <w:t>Nghiên cứu sử dụng bốn mức để phân biệt mức độ xác minh. Mức 1 là hồ sơ đề tài có ghi khả năng hoặc định hướng ứng dụng. Mức 2 là có bằng chứng cho thấy sản phẩm thực tế được dùng trong giảng dạy, nghiên cứu hoặc vận hành nội bộ. Mức 3 là có hợp đồng hoặc tài liệu xác nhận việc chuyển giao, cấp phép hay cho bên khác sử dụng. Mức 4 là có chứng từ tài chính chứng minh tài sản đã tạo doanh thu hoặc lợi ích kinh tế có thể xác định. Với dữ liệu hiện có, 25 kết quả mới chắc chắn được ghi nhận ở mức có dấu hiệu ứng dụng trong hồ sơ; chưa đủ tài liệu để tính số trường hợp ở mức chuyển giao và thương mại hóa theo nghĩa chặt chẽ.</w:t>
      </w:r>
    </w:p>
    <w:p>
      <w:pPr>
        <w:pStyle w:val="CaptionVN"/>
        <w:jc w:val="center"/>
      </w:pPr>
      <w:r>
        <w:rPr>
          <w:rFonts w:ascii="Times New Roman" w:hAnsi="Times New Roman" w:eastAsia="Times New Roman"/>
          <w:b/>
        </w:rPr>
        <w:t>Bảng 2.6. Bốn mức xác minh việc sử dụng và khai thác tài sản trí tuệ</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680"/>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Mức</w:t>
            </w:r>
          </w:p>
        </w:tc>
        <w:tc>
          <w:tcPr>
            <w:tcW w:type="dxa" w:w="238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51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cần có</w:t>
            </w:r>
          </w:p>
        </w:tc>
        <w:tc>
          <w:tcPr>
            <w:tcW w:type="dxa" w:w="328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dữ liệu hiện nay</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dấu hiệu ứng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Hồ sơ nghiệm thu nêu khả năng ứng dụng, địa chỉ ứng dụng hoặc sản phẩm dùng tại Trường.</w:t>
            </w:r>
          </w:p>
        </w:tc>
        <w:tc>
          <w:tcPr>
            <w:tcW w:type="dxa" w:w="3288"/>
            <w:vAlign w:val="center"/>
          </w:tcPr>
          <w:p>
            <w:r>
              <w:rPr>
                <w:rFonts w:ascii="Times New Roman" w:hAnsi="Times New Roman"/>
                <w:sz w:val="21"/>
              </w:rPr>
              <w:t>Đã ghi nhận 25 kết quả thuộc 18 đề tài. Ngoài ra có 1 kết quả ở trạng thái dự kiến ứng dụng và được theo dõi riêng.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sử dụng thực tế</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Biên bản bàn giao, kế hoạch môn học, số lượt sử dụng, đơn vị sử dụng hoặc tài liệu tương đương.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tổng hợp đủ để xác định số lượng.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chuyển giao hoặc cấp quyền sử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chuyển giao, hợp đồng li-xăng, biên bản giao nhận có nội dung quyền sử dụng.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4</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thương mại hóa và tạo doanh thu</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kinh tế, hóa đơn, doanh thu, chứng từ phân chia lợi ích.</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bl>
    <w:p>
      <w:pPr>
        <w:pStyle w:val="SourceVN"/>
      </w:pPr>
      <w:r>
        <w:rPr>
          <w:i/>
        </w:rPr>
        <w:t>Nguồn: Khung phân loại do tác giả đề xuất để phân biệt mức độ sử dụng thực tế và mức độ chứng minh bằng hồ sơ.</w:t>
      </w:r>
    </w:p>
    <w:p>
      <w:pPr/>
      <w:r>
        <w:rPr>
          <w:rFonts w:ascii="Times New Roman" w:hAnsi="Times New Roman" w:eastAsia="Times New Roman"/>
        </w:rPr>
        <w:t>Cách phân biệt này đặc biệt quan trọng đối với trường đại học. Không phải tài sản nào cũng phải tạo doanh thu mới có giá trị. Mô hình thực hành, bộ mẫu dược liệu, tiêu bản hiển vi hoặc học liệu có thể tạo giá trị trực tiếp cho đào tạo nếu giúp sinh viên được thực hành tốt hơn, tăng số lượt sử dụng thiết bị hoặc giảm nhu cầu mua sắm từ bên ngoài. Để lượng hóa loại giá trị này, cần bổ sung các chỉ số như số học phần sử dụng, số lượt sinh viên tiếp cận, thời gian sử dụng và chi phí mua thiết bị/sản phẩm tương đương trên thị trường.</w:t>
      </w:r>
    </w:p>
    <w:p>
      <w:pPr/>
      <w:r>
        <w:rPr>
          <w:rFonts w:ascii="Times New Roman" w:hAnsi="Times New Roman" w:eastAsia="Times New Roman"/>
        </w:rPr>
        <w:t>Trong bối cảnh Thado EduPark, giá trị sử dụng còn có thể được xem xét ở phạm vi rộng hơn. Các đơn vị trong hệ sinh thái, người học ở các bậc khác nhau và doanh nghiệp liên kết có thể trở thành nơi thử nghiệm hoặc phản hồi cho sản phẩm nghiên cứu. Đây là lợi thế tiềm năng của mô hình hệ sinh thái giáo dục mở. Tuy nhiên, hiện chưa thấy một cơ chế thống nhất để tiếp nhận sản phẩm nghiên cứu, tổ chức thử nghiệm, ghi nhận phản hồi, xác định quyền sở hữu và quyết định bước khai thác tiếp theo. Vì vậy, lợi thế của hệ sinh thái mới đang thể hiện ở điều kiện và cơ hội, chưa thể khẳng định đã được tổ chức thành một mô hình vận hành hoàn chỉnh.</w:t>
      </w:r>
    </w:p>
    <w:p>
      <w:pPr>
        <w:pStyle w:val="Heading1"/>
      </w:pPr>
      <w:r>
        <w:rPr>
          <w:rFonts w:ascii="Times New Roman" w:hAnsi="Times New Roman" w:eastAsia="Times New Roman"/>
        </w:rPr>
        <w:t>2.5. Phân tích một số trường hợp điển hình</w:t>
      </w:r>
    </w:p>
    <w:p>
      <w:pPr/>
      <w:r>
        <w:rPr>
          <w:rFonts w:ascii="Times New Roman" w:hAnsi="Times New Roman" w:eastAsia="Times New Roman"/>
        </w:rPr>
        <w:t>Sáu trường hợp dưới đây được chọn vì thể hiện những con đường khác nhau từ kết quả nghiên cứu đến bảo hộ hoặc sử dụng. Mục đích của việc phân tích không phải để đại diện cho toàn bộ 38 đề tài, mà để chỉ ra cụ thể chỗ nào trong quá trình quản lý đang rõ và chỗ nào cần được làm sáng tỏ thêm.</w:t>
      </w:r>
    </w:p>
    <w:p>
      <w:pPr>
        <w:pStyle w:val="CaptionVN"/>
        <w:jc w:val="center"/>
      </w:pPr>
      <w:r>
        <w:rPr>
          <w:rFonts w:ascii="Times New Roman" w:hAnsi="Times New Roman" w:eastAsia="Times New Roman"/>
          <w:b/>
        </w:rPr>
        <w:t>Bảng 2.7. Sáu trường hợp điển hình và vấn đề cần làm rõ</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Trường hợp</w:t>
            </w:r>
          </w:p>
        </w:tc>
        <w:tc>
          <w:tcPr>
            <w:tcW w:type="dxa" w:w="255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Kết quả chính</w:t>
            </w:r>
          </w:p>
        </w:tc>
        <w:tc>
          <w:tcPr>
            <w:tcW w:type="dxa" w:w="311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sở hữu trí tuệ hiện biết</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Vấn đề cần làm rõ</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vỏ bưởi</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bài báo và ghi nhận chuyển giao cho Trường để thương mại hóa.</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kiểu dáng công nghiệp “Tinh dầu vỏ bưởi đào” đồng sở hữu với Công ty Thanh Huế.</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Mối liên hệ giữa đề tài và kiểu dáng; có bảo hộ quy trình/công thức hay không; “chuyển giao” trong hồ sơ là bàn giao nội bộ hay giao dịch với thị trường.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Quế hoa</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Nghiên cứu chiết xuất và đánh giá hoạt tính; giai đoạn sau hướng tới sáng chế.</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nội bộ có sáng chế liên quan trực tiếp đến Osmanthus fragrans nhưng chưa ghi số đơn/văn bằng.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pháp lý hiện tại, ngày nộp đơn, nguồn kinh phí và cách phối hợp giữa tác giả với Phòng KHCN.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Xà phòng tảo biển</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200 bánh xà phòng, quy trình, công thức và bài báo.</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tra cứu khả năng bảo hộ chưa; vì sao chưa đăng ký; sản phẩm đã được sử dụng hoặc thử nghiệm ở mức nào.</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Cồn xoa bóp</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thức mới và 50 chai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nộp đơn sau nghiệm thu hay chưa; thời điểm công bố bài báo so với thời điểm xem xét bảo hộ.</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Viên ngậm Gừng – Húng chanh</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mới và 50 thanh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nộp đơn; kết quả tra cứu tính mới; bằng chứng thử nghiệm và sử dụng.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kiểm tra hệ thống khởi động ô tô</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phục vụ kiểm tra và sửa chữa hệ thống khởi động điện.</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Mức độ sử dụng trong đào tạo, số lượt sinh viên sử dụng và chi phí thiết bị tương đương nếu phải mua ngoài.</w:t>
            </w:r>
          </w:p>
        </w:tc>
      </w:tr>
    </w:tbl>
    <w:p>
      <w:pPr>
        <w:pStyle w:val="SourceVN"/>
      </w:pPr>
      <w:r>
        <w:rPr>
          <w:rFonts w:ascii="Times New Roman" w:hAnsi="Times New Roman" w:eastAsia="Times New Roman"/>
          <w:i/>
        </w:rPr>
        <w:t>Nguồn: Hồ sơ đề tài cấp cơ sở, danh sách sở hữu trí tuệ do Trường cung cấp và dữ liệu nghiên cứu.</w:t>
      </w:r>
    </w:p>
    <w:p>
      <w:pPr/>
      <w:r>
        <w:rPr>
          <w:rFonts w:ascii="Times New Roman" w:hAnsi="Times New Roman" w:eastAsia="Times New Roman"/>
        </w:rPr>
        <w:t>Trường hợp tinh dầu vỏ bưởi cho thấy rõ nhất sự tham gia của doanh nghiệp. Đề tài tạo ra sản phẩm tinh dầu và hồ sơ nghiệm thu còn ghi “sản phẩm chuyển giao công nghệ cho Trường Đại học Thành Đô thương mại hóa”. Sau đó, danh mục sở hữu trí tuệ xuất hiện kiểu dáng công nghiệp “Tinh dầu vỏ bưởi đào” do Trường và Công ty Thanh Huế đồng sở hữu. Đây là dấu hiệu tích cực về hợp tác giữa nhà trường và doanh nghiệp. Tuy nhiên, kiểu dáng công nghiệp tập trung vào hình dáng bên ngoài của sản phẩm, trong khi đề tài còn có nội dung về chiết xuất tinh dầu. Danh mục hiện có chưa cho thấy hồ sơ sáng chế hoặc giải pháp hữu ích cho quy trình chiết xuất. Vì vậy, cần làm rõ Trường đã đánh giá khả năng bảo hộ phần kỹ thuật của kết quả này hay chưa. Đồng thời, cụm từ “chuyển giao để thương mại hóa” trong biên bản nghiệm thu cũng cần được phân biệt với một hợp đồng chuyển giao hoặc giao dịch thương mại thực sự.</w:t>
      </w:r>
    </w:p>
    <w:p>
      <w:pPr/>
      <w:r>
        <w:rPr>
          <w:rFonts w:ascii="Times New Roman" w:hAnsi="Times New Roman" w:eastAsia="Times New Roman"/>
        </w:rPr>
        <w:t>Trường hợp Quế hoa có mối liên hệ rõ nhất giữa đề tài và đối tượng sáng chế. Tên sáng chế trong danh mục nội bộ trùng trực tiếp với cây Osmanthus fragrans và phương pháp chiết hợp chất từ lá, phù hợp với nội dung đề tài. Đây là tín hiệu cho thấy một kết quả nghiên cứu chuyên sâu có thể đi đến bước bảo hộ công nghệ. Tuy vậy, danh mục hiện chưa có số đơn hoặc số văn bằng. Vì thế, chưa thể kết luận hồ sơ đang ở bước nào. Những khả năng như chậm nộp đơn, thiếu kinh phí hay phối hợp chưa tốt chỉ là giả thuyết cần được kiểm tra qua hồ sơ gốc và phỏng vấn, không nên coi là nguyên nhân đã được chứng minh.</w:t>
      </w:r>
    </w:p>
    <w:p>
      <w:pPr/>
      <w:r>
        <w:t>Ba trường hợp xà phòng tảo biển, cồn xoa bóp và viên ngậm thảo dược có điểm chung là đều tạo ra sản phẩm vật chất cùng với quy trình hoặc công thức. Đây là nhóm kết quả cần được xem xét khả năng bảo hộ sớm, nhất là trước khi công bố bài báo. Theo định hướng hiện hành của Chiến lược Sở hữu trí tuệ đến năm 2030, các cơ sở giáo dục khối kỹ thuật, công nghệ cần tính đến thủ tục đăng ký bảo hộ đồng thời với công bố khoa học đối với kết quả có tính ứng dụng cao. Vì định hướng này được bổ sung năm 2026, nghiên cứu chỉ dùng nó để xác định yêu cầu quản trị trong giai đoạn tới. Đối với ba trường hợp nêu trên, cần làm rõ thời điểm nhóm nghiên cứu bắt đầu nghĩ đến việc bảo hộ, có tra cứu tính mới trước công bố hay không, kinh phí nộp đơn được bố trí từ nguồn nào và sản phẩm đã được thử nghiệm hoặc sử dụng ở mức nào.</w:t>
      </w:r>
    </w:p>
    <w:p>
      <w:pPr/>
      <w:r>
        <w:rPr>
          <w:rFonts w:ascii="Times New Roman" w:hAnsi="Times New Roman" w:eastAsia="Times New Roman"/>
        </w:rPr>
        <w:t>Trường hợp mô hình kiểm tra hệ thống khởi động ô tô cho thấy một dạng giá trị khác. Mô hình có thể hữu ích ngay trong đào tạo mà không nhất thiết phải tạo doanh thu hoặc có văn bằng độc quyền. Nếu mô hình được dùng thường xuyên cho các học phần thực hành, nó tạo giá trị thông qua nâng cao điều kiện học tập và có thể giúp Trường giảm chi phí mua thiết bị tương đương. Do đó, hiệu quả của loại tài sản này nên được đánh giá bằng mức độ sử dụng, số người học hưởng lợi và chi phí thay thế, thay vì chỉ hỏi có được cấp bằng bảo hộ hay không.</w:t>
      </w:r>
    </w:p>
    <w:p>
      <w:pPr/>
      <w:r>
        <w:rPr>
          <w:rFonts w:ascii="Times New Roman" w:hAnsi="Times New Roman" w:eastAsia="Times New Roman"/>
        </w:rPr>
        <w:t>Nhìn chung, sáu trường hợp cho thấy điểm dừng của mỗi tài sản khác nhau. Có trường hợp đã hình thành quyền cùng doanh nghiệp; có trường hợp đang hướng tới sáng chế; có trường hợp mới dừng ở sản phẩm, quy trình hoặc ứng dụng trong đào tạo. Điều này cho thấy Trường cần một cách quản lý linh hoạt theo từng loại tài sản, thay vì áp dụng một quy trình giống nhau cho mọi kết quả nghiên cứu.</w:t>
      </w:r>
    </w:p>
    <w:p>
      <w:pPr/>
      <w:r>
        <w:t>Để kiểm chứng những nội dung mà hồ sơ chưa phản ánh đầy đủ, nhóm nghiên cứu đã xây dựng bộ câu hỏi phỏng vấn bán cấu trúc gồm 15 câu. Người được phỏng vấn dự kiến gồm cán bộ lãnh đạo và cán bộ phụ trách khoa học - công nghệ, chủ nhiệm hoặc tác giả của các trường hợp điển hình, đại diện doanh nghiệp đối tác và chuyên gia sở hữu trí tuệ. Phỏng vấn tập trung làm rõ ai là người phát hiện kết quả cần bảo hộ, cách lựa chọn hình thức bảo hộ, thời điểm công bố bài báo, nguồn kinh phí nộp đơn, cách xác định quyền sở hữu và việc sử dụng hoặc chuyển giao sau khi có kết quả nghiên cứu. Mục đích là tái dựng quá trình ra quyết định trên thực tế và phân biệt giữa việc thiếu hồ sơ lưu trữ với việc một hoạt động thực sự chưa được thực hiện.</w:t>
      </w:r>
    </w:p>
    <w:p>
      <w:pPr>
        <w:pStyle w:val="Heading1"/>
      </w:pPr>
      <w:r>
        <w:rPr>
          <w:rFonts w:ascii="Times New Roman" w:hAnsi="Times New Roman" w:eastAsia="Times New Roman"/>
        </w:rPr>
        <w:t>2.6. Đánh giá chung về công tác quản lý sở hữu trí tuệ</w:t>
      </w:r>
    </w:p>
    <w:p>
      <w:pPr>
        <w:pStyle w:val="Heading2"/>
      </w:pPr>
      <w:r>
        <w:t>2.6.1. Kết quả đạt được</w:t>
      </w:r>
    </w:p>
    <w:p>
      <w:pPr/>
      <w:r>
        <w:t>Trường đã hình thành nền tảng thể chế tương đối đầy đủ cho quản lý sở hữu trí tuệ, từ Quy chế khoa học và công nghệ năm 2021 đến Quy chế quản trị tài sản trí tuệ năm 2024. Hoạt động nghiên cứu cũng tạo ra nhiều loại kết quả khác nhau. Sau khi loại báo cáo tổng kết bắt buộc, 24/56 kết quả nghiên cứu thực chất, tương đương 42,86%, được xác định là có khả năng hình thành tài sản trí tuệ cần xem xét tiếp. Danh mục trực tiếp của Trường giai đoạn 2021–2025 đã có quyền tác giả, nhãn hiệu, kiểu dáng công nghiệp và sáng chế được ghi nhận trong danh mục nội bộ. Sự đồng sở hữu năm kiểu dáng công nghiệp với doanh nghiệp cho thấy hợp tác tạo lập tài sản đã có kết quả cụ thể.</w:t>
      </w:r>
    </w:p>
    <w:p>
      <w:pPr/>
      <w:r>
        <w:rPr>
          <w:rFonts w:ascii="Times New Roman" w:hAnsi="Times New Roman" w:eastAsia="Times New Roman"/>
        </w:rPr>
        <w:t>Một điểm đáng chú ý khác là môi trường tạo ra tài sản không chỉ nằm trong hoạt động nghiên cứu thuần túy. Sản phẩm có thể hình thành từ phòng thực hành, hoạt động giảng dạy, hợp tác doanh nghiệp và các đơn vị trong hệ sinh thái. Chiến lược Thado EduPark cũng xác định hướng phát triển hệ sinh thái giáo dục mở, kết nối học tập với trải nghiệm thực tế và doanh nghiệp. Điều này tạo điều kiện thuận lợi để Trường phát triển mô hình thử nghiệm và ứng dụng tài sản trí tuệ ngay trong hệ sinh thái trước khi mở rộng ra bên ngoài.</w:t>
      </w:r>
    </w:p>
    <w:p>
      <w:pPr>
        <w:pStyle w:val="Heading2"/>
      </w:pPr>
      <w:r>
        <w:t>2.6.2. Hạn chế chính</w:t>
      </w:r>
    </w:p>
    <w:p>
      <w:pPr/>
      <w:r>
        <w:t>Thứ nhất, hệ thống hồ sơ chưa cho phép theo dõi đầy đủ từ lúc kết quả nghiên cứu xuất hiện đến khi quyết định bảo hộ. Chưa thấy biểu mẫu khai báo tài sản mới và hồ sơ đánh giá khả năng bảo hộ trong bộ tài liệu nghiên cứu đang sử dụng. Thứ hai, một số đề tài vừa có bài báo vừa có công thức hoặc quy trình dự kiến đăng ký, làm xuất hiện nguy cơ công bố trước khi hoàn tất việc xem xét quyền sở hữu trí tuệ. Thứ ba, dữ liệu về đơn, văn bằng, đề tài nguồn, tình trạng sử dụng và khai thác còn nằm ở nhiều danh sách khác nhau, nên khó theo dõi toàn bộ quá trình của một tài sản. Thứ tư, chưa có hợp đồng chuyển giao, cấp phép hoặc chứng từ tài chính trong bộ hồ sơ hiện tại để chứng minh mức độ thương mại hóa.</w:t>
      </w:r>
    </w:p>
    <w:p>
      <w:pPr/>
      <w:r>
        <w:rPr>
          <w:rFonts w:ascii="Times New Roman" w:hAnsi="Times New Roman" w:eastAsia="Times New Roman"/>
        </w:rPr>
        <w:t>Về nguồn lực thực thi, quy chế đã giao trách nhiệm và có cơ chế chi, khen thưởng, phân chia lợi ích, nhưng hồ sơ hiện có chưa cho biết rõ số cán bộ chuyên trách về sở hữu trí tuệ, trình độ chuyên môn của người phụ trách và ngân sách riêng cho việc đăng ký, duy trì quyền. Vì vậy, chưa thể kết luận thiếu nhân lực hay thiếu kinh phí là nguyên nhân chính. Đây là những nội dung cần được xác minh bằng phỏng vấn và dữ liệu tài chính trước khi đưa vào phần nguyên nhân.</w:t>
      </w:r>
    </w:p>
    <w:p>
      <w:pPr/>
      <w:r>
        <w:rPr>
          <w:rFonts w:ascii="Times New Roman" w:hAnsi="Times New Roman" w:eastAsia="Times New Roman"/>
        </w:rPr>
        <w:t>Ở góc độ hệ sinh thái, hạn chế lớn là các hoạt động nghiên cứu, thử nghiệm, bảo hộ và khai thác chưa được chứng minh là đã kết nối thành một quy trình chung giữa Trường Đại học Thành Đô, các đơn vị trong hệ sinh thái và doanh nghiệp đối tác. Nói cách khác, các yếu tố của một không gian sáng tạo mở đã xuất hiện, nhưng cơ chế vận hành tài sản trí tuệ xuyên suốt giữa các đơn vị chưa thể hiện rõ trong hồ sơ hiện có. Đây là khoảng trống cần ưu tiên xử lý nếu Trường muốn tận dụng lợi thế của hệ sinh thái giáo dục liên cấp.</w:t>
      </w:r>
    </w:p>
    <w:p>
      <w:pPr>
        <w:pStyle w:val="Heading2"/>
      </w:pPr>
      <w:r>
        <w:t>2.6.3. Các vấn đề cần giải quyết</w:t>
      </w:r>
    </w:p>
    <w:p>
      <w:pPr/>
      <w:r>
        <w:rPr>
          <w:rFonts w:ascii="Times New Roman" w:hAnsi="Times New Roman" w:eastAsia="Times New Roman"/>
        </w:rPr>
      </w:r>
      <w:r>
        <w:rPr>
          <w:b/>
        </w:rPr>
        <w:t>Vấn đề 1 - Thể chế và quy trình thực hiện.</w:t>
      </w:r>
      <w:r>
        <w:t xml:space="preserve"> Trường cần chuẩn hóa việc khai báo tài sản mới ngay từ khi nghiệm thu hoặc khi kết quả nghiên cứu hình thành; đồng thời có bước xem xét khả năng bảo hộ trước khi công bố bài báo hoặc đưa sản phẩm ra sử dụng. Quy trình cần xác định rõ người chịu trách nhiệm, thời hạn xử lý và hồ sơ phải lưu ở từng bước.</w:t>
      </w:r>
    </w:p>
    <w:p>
      <w:pPr/>
      <w:r>
        <w:rPr>
          <w:b/>
        </w:rPr>
        <w:t>Vấn đề 2 - Nguồn lực và động lực sáng tạo.</w:t>
      </w:r>
      <w:r>
        <w:t xml:space="preserve"> Cần làm rõ đầu mối chuyên môn về sở hữu trí tuệ, nhu cầu đào tạo cán bộ, nguồn kinh phí dành cho tra cứu, nộp đơn và duy trì quyền; đồng thời hoàn thiện cơ chế khen thưởng và phân chia lợi ích để khuyến khích giảng viên chủ động bảo hộ và khai thác kết quả nghiên cứu.</w:t>
      </w:r>
    </w:p>
    <w:p>
      <w:pPr/>
      <w:r>
        <w:rPr>
          <w:b/>
        </w:rPr>
        <w:t>Vấn đề 3 - Dữ liệu và quản lý tập trung.</w:t>
      </w:r>
      <w:r>
        <w:t xml:space="preserve"> Cần xây dựng cơ sở dữ liệu theo dõi thống nhất từ mã đề tài, kết quả nghiên cứu, tác giả, chủ sở hữu, đơn hoặc văn bằng, chi phí, thời hạn hiệu lực đến tình trạng sử dụng và đối tác khai thác. Đây cũng là hướng giúp Trường đáp ứng yêu cầu về ghi nhận, lưu trữ và phân tích tài sản trí tuệ trong các chuẩn quản lý hiện hành.</w:t>
      </w:r>
    </w:p>
    <w:p>
      <w:pPr/>
      <w:r>
        <w:rPr>
          <w:b/>
        </w:rPr>
        <w:t>Vấn đề 4 - Không gian thử nghiệm và khai thác trong hệ sinh thái.</w:t>
      </w:r>
      <w:r>
        <w:t xml:space="preserve"> Cần xây dựng cơ chế để các sản phẩm nghiên cứu phù hợp được thử nghiệm trong phòng thực hành, các đơn vị giáo dục thuộc hệ sinh thái Thado EduPark hoặc cùng doanh nghiệp đối tác; đồng thời quy định rõ cách ghi nhận kết quả thử nghiệm, quyền sở hữu, trách nhiệm của các bên và phương án chuyển sang khai thác rộng hơn nếu sản phẩm chứng minh được giá trị.</w:t>
      </w:r>
    </w:p>
    <w:p>
      <w:pPr/>
      <w:r>
        <w:t>Để việc đánh giá không chỉ dừng ở hai quy chế nội bộ, nghiên cứu đối chiếu thêm với các yêu cầu cấp quốc gia hiện hành. Bảng dưới đây tập trung vào những nội dung liên quan trực tiếp đến trường đại học: quyền đăng ký đối với kết quả nhiệm vụ dùng ngân sách nhà nước, quyền thương mại hóa và phân chia lợi ích, chuỗi quản lý quyền sở hữu trí tuệ, chỉ số đánh giá, cơ sở dữ liệu và theo dõi kết quả thương mại hóa.</w:t>
      </w:r>
    </w:p>
    <w:p>
      <w:pPr>
        <w:pStyle w:val="CaptionVN"/>
      </w:pPr>
      <w:r>
        <w:rPr>
          <w:b/>
        </w:rPr>
        <w:t>Bảng 2.8. Đối chiếu yêu cầu cấp quốc gia với thực trạng quản lý quyền sở hữu trí tuệ tại Trường</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438"/>
            <w:vAlign w:val="center"/>
          </w:tcPr>
          <w:p>
            <w:pPr>
              <w:jc w:val="center"/>
            </w:pPr>
            <w:r>
              <w:rPr>
                <w:rFonts w:ascii="Times New Roman" w:hAnsi="Times New Roman"/>
                <w:b/>
                <w:sz w:val="20"/>
              </w:rPr>
              <w:t>Căn cứ</w:t>
            </w:r>
          </w:p>
        </w:tc>
        <w:tc>
          <w:tcPr>
            <w:tcW w:type="dxa" w:w="3685"/>
            <w:vAlign w:val="center"/>
          </w:tcPr>
          <w:p>
            <w:pPr>
              <w:jc w:val="center"/>
            </w:pPr>
            <w:r>
              <w:rPr>
                <w:rFonts w:ascii="Times New Roman" w:hAnsi="Times New Roman"/>
                <w:b/>
                <w:sz w:val="20"/>
              </w:rPr>
              <w:t>Yêu cầu chính</w:t>
            </w:r>
          </w:p>
        </w:tc>
        <w:tc>
          <w:tcPr>
            <w:tcW w:type="dxa" w:w="3685"/>
            <w:vAlign w:val="center"/>
          </w:tcPr>
          <w:p>
            <w:pPr>
              <w:jc w:val="center"/>
            </w:pPr>
            <w:r>
              <w:rPr>
                <w:rFonts w:ascii="Times New Roman" w:hAnsi="Times New Roman"/>
                <w:b/>
                <w:sz w:val="20"/>
              </w:rPr>
              <w:t>Đối chiếu với dữ liệu của Trường</w:t>
            </w:r>
          </w:p>
        </w:tc>
      </w:tr>
      <w:tr>
        <w:trPr>
          <w:cantSplit/>
        </w:trPr>
        <w:tc>
          <w:tcPr>
            <w:tcW w:type="dxa" w:w="2438"/>
            <w:vAlign w:val="center"/>
          </w:tcPr>
          <w:p>
            <w:r>
              <w:rPr>
                <w:rFonts w:ascii="Times New Roman" w:hAnsi="Times New Roman"/>
                <w:sz w:val="20"/>
              </w:rPr>
              <w:t>Luật Sở hữu trí tuệ, được sửa đổi bởi Luật số 131/2025/QH15</w:t>
              <w:br/>
              <w:t>(khoản 22 Điều 1, bổ sung điểm c khoản 1 Điều 86)</w:t>
            </w:r>
          </w:p>
        </w:tc>
        <w:tc>
          <w:tcPr>
            <w:tcW w:type="dxa" w:w="3685"/>
            <w:vAlign w:val="center"/>
          </w:tcPr>
          <w:p>
            <w:r>
              <w:rPr>
                <w:rFonts w:ascii="Times New Roman" w:hAnsi="Times New Roman"/>
                <w:sz w:val="20"/>
              </w:rPr>
              <w:t>Tổ chức được giao quyền quản lý, sử dụng hoặc sở hữu kết quả nhiệm vụ khoa học, công nghệ và đổi mới sáng tạo dùng ngân sách nhà nước có quyền đăng ký sáng chế, kiểu dáng công nghiệp và thiết kế bố trí là kết quả của nhiệm vụ.</w:t>
            </w:r>
          </w:p>
        </w:tc>
        <w:tc>
          <w:tcPr>
            <w:tcW w:type="dxa" w:w="3685"/>
            <w:vAlign w:val="center"/>
          </w:tcPr>
          <w:p>
            <w:r>
              <w:t>Trong bộ dữ liệu 38 đề tài cấp cơ sở, hồ sơ không ghi nhận đề tài nào là nhiệm vụ sử dụng ngân sách nhà nước. Có 35 đề tài được ghi theo các hình thức tiền mặt, quy đổi hoặc tính giờ nghiên cứu khoa học, hoặc kết hợp; 3 đề tài ghi tự tìm nguồn tài trợ. Vì vậy, quy định về quyền đăng ký đối với nhiệm vụ dùng ngân sách nhà nước được dùng để phân định phạm vi pháp luật quốc gia, không mặc nhiên áp dụng cho toàn bộ 38 đề tài.</w:t>
            </w:r>
          </w:p>
        </w:tc>
      </w:tr>
      <w:tr>
        <w:trPr>
          <w:cantSplit/>
        </w:trPr>
        <w:tc>
          <w:tcPr>
            <w:tcW w:type="dxa" w:w="2438"/>
            <w:vAlign w:val="center"/>
          </w:tcPr>
          <w:p>
            <w:r>
              <w:rPr>
                <w:rFonts w:ascii="Times New Roman" w:hAnsi="Times New Roman"/>
                <w:sz w:val="20"/>
              </w:rPr>
              <w:t>Luật số 93/2025/QH15</w:t>
              <w:br/>
              <w:t>(Điều 27 và Điều 28)</w:t>
            </w:r>
          </w:p>
        </w:tc>
        <w:tc>
          <w:tcPr>
            <w:tcW w:type="dxa" w:w="3685"/>
            <w:vAlign w:val="center"/>
          </w:tcPr>
          <w:p>
            <w:r>
              <w:rPr>
                <w:rFonts w:ascii="Times New Roman" w:hAnsi="Times New Roman"/>
                <w:sz w:val="20"/>
              </w:rPr>
              <w:t>Chủ sở hữu hoặc tổ chức được giao quyền quản lý, sử dụng kết quả được chủ động lựa chọn hình thức thương mại hóa; pháp luật đồng thời quy định cơ chế phân chia lợi nhuận trong các trường hợp thuộc phạm vi điều chỉnh.</w:t>
            </w:r>
          </w:p>
        </w:tc>
        <w:tc>
          <w:tcPr>
            <w:tcW w:type="dxa" w:w="3685"/>
            <w:vAlign w:val="center"/>
          </w:tcPr>
          <w:p>
            <w:r>
              <w:rPr>
                <w:rFonts w:ascii="Times New Roman" w:hAnsi="Times New Roman"/>
                <w:sz w:val="20"/>
              </w:rPr>
              <w:t>Quy chế nội bộ đã có nội dung chuyển giao và phân chia lợi ích, nhưng bộ hồ sơ hiện có chưa có hợp đồng chuyển giao, doanh thu hoặc chứng từ phân chia lợi ích để đánh giá việc thực hiện.</w:t>
            </w:r>
          </w:p>
        </w:tc>
      </w:tr>
      <w:tr>
        <w:trPr>
          <w:cantSplit/>
        </w:trPr>
        <w:tc>
          <w:tcPr>
            <w:tcW w:type="dxa" w:w="2438"/>
            <w:vAlign w:val="center"/>
          </w:tcPr>
          <w:p>
            <w:r>
              <w:rPr>
                <w:rFonts w:ascii="Times New Roman" w:hAnsi="Times New Roman"/>
                <w:sz w:val="20"/>
              </w:rPr>
              <w:t>Quyết định số 1624/QĐ-TTg ngày 21/8/2026</w:t>
            </w:r>
          </w:p>
        </w:tc>
        <w:tc>
          <w:tcPr>
            <w:tcW w:type="dxa" w:w="3685"/>
            <w:vAlign w:val="center"/>
          </w:tcPr>
          <w:p>
            <w:r>
              <w:rPr>
                <w:rFonts w:ascii="Times New Roman" w:hAnsi="Times New Roman"/>
                <w:sz w:val="20"/>
              </w:rPr>
              <w:t>Chiến lược xác định chuỗi sáng tạo – xác lập – khai thác – bảo vệ quyền SHTT; yêu cầu cơ sở giáo dục đại học xác định đối tượng quyền SHTT từ kết quả nghiên cứu, sử dụng chỉ số SHTT và tăng cường số hóa, định giá, giao dịch quyền.</w:t>
            </w:r>
          </w:p>
        </w:tc>
        <w:tc>
          <w:tcPr>
            <w:tcW w:type="dxa" w:w="3685"/>
            <w:vAlign w:val="center"/>
          </w:tcPr>
          <w:p>
            <w:r>
              <w:rPr>
                <w:rFonts w:ascii="Times New Roman" w:hAnsi="Times New Roman"/>
                <w:sz w:val="20"/>
              </w:rPr>
              <w:t>Trường đã có kết quả đăng ký quyền, nhưng hồ sơ về khâu nhận diện, xem xét khả năng bảo hộ và khai thác sau đăng ký còn thiếu để theo dõi toàn bộ quá trình.</w:t>
            </w:r>
          </w:p>
        </w:tc>
      </w:tr>
      <w:tr>
        <w:trPr>
          <w:cantSplit/>
        </w:trPr>
        <w:tc>
          <w:tcPr>
            <w:tcW w:type="dxa" w:w="2438"/>
            <w:vAlign w:val="center"/>
          </w:tcPr>
          <w:p>
            <w:r>
              <w:rPr>
                <w:rFonts w:ascii="Times New Roman" w:hAnsi="Times New Roman"/>
                <w:sz w:val="20"/>
              </w:rPr>
              <w:t>Thông tư số 20/2026/TT-BGDĐT</w:t>
              <w:br/>
              <w:t>Tiêu chí 7.2</w:t>
            </w:r>
          </w:p>
        </w:tc>
        <w:tc>
          <w:tcPr>
            <w:tcW w:type="dxa" w:w="3685"/>
            <w:vAlign w:val="center"/>
          </w:tcPr>
          <w:p>
            <w:r>
              <w:rPr>
                <w:rFonts w:ascii="Times New Roman" w:hAnsi="Times New Roman"/>
                <w:sz w:val="20"/>
              </w:rPr>
              <w:t>Cơ sở giáo dục đại học sử dụng các chỉ số chính như kinh phí, đề tài, bài báo, sáng chế, quyền tác giả… để đánh giá hoạt động nghiên cứu từ đầu vào đến kết quả và tác động; đồng thời đánh giá chuyển giao và thương mại hóa.</w:t>
            </w:r>
          </w:p>
        </w:tc>
        <w:tc>
          <w:tcPr>
            <w:tcW w:type="dxa" w:w="3685"/>
            <w:vAlign w:val="center"/>
          </w:tcPr>
          <w:p>
            <w:r>
              <w:rPr>
                <w:rFonts w:ascii="Times New Roman" w:hAnsi="Times New Roman"/>
                <w:sz w:val="20"/>
              </w:rPr>
              <w:t>Trường có các danh mục riêng về đề tài, công bố và SHTT, nhưng chưa thấy một bộ chỉ số thống nhất theo dõi toàn bộ quá trình từ nghiên cứu đến sử dụng và tạo giá trị.</w:t>
            </w:r>
          </w:p>
        </w:tc>
      </w:tr>
      <w:tr>
        <w:trPr>
          <w:cantSplit/>
        </w:trPr>
        <w:tc>
          <w:tcPr>
            <w:tcW w:type="dxa" w:w="2438"/>
            <w:vAlign w:val="center"/>
          </w:tcPr>
          <w:p>
            <w:r>
              <w:rPr>
                <w:rFonts w:ascii="Times New Roman" w:hAnsi="Times New Roman"/>
                <w:sz w:val="20"/>
              </w:rPr>
              <w:t>Thông tư số 20/2026/TT-BGDĐT</w:t>
              <w:br/>
              <w:t>Tiêu chí 7.4</w:t>
            </w:r>
          </w:p>
        </w:tc>
        <w:tc>
          <w:tcPr>
            <w:tcW w:type="dxa" w:w="3685"/>
            <w:vAlign w:val="center"/>
          </w:tcPr>
          <w:p>
            <w:r>
              <w:rPr>
                <w:rFonts w:ascii="Times New Roman" w:hAnsi="Times New Roman"/>
                <w:sz w:val="20"/>
              </w:rPr>
              <w:t>Cơ sở giáo dục đại học có hệ thống phù hợp để ghi nhận, lưu trữ, phân tích toàn bộ tài sản trí tuệ; có quy định về khai thác, bảo vệ quyền và giám sát việc thực hiện.</w:t>
            </w:r>
          </w:p>
        </w:tc>
        <w:tc>
          <w:tcPr>
            <w:tcW w:type="dxa" w:w="3685"/>
            <w:vAlign w:val="center"/>
          </w:tcPr>
          <w:p>
            <w:r>
              <w:rPr>
                <w:rFonts w:ascii="Times New Roman" w:hAnsi="Times New Roman"/>
                <w:sz w:val="20"/>
              </w:rPr>
              <w:t>Dữ liệu hiện nằm ở nhiều danh sách và hồ sơ khác nhau. Nghiên cứu phải tự ghép dữ liệu đề tài, đầu ra và quyền SHTT để có bức tranh chung.</w:t>
            </w:r>
          </w:p>
        </w:tc>
      </w:tr>
      <w:tr>
        <w:trPr>
          <w:cantSplit/>
        </w:trPr>
        <w:tc>
          <w:tcPr>
            <w:tcW w:type="dxa" w:w="2438"/>
            <w:vAlign w:val="center"/>
          </w:tcPr>
          <w:p>
            <w:r>
              <w:rPr>
                <w:rFonts w:ascii="Times New Roman" w:hAnsi="Times New Roman"/>
                <w:sz w:val="20"/>
              </w:rPr>
              <w:t>Thông tư số 20/2026/TT-BGDĐT</w:t>
              <w:br/>
              <w:t>Tiêu chí 13.2</w:t>
            </w:r>
          </w:p>
        </w:tc>
        <w:tc>
          <w:tcPr>
            <w:tcW w:type="dxa" w:w="3685"/>
            <w:vAlign w:val="center"/>
          </w:tcPr>
          <w:p>
            <w:r>
              <w:rPr>
                <w:rFonts w:ascii="Times New Roman" w:hAnsi="Times New Roman"/>
                <w:sz w:val="20"/>
              </w:rPr>
              <w:t>Loại hình và số lượng sản phẩm nghiên cứu, tài sản trí tuệ phải được xác lập, theo dõi, phân tích và đối sánh để cải tiến.</w:t>
            </w:r>
          </w:p>
        </w:tc>
        <w:tc>
          <w:tcPr>
            <w:tcW w:type="dxa" w:w="3685"/>
            <w:vAlign w:val="center"/>
          </w:tcPr>
          <w:p>
            <w:r>
              <w:rPr>
                <w:rFonts w:ascii="Times New Roman" w:hAnsi="Times New Roman"/>
                <w:sz w:val="20"/>
              </w:rPr>
              <w:t>Nghiên cứu đã xác định được 56 kết quả nghiên cứu thực chất và 24 kết quả có khả năng hình thành tài sản trí tuệ, nhưng đây mới là kết quả rà soát của đề tài, chưa phải hệ thống theo dõi thường xuyên của Trường.</w:t>
            </w:r>
          </w:p>
        </w:tc>
      </w:tr>
      <w:tr>
        <w:trPr>
          <w:cantSplit/>
        </w:trPr>
        <w:tc>
          <w:tcPr>
            <w:tcW w:type="dxa" w:w="2438"/>
            <w:vAlign w:val="center"/>
          </w:tcPr>
          <w:p>
            <w:r>
              <w:rPr>
                <w:rFonts w:ascii="Times New Roman" w:hAnsi="Times New Roman"/>
                <w:sz w:val="20"/>
              </w:rPr>
              <w:t>Thông tư số 20/2026/TT-BGDĐT</w:t>
              <w:br/>
              <w:t>Tiêu chí 13.3</w:t>
            </w:r>
          </w:p>
        </w:tc>
        <w:tc>
          <w:tcPr>
            <w:tcW w:type="dxa" w:w="3685"/>
            <w:vAlign w:val="center"/>
          </w:tcPr>
          <w:p>
            <w:r>
              <w:rPr>
                <w:rFonts w:ascii="Times New Roman" w:hAnsi="Times New Roman"/>
                <w:sz w:val="20"/>
              </w:rPr>
              <w:t>Kết quả khởi nghiệp, ươm tạo và thương mại hóa phải được xác lập, giám sát và đối sánh; minh chứng gồm bằng SHTT, hợp đồng chuyển giao, doanh thu và dữ liệu ươm tạo.</w:t>
            </w:r>
          </w:p>
        </w:tc>
        <w:tc>
          <w:tcPr>
            <w:tcW w:type="dxa" w:w="3685"/>
            <w:vAlign w:val="center"/>
          </w:tcPr>
          <w:p>
            <w:r>
              <w:rPr>
                <w:rFonts w:ascii="Times New Roman" w:hAnsi="Times New Roman"/>
                <w:sz w:val="20"/>
              </w:rPr>
              <w:t>Hồ sơ hiện có cho thấy dấu hiệu ứng dụng ở một số đề tài, nhưng chưa có đủ hợp đồng chuyển giao, doanh thu và dữ liệu thương mại hóa để đánh giá đầy đủ.</w:t>
            </w:r>
          </w:p>
        </w:tc>
      </w:tr>
    </w:tbl>
    <w:p>
      <w:pPr>
        <w:pStyle w:val="SourceVN"/>
      </w:pPr>
      <w:r>
        <w:rPr>
          <w:i/>
        </w:rPr>
        <w:t>Nguồn: Tác giả tổng hợp từ Luật số 131/2025/QH15; Luật số 93/2025/QH15; Quyết định số 1624/QĐ-TTg ngày 21/8/2026; Thông tư số 20/2026/TT-BGDĐT.</w:t>
      </w:r>
    </w:p>
    <w:p>
      <w:pPr/>
      <w:r>
        <w:t>Đối chiếu cho thấy hướng hoàn thiện của Trường khá rõ: cần quản lý được không chỉ số văn bằng đã có mà cả quá trình tạo ra, ghi nhận, bảo hộ, sử dụng và khai thác kết quả nghiên cứu. Bốn yêu cầu đáng chú ý từ Thông tư số 20/2026/TT-BGDĐT là: có chỉ số đánh giá SHTT; có hệ thống dữ liệu tập trung; theo dõi định kỳ sản phẩm nghiên cứu và tài sản trí tuệ; và theo dõi kết quả chuyển giao, ươm tạo, thương mại hóa. Đây cũng là những nội dung hiện chưa có đủ bằng chứng trong hồ sơ để đánh giá đầy đủ.</w:t>
      </w:r>
    </w:p>
    <w:p>
      <w:pPr/>
      <w:r>
        <w:t>Lưu ý về phạm vi kết luận: Các nhận định về hồ sơ trong Chương 2 phản ánh tài liệu mà nghiên cứu hiện có. Không tìm thấy hồ sơ không đồng nghĩa với việc hoạt động chắc chắn không diễn ra. Các kết luận về nguyên nhân, cách ra quyết định và trách nhiệm của từng chủ thể cần được kiểm chứng thêm bằng phỏng vấn hoặc tài liệu bổ sung.</w:t>
      </w:r>
    </w:p>
    <w:sectPr w:rsidR="00FC693F" w:rsidRPr="0006063C" w:rsidSect="00034616">
      <w:footerReference w:type="default" r:id="rId12"/>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60"/>
      <w:ind w:firstLine="0"/>
      <w:jc w:val="center"/>
    </w:pPr>
    <w:rPr>
      <w:rFonts w:ascii="Times New Roman" w:hAnsi="Times New Roman"/>
      <w:i w:val="0"/>
      <w:sz w:val="22"/>
    </w:rPr>
  </w:style>
  <w:style w:type="paragraph" w:customStyle="1" w:styleId="SourceVN">
    <w:name w:val="SourceVN"/>
    <w:pPr>
      <w:spacing w:after="60"/>
      <w:ind w:firstLine="0"/>
      <w:jc w:val="left"/>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