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 xml:space="preserve">BỘ KHOA HỌC VÀ </w:t>
            </w:r>
            <w:r>
              <w:rPr>
                <w:b/>
                <w:bCs/>
                <w:rtl w:val="0"/>
              </w:rPr>
              <w:br/>
            </w:r>
            <w:r>
              <w:rPr>
                <w:b/>
                <w:bCs/>
                <w:rtl w:val="0"/>
              </w:rPr>
              <w:t>CÔNG NGHỆ</w:t>
            </w:r>
            <w:r>
              <w:rPr>
                <w:b/>
                <w:bCs/>
                <w:rtl w:val="0"/>
                <w:lang w:val="vi-VN" w:eastAsia="vi-VN"/>
              </w:rPr>
              <w:br/>
            </w:r>
            <w:r>
              <w:rPr>
                <w:b/>
                <w:bCs/>
                <w:rtl w:val="0"/>
                <w:lang w:val="vi-VN" w:eastAsia="vi-VN"/>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lang w:val="vi-VN" w:eastAsia="vi-VN"/>
              </w:rPr>
              <w:t>CỘNG HÒA XÃ HỘI CHỦ NGHĨA VIỆT NAM</w:t>
            </w:r>
            <w:r>
              <w:rPr>
                <w:b/>
                <w:bCs/>
                <w:rtl w:val="0"/>
                <w:lang w:val="vi-VN" w:eastAsia="vi-VN"/>
              </w:rPr>
              <w:br/>
            </w:r>
            <w:r>
              <w:rPr>
                <w:b/>
                <w:bCs/>
                <w:rtl w:val="0"/>
                <w:lang w:val="vi-VN" w:eastAsia="vi-VN"/>
              </w:rPr>
              <w:t xml:space="preserve">Độc lập - Tự do - Hạnh phúc </w:t>
            </w:r>
            <w:r>
              <w:rPr>
                <w:b/>
                <w:bCs/>
                <w:rtl w:val="0"/>
                <w:lang w:val="vi-VN" w:eastAsia="vi-VN"/>
              </w:rPr>
              <w:br/>
            </w:r>
            <w:r>
              <w:rPr>
                <w:b/>
                <w:bCs/>
                <w:rtl w:val="0"/>
                <w:lang w:val="vi-VN" w:eastAsia="vi-VN"/>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lang w:val="vi-VN" w:eastAsia="vi-VN"/>
              </w:rPr>
              <w:t xml:space="preserve">Số: </w:t>
            </w:r>
            <w:r>
              <w:rPr>
                <w:rtl w:val="0"/>
              </w:rPr>
              <w:t>508/QĐ-BKHCN</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w:t>
            </w:r>
            <w:r>
              <w:rPr>
                <w:i/>
                <w:iCs/>
                <w:rtl w:val="0"/>
                <w:lang w:val="vi-VN" w:eastAsia="vi-VN"/>
              </w:rPr>
              <w:t xml:space="preserve">, ngày </w:t>
            </w:r>
            <w:r>
              <w:rPr>
                <w:i/>
                <w:iCs/>
                <w:rtl w:val="0"/>
              </w:rPr>
              <w:t>03</w:t>
            </w:r>
            <w:r>
              <w:rPr>
                <w:i/>
                <w:iCs/>
                <w:rtl w:val="0"/>
                <w:lang w:val="vi-VN" w:eastAsia="vi-VN"/>
              </w:rPr>
              <w:t xml:space="preserve"> tháng </w:t>
            </w:r>
            <w:r>
              <w:rPr>
                <w:i/>
                <w:iCs/>
                <w:rtl w:val="0"/>
              </w:rPr>
              <w:t>3</w:t>
            </w:r>
            <w:r>
              <w:rPr>
                <w:i/>
                <w:iCs/>
                <w:rtl w:val="0"/>
                <w:lang w:val="vi-VN" w:eastAsia="vi-VN"/>
              </w:rPr>
              <w:t xml:space="preserve"> năm </w:t>
            </w:r>
            <w:r>
              <w:rPr>
                <w:i/>
                <w:iCs/>
                <w:rtl w:val="0"/>
              </w:rPr>
              <w:t>2020</w:t>
            </w:r>
          </w:p>
        </w:tc>
      </w:tr>
    </w:tbl>
    <w:p>
      <w:pPr>
        <w:bidi w:val="0"/>
        <w:spacing w:before="120" w:beforeAutospacing="0" w:after="280" w:afterAutospacing="1"/>
      </w:pPr>
      <w:r>
        <w:rPr>
          <w:color w:val="000000"/>
          <w:rtl w:val="0"/>
          <w:lang w:val="vi-VN" w:eastAsia="vi-VN"/>
        </w:rPr>
        <w:t> </w:t>
      </w:r>
    </w:p>
    <w:p>
      <w:pPr>
        <w:bidi w:val="0"/>
        <w:spacing w:before="120" w:beforeAutospacing="0" w:after="280" w:afterAutospacing="1"/>
        <w:jc w:val="center"/>
      </w:pPr>
      <w:bookmarkStart w:id="0" w:name="loai_1"/>
      <w:r>
        <w:rPr>
          <w:b/>
          <w:bCs/>
          <w:sz w:val="24"/>
          <w:rtl w:val="0"/>
          <w:lang w:val="vi-VN" w:eastAsia="vi-VN"/>
        </w:rPr>
        <w:t>QUYẾT ĐỊNH</w:t>
      </w:r>
      <w:bookmarkEnd w:id="0"/>
    </w:p>
    <w:p>
      <w:pPr>
        <w:bidi w:val="0"/>
        <w:spacing w:before="120" w:beforeAutospacing="0" w:after="280" w:afterAutospacing="1"/>
        <w:jc w:val="center"/>
      </w:pPr>
      <w:bookmarkStart w:id="1" w:name="loai_1_name"/>
      <w:r>
        <w:rPr>
          <w:rtl w:val="0"/>
          <w:lang w:val="vi-VN" w:eastAsia="vi-VN"/>
        </w:rPr>
        <w:t>BAN HÀNH KẾ HOẠCH THỰC HIỆN “CHIẾN LƯỢC SỞ HỮU TRÍ TUỆ ĐẾN NĂM 2030” (GIAI ĐOẠN 2020-2025)</w:t>
      </w:r>
      <w:bookmarkEnd w:id="1"/>
    </w:p>
    <w:p>
      <w:pPr>
        <w:bidi w:val="0"/>
        <w:spacing w:before="120" w:beforeAutospacing="0" w:after="280" w:afterAutospacing="1"/>
        <w:jc w:val="center"/>
      </w:pPr>
      <w:r>
        <w:rPr>
          <w:b/>
          <w:bCs/>
          <w:sz w:val="24"/>
          <w:rtl w:val="0"/>
          <w:lang w:val="vi-VN" w:eastAsia="vi-VN"/>
        </w:rPr>
        <w:t>BỘ TRƯỞNG BỘ KHOA HỌC VÀ CÔNG NGHỆ</w:t>
      </w:r>
    </w:p>
    <w:p>
      <w:pPr>
        <w:bidi w:val="0"/>
        <w:spacing w:before="120" w:beforeAutospacing="0" w:after="280" w:afterAutospacing="1"/>
      </w:pPr>
      <w:r>
        <w:rPr>
          <w:i/>
          <w:iCs/>
          <w:rtl w:val="0"/>
          <w:lang w:val="vi-VN" w:eastAsia="vi-VN"/>
        </w:rPr>
        <w:t>Căn cứ Nghị định số 95/2017/NĐ-CP ngày 16 tháng 8 năm 2017 của Chính phủ quy định chức năng, nhiệm vụ, quyền hạn và cơ cấu tổ chức của Bộ Khoa học và Công nghệ;</w:t>
      </w:r>
    </w:p>
    <w:p>
      <w:pPr>
        <w:bidi w:val="0"/>
        <w:spacing w:before="120" w:beforeAutospacing="0" w:after="280" w:afterAutospacing="1"/>
      </w:pPr>
      <w:r>
        <w:rPr>
          <w:i/>
          <w:iCs/>
          <w:rtl w:val="0"/>
          <w:lang w:val="vi-VN" w:eastAsia="vi-VN"/>
        </w:rPr>
        <w:t>Căn cứ Quyết định số 1068/QĐ-TTg ngày 22 tháng 8 năm 2019 của Thủ tướng Chính phủ phê duyệt Chiến lược Sở hữu trí tuệ đến năm 2030;</w:t>
      </w:r>
    </w:p>
    <w:p>
      <w:pPr>
        <w:bidi w:val="0"/>
        <w:spacing w:before="120" w:beforeAutospacing="0" w:after="280" w:afterAutospacing="1"/>
      </w:pPr>
      <w:r>
        <w:rPr>
          <w:i/>
          <w:iCs/>
          <w:rtl w:val="0"/>
          <w:lang w:val="vi-VN" w:eastAsia="vi-VN"/>
        </w:rPr>
        <w:t>Xét đề nghị của Cục trưởng Cục Sở hữu trí tuệ,</w:t>
      </w:r>
    </w:p>
    <w:p>
      <w:pPr>
        <w:bidi w:val="0"/>
        <w:spacing w:before="120" w:beforeAutospacing="0" w:after="280" w:afterAutospacing="1"/>
        <w:jc w:val="center"/>
      </w:pPr>
      <w:r>
        <w:rPr>
          <w:b/>
          <w:bCs/>
          <w:sz w:val="24"/>
          <w:rtl w:val="0"/>
          <w:lang w:val="vi-VN" w:eastAsia="vi-VN"/>
        </w:rPr>
        <w:t>QUYẾT ĐỊNH:</w:t>
      </w:r>
    </w:p>
    <w:p>
      <w:pPr>
        <w:bidi w:val="0"/>
        <w:spacing w:before="120" w:beforeAutospacing="0" w:after="280" w:afterAutospacing="1"/>
      </w:pPr>
      <w:bookmarkStart w:id="2" w:name="dieu_1"/>
      <w:r>
        <w:rPr>
          <w:b/>
          <w:bCs/>
          <w:rtl w:val="0"/>
          <w:lang w:val="vi-VN" w:eastAsia="vi-VN"/>
        </w:rPr>
        <w:t>Điều 1.</w:t>
      </w:r>
      <w:bookmarkEnd w:id="2"/>
      <w:r>
        <w:rPr>
          <w:b/>
          <w:bCs/>
          <w:rtl w:val="0"/>
          <w:lang w:val="vi-VN" w:eastAsia="vi-VN"/>
        </w:rPr>
        <w:t xml:space="preserve"> </w:t>
      </w:r>
      <w:bookmarkStart w:id="3" w:name="dieu_1_name"/>
      <w:r>
        <w:rPr>
          <w:rtl w:val="0"/>
          <w:lang w:val="vi-VN" w:eastAsia="vi-VN"/>
        </w:rPr>
        <w:t>Ban hành kèm theo Quyết định này Kế hoạch thực hiện Chiến lược Sở hữu trí tuệ đến năm 2030 (giai đoạn 2020-2025) với những nội dung sau:</w:t>
      </w:r>
      <w:bookmarkEnd w:id="3"/>
    </w:p>
    <w:p>
      <w:pPr>
        <w:bidi w:val="0"/>
        <w:spacing w:before="120" w:beforeAutospacing="0" w:after="280" w:afterAutospacing="1"/>
      </w:pPr>
      <w:r>
        <w:rPr>
          <w:b/>
          <w:bCs/>
          <w:rtl w:val="0"/>
          <w:lang w:val="vi-VN" w:eastAsia="vi-VN"/>
        </w:rPr>
        <w:t>1. Mục tiêu</w:t>
      </w:r>
    </w:p>
    <w:p>
      <w:pPr>
        <w:bidi w:val="0"/>
        <w:spacing w:before="120" w:beforeAutospacing="0" w:after="280" w:afterAutospacing="1"/>
      </w:pPr>
      <w:r>
        <w:rPr>
          <w:rtl w:val="0"/>
          <w:lang w:val="vi-VN" w:eastAsia="vi-VN"/>
        </w:rPr>
        <w:t>a) Cụ thể hóa, triển khai các nhiệm vụ của Bộ Khoa học và Công nghệ được phân công tại Chiến lược Sở hữu trí tuệ đến năm 2030 được ban hành theo Quyết định số 1068/QĐ-TTg ngày 22/8/2019 của Thủ tướng Chính phủ (sau đây gọi tắt là Chiến lược) trong giai đoạn 2020-2025.</w:t>
      </w:r>
    </w:p>
    <w:p>
      <w:pPr>
        <w:bidi w:val="0"/>
        <w:spacing w:before="120" w:beforeAutospacing="0" w:after="280" w:afterAutospacing="1"/>
      </w:pPr>
      <w:r>
        <w:rPr>
          <w:rtl w:val="0"/>
          <w:lang w:val="vi-VN" w:eastAsia="vi-VN"/>
        </w:rPr>
        <w:t>b) Phân công cho các đơn vị trực thuộc Bộ thực hiện Kế hoạch, bảo đảm đúng tiến độ, chất lượng, hiệu quả theo các nhiệm vụ được giao.</w:t>
      </w:r>
    </w:p>
    <w:p>
      <w:pPr>
        <w:bidi w:val="0"/>
        <w:spacing w:before="120" w:beforeAutospacing="0" w:after="280" w:afterAutospacing="1"/>
      </w:pPr>
      <w:r>
        <w:rPr>
          <w:b/>
          <w:bCs/>
          <w:rtl w:val="0"/>
          <w:lang w:val="vi-VN" w:eastAsia="vi-VN"/>
        </w:rPr>
        <w:t>2. Các nhiệm vụ chủ yếu và phân công thực hiện</w:t>
      </w:r>
    </w:p>
    <w:p>
      <w:pPr>
        <w:bidi w:val="0"/>
        <w:spacing w:before="120" w:beforeAutospacing="0" w:after="280" w:afterAutospacing="1"/>
      </w:pPr>
      <w:r>
        <w:rPr>
          <w:rtl w:val="0"/>
          <w:lang w:val="vi-VN" w:eastAsia="vi-VN"/>
        </w:rPr>
        <w:t>Các nhiệm vụ chủ yếu thực hiện Chiến lược trong giai đoạn 2020-2025 được nêu tại Phụ lục kèm theo Quyết định này. Các nhiệm vụ cụ thể trong giai đoạn 2026-2030 sẽ được xác định qua sơ kết giai đoạn 2020-2025, đối chiếu với mục tiêu, nhiệm vụ, giải pháp của Chiến lược, theo yêu cầu của tình hình mới và chỉ đạo của các cấp có thẩm quyền.</w:t>
      </w:r>
    </w:p>
    <w:p>
      <w:pPr>
        <w:bidi w:val="0"/>
        <w:spacing w:before="120" w:beforeAutospacing="0" w:after="280" w:afterAutospacing="1"/>
      </w:pPr>
      <w:r>
        <w:rPr>
          <w:b/>
          <w:bCs/>
          <w:rtl w:val="0"/>
          <w:lang w:val="vi-VN" w:eastAsia="vi-VN"/>
        </w:rPr>
        <w:t>3. Tổ chức thực hiện</w:t>
      </w:r>
    </w:p>
    <w:p>
      <w:pPr>
        <w:bidi w:val="0"/>
        <w:spacing w:before="120" w:beforeAutospacing="0" w:after="280" w:afterAutospacing="1"/>
      </w:pPr>
      <w:r>
        <w:rPr>
          <w:rtl w:val="0"/>
          <w:lang w:val="vi-VN" w:eastAsia="vi-VN"/>
        </w:rPr>
        <w:t>a) Trên cơ sở nội dung của Chiến lược và các nhiệm vụ chủ yếu trong Kế hoạch này, căn cứ chức năng, nhiệm vụ đã phân công, Thủ trưởng các đơn vị trực thuộc Bộ Khoa học và Công nghệ cụ thể hóa thành các mục tiêu, nhiệm vụ trong kế hoạch công tác năm của đơn vị, lồng ghép với các chương trình, kế hoạch, đề án và phân công nhiệm vụ của Bộ để tổ chức thực hiện; kiểm tra, đôn đốc việc triển khai thực hiện các nội dung liên quan của Kế hoạch.</w:t>
      </w:r>
    </w:p>
    <w:p>
      <w:pPr>
        <w:bidi w:val="0"/>
        <w:spacing w:before="120" w:beforeAutospacing="0" w:after="280" w:afterAutospacing="1"/>
      </w:pPr>
      <w:r>
        <w:rPr>
          <w:rtl w:val="0"/>
          <w:lang w:val="vi-VN" w:eastAsia="vi-VN"/>
        </w:rPr>
        <w:t>b) Định kỳ hằng năm (trước ngày 10 tháng 11 hằng năm), các đơn vị đánh giá tình hình và kết quả thực hiện các nhiệm vụ được giao trong Kế hoạch này, gửi Cục Sở hữu trí tuệ để tổng hợp, báo cáo Bộ trưởng.</w:t>
      </w:r>
    </w:p>
    <w:p>
      <w:pPr>
        <w:bidi w:val="0"/>
        <w:spacing w:before="120" w:beforeAutospacing="0" w:after="280" w:afterAutospacing="1"/>
      </w:pPr>
      <w:r>
        <w:rPr>
          <w:rtl w:val="0"/>
          <w:lang w:val="vi-VN" w:eastAsia="vi-VN"/>
        </w:rPr>
        <w:t>c) Trước ngày 15 tháng 9 năm 2025, các đơn vị đánh giá, tổng hợp, sơ kết việc thực hiện Kế hoạch trong giai đoạn 2020-2025, đề xuất giải pháp, nội dung cụ thể để thực hiện Kế hoạch trong giai đoạn 2026-2030, gửi Cục Sở hữu trí tuệ để tổng hợp, báo cáo Bộ trưởng. Việc tổng kết Kế hoạch thực hiện Chiến lược được tổ chức vào năm 2030.</w:t>
      </w:r>
    </w:p>
    <w:p>
      <w:pPr>
        <w:bidi w:val="0"/>
        <w:spacing w:before="120" w:beforeAutospacing="0" w:after="280" w:afterAutospacing="1"/>
      </w:pPr>
      <w:r>
        <w:rPr>
          <w:rtl w:val="0"/>
          <w:lang w:val="vi-VN" w:eastAsia="vi-VN"/>
        </w:rPr>
        <w:t>d) Vụ Kế hoạch - Tài chính căn cứ vào các tiêu chuẩn, định mức chi theo quy định và khả năng cân đối ngân sách nhà nước hàng năm, bố trí kinh phí triển khai các hoạt động theo các quy định hiện hành.</w:t>
      </w:r>
    </w:p>
    <w:p>
      <w:pPr>
        <w:bidi w:val="0"/>
        <w:spacing w:before="120" w:beforeAutospacing="0" w:after="280" w:afterAutospacing="1"/>
      </w:pPr>
      <w:r>
        <w:rPr>
          <w:rtl w:val="0"/>
          <w:lang w:val="vi-VN" w:eastAsia="vi-VN"/>
        </w:rPr>
        <w:t>đ) Cục Sở hữu trí tuệ chủ trì, phối hợp với Văn phòng Bộ, Vụ Kế hoạch - Tài chính, Vụ Pháp chế theo dõi, đôn đốc triển khai thực hiện Kế hoạch. Trong quá trình tổ chức thực hiện, các đơn vị trực thuộc Bộ chủ động báo cáo, kiến nghị với Bộ trưởng về các biện pháp cần thiết nhằm bảo đảm Kế hoạch được thực hiện hiệu quả.</w:t>
      </w:r>
    </w:p>
    <w:p>
      <w:pPr>
        <w:bidi w:val="0"/>
        <w:spacing w:before="120" w:beforeAutospacing="0" w:after="280" w:afterAutospacing="1"/>
      </w:pPr>
      <w:bookmarkStart w:id="4" w:name="dieu_2"/>
      <w:r>
        <w:rPr>
          <w:b/>
          <w:bCs/>
          <w:rtl w:val="0"/>
          <w:lang w:val="vi-VN" w:eastAsia="vi-VN"/>
        </w:rPr>
        <w:t>Điều 2.</w:t>
      </w:r>
      <w:bookmarkEnd w:id="4"/>
      <w:r>
        <w:rPr>
          <w:b/>
          <w:bCs/>
          <w:rtl w:val="0"/>
          <w:lang w:val="vi-VN" w:eastAsia="vi-VN"/>
        </w:rPr>
        <w:t xml:space="preserve"> </w:t>
      </w:r>
      <w:bookmarkStart w:id="5" w:name="dieu_2_name"/>
      <w:r>
        <w:rPr>
          <w:rtl w:val="0"/>
          <w:lang w:val="vi-VN" w:eastAsia="vi-VN"/>
        </w:rPr>
        <w:t>Quyết định này có hiệu lực kể từ ngày ký.</w:t>
      </w:r>
      <w:bookmarkEnd w:id="5"/>
    </w:p>
    <w:p>
      <w:pPr>
        <w:bidi w:val="0"/>
        <w:spacing w:before="120" w:beforeAutospacing="0" w:after="280" w:afterAutospacing="1"/>
      </w:pPr>
      <w:bookmarkStart w:id="6" w:name="dieu_3"/>
      <w:r>
        <w:rPr>
          <w:b/>
          <w:bCs/>
          <w:rtl w:val="0"/>
          <w:lang w:val="vi-VN" w:eastAsia="vi-VN"/>
        </w:rPr>
        <w:t>Điều 3.</w:t>
      </w:r>
      <w:bookmarkEnd w:id="6"/>
      <w:r>
        <w:rPr>
          <w:b/>
          <w:bCs/>
          <w:rtl w:val="0"/>
          <w:lang w:val="vi-VN" w:eastAsia="vi-VN"/>
        </w:rPr>
        <w:t xml:space="preserve"> </w:t>
      </w:r>
      <w:bookmarkStart w:id="7" w:name="dieu_3_name"/>
      <w:r>
        <w:rPr>
          <w:rtl w:val="0"/>
          <w:lang w:val="vi-VN" w:eastAsia="vi-VN"/>
        </w:rPr>
        <w:t>Chánh Văn phòng Bộ, Cục trưởng Cục Sở hữu trí tuệ, Thủ trưởng các cơ quan, đơn vị thuộc Bộ Khoa học và Công nghệ chịu trách nhiệm thi hành Quyết định này./.</w:t>
      </w:r>
      <w:bookmarkEnd w:id="7"/>
    </w:p>
    <w:p>
      <w:pPr>
        <w:bidi w:val="0"/>
        <w:spacing w:before="120" w:beforeAutospacing="0" w:after="280" w:afterAutospacing="1"/>
      </w:pPr>
      <w:r>
        <w:rPr>
          <w:rtl w:val="0"/>
          <w:lang w:val="vi-VN" w:eastAsia="vi-VN"/>
        </w:rPr>
        <w:t> </w:t>
      </w:r>
    </w:p>
    <w:tbl>
      <w:tblPr>
        <w:jc w:val="left"/>
        <w:tblCellMar>
          <w:top w:w="0" w:type="dxa"/>
          <w:left w:w="0" w:type="dxa"/>
          <w:bottom w:w="0" w:type="dxa"/>
          <w:right w:w="0" w:type="dxa"/>
        </w:tblCellMar>
      </w:tblPr>
      <w:tblGrid>
        <w:gridCol w:w="4299"/>
        <w:gridCol w:w="4341"/>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b/>
                <w:bCs/>
                <w:i/>
                <w:iCs/>
                <w:rtl w:val="0"/>
                <w:lang w:val="vi-VN" w:eastAsia="vi-VN"/>
              </w:rPr>
              <w:br/>
            </w:r>
            <w:r>
              <w:rPr>
                <w:b/>
                <w:bCs/>
                <w:i/>
                <w:iCs/>
                <w:rtl w:val="0"/>
                <w:lang w:val="vi-VN" w:eastAsia="vi-VN"/>
              </w:rPr>
              <w:t>Nơi nhận:</w:t>
            </w:r>
            <w:r>
              <w:rPr>
                <w:b/>
                <w:bCs/>
                <w:i/>
                <w:iCs/>
                <w:rtl w:val="0"/>
                <w:lang w:val="vi-VN" w:eastAsia="vi-VN"/>
              </w:rPr>
              <w:br/>
            </w:r>
            <w:r>
              <w:rPr>
                <w:sz w:val="16"/>
                <w:rtl w:val="0"/>
                <w:lang w:val="vi-VN" w:eastAsia="vi-VN"/>
              </w:rPr>
              <w:t>- Như Điều 3;</w:t>
            </w:r>
            <w:r>
              <w:rPr>
                <w:sz w:val="16"/>
                <w:rtl w:val="0"/>
                <w:lang w:val="vi-VN" w:eastAsia="vi-VN"/>
              </w:rPr>
              <w:br/>
            </w:r>
            <w:r>
              <w:rPr>
                <w:sz w:val="16"/>
                <w:rtl w:val="0"/>
                <w:lang w:val="vi-VN" w:eastAsia="vi-VN"/>
              </w:rPr>
              <w:t>- Bộ trưởng, các Thứ trưởng;</w:t>
            </w:r>
            <w:r>
              <w:rPr>
                <w:sz w:val="16"/>
                <w:rtl w:val="0"/>
                <w:lang w:val="vi-VN" w:eastAsia="vi-VN"/>
              </w:rPr>
              <w:br/>
            </w:r>
            <w:r>
              <w:rPr>
                <w:sz w:val="16"/>
                <w:rtl w:val="0"/>
                <w:lang w:val="vi-VN" w:eastAsia="vi-VN"/>
              </w:rPr>
              <w:t>- Lưu: VT, SHTT (3).</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BỘ TRƯỞNG</w:t>
            </w:r>
            <w:r>
              <w:rPr>
                <w:b/>
                <w:bCs/>
                <w:rtl w:val="0"/>
              </w:rPr>
              <w:br/>
            </w:r>
            <w:r>
              <w:rPr>
                <w:b/>
                <w:bCs/>
                <w:rtl w:val="0"/>
              </w:rPr>
              <w:br/>
            </w:r>
            <w:r>
              <w:rPr>
                <w:b/>
                <w:bCs/>
                <w:rtl w:val="0"/>
              </w:rPr>
              <w:br/>
            </w:r>
            <w:r>
              <w:rPr>
                <w:b/>
                <w:bCs/>
                <w:rtl w:val="0"/>
              </w:rPr>
              <w:br/>
            </w:r>
            <w:r>
              <w:rPr>
                <w:b/>
                <w:bCs/>
                <w:rtl w:val="0"/>
              </w:rPr>
              <w:br/>
            </w:r>
            <w:r>
              <w:rPr>
                <w:b/>
                <w:bCs/>
                <w:rtl w:val="0"/>
              </w:rPr>
              <w:t>Chu Ngọc Anh</w:t>
            </w:r>
          </w:p>
        </w:tc>
      </w:tr>
    </w:tbl>
    <w:p>
      <w:pPr>
        <w:bidi w:val="0"/>
        <w:spacing w:before="120" w:beforeAutospacing="0" w:after="280" w:afterAutospacing="1"/>
      </w:pPr>
      <w:r>
        <w:rPr>
          <w:color w:val="000000"/>
          <w:rtl w:val="0"/>
        </w:rPr>
        <w:t> </w:t>
      </w:r>
    </w:p>
    <w:p>
      <w:pPr>
        <w:bidi w:val="0"/>
        <w:spacing w:before="120" w:beforeAutospacing="0" w:after="280" w:afterAutospacing="1"/>
        <w:jc w:val="center"/>
      </w:pPr>
      <w:bookmarkStart w:id="8" w:name="chuong_pl"/>
      <w:r>
        <w:rPr>
          <w:b/>
          <w:bCs/>
          <w:sz w:val="24"/>
          <w:rtl w:val="0"/>
          <w:lang w:val="vi-VN" w:eastAsia="vi-VN"/>
        </w:rPr>
        <w:t>PHỤ LỤC</w:t>
      </w:r>
      <w:bookmarkEnd w:id="8"/>
    </w:p>
    <w:p>
      <w:pPr>
        <w:bidi w:val="0"/>
        <w:spacing w:before="120" w:beforeAutospacing="0" w:after="280" w:afterAutospacing="1"/>
        <w:jc w:val="center"/>
      </w:pPr>
      <w:bookmarkStart w:id="9" w:name="chuong_pl_name"/>
      <w:r>
        <w:rPr>
          <w:rtl w:val="0"/>
          <w:lang w:val="vi-VN" w:eastAsia="vi-VN"/>
        </w:rPr>
        <w:t>CÁC NHIỆM VỤ CHỦ YẾU THỰC HIỆN CHIẾN LƯỢC SỞ HỮU TRÍ TUỆ ĐẾN NĂM 2030 GIAI ĐOẠN 2020-2025</w:t>
      </w:r>
      <w:bookmarkEnd w:id="9"/>
      <w:r>
        <w:rPr>
          <w:rtl w:val="0"/>
          <w:lang w:val="vi-VN" w:eastAsia="vi-VN"/>
        </w:rPr>
        <w:br/>
      </w:r>
      <w:r>
        <w:rPr>
          <w:rtl w:val="0"/>
          <w:lang w:val="vi-VN" w:eastAsia="vi-VN"/>
        </w:rPr>
        <w:t> </w:t>
      </w:r>
      <w:r>
        <w:rPr>
          <w:i/>
          <w:iCs/>
          <w:rtl w:val="0"/>
          <w:lang w:val="vi-VN" w:eastAsia="vi-VN"/>
        </w:rPr>
        <w:t>(Kèm theo Quyết định số 508/QĐ-BKHCN ngày 03 tháng 3 năm 2020 của Bộ trưởng Bộ Khoa học và Công nghệ)</w:t>
      </w:r>
    </w:p>
    <w:tbl>
      <w:tblPr>
        <w:tblW w:w="5055" w:type="pct"/>
        <w:jc w:val="left"/>
        <w:tblCellMar>
          <w:top w:w="0" w:type="dxa"/>
          <w:left w:w="0" w:type="dxa"/>
          <w:bottom w:w="0" w:type="dxa"/>
          <w:right w:w="0" w:type="dxa"/>
        </w:tblCellMar>
      </w:tblPr>
      <w:tblGrid>
        <w:gridCol w:w="461"/>
        <w:gridCol w:w="2396"/>
        <w:gridCol w:w="1840"/>
        <w:gridCol w:w="1002"/>
        <w:gridCol w:w="1053"/>
        <w:gridCol w:w="870"/>
        <w:gridCol w:w="1114"/>
      </w:tblGrid>
      <w:tr>
        <w:tblPrEx>
          <w:tblW w:w="5055" w:type="pct"/>
          <w:jc w:val="left"/>
          <w:tblCellMar>
            <w:top w:w="0" w:type="dxa"/>
            <w:left w:w="0" w:type="dxa"/>
            <w:bottom w:w="0" w:type="dxa"/>
            <w:right w:w="0" w:type="dxa"/>
          </w:tblCellMar>
        </w:tblPrEx>
        <w:trPr>
          <w:jc w:val="left"/>
        </w:trPr>
        <w:tc>
          <w:tcPr>
            <w:tcW w:w="269" w:type="pct"/>
            <w:tcBorders>
              <w:top w:val="single" w:sz="8" w:space="0" w:color="auto"/>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jc w:val="center"/>
            </w:pPr>
            <w:r>
              <w:rPr>
                <w:b/>
                <w:bCs/>
                <w:rtl w:val="0"/>
                <w:lang w:val="vi-VN" w:eastAsia="vi-VN"/>
              </w:rPr>
              <w:t>TT</w:t>
            </w:r>
          </w:p>
        </w:tc>
        <w:tc>
          <w:tcPr>
            <w:tcW w:w="1428" w:type="pct"/>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jc w:val="center"/>
            </w:pPr>
            <w:r>
              <w:rPr>
                <w:b/>
                <w:bCs/>
                <w:color w:val="000000"/>
                <w:rtl w:val="0"/>
                <w:lang w:val="vi-VN" w:eastAsia="vi-VN"/>
              </w:rPr>
              <w:t>Nội dung, nhiệm vụ</w:t>
            </w:r>
          </w:p>
        </w:tc>
        <w:tc>
          <w:tcPr>
            <w:tcW w:w="1089" w:type="pct"/>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jc w:val="center"/>
            </w:pPr>
            <w:r>
              <w:rPr>
                <w:b/>
                <w:bCs/>
                <w:color w:val="000000"/>
                <w:rtl w:val="0"/>
                <w:lang w:val="vi-VN" w:eastAsia="vi-VN"/>
              </w:rPr>
              <w:t>Yêu cầu, mục đích, kết quả, sản phẩm</w:t>
            </w:r>
          </w:p>
        </w:tc>
        <w:tc>
          <w:tcPr>
            <w:tcW w:w="574" w:type="pct"/>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jc w:val="center"/>
            </w:pPr>
            <w:r>
              <w:rPr>
                <w:b/>
                <w:bCs/>
                <w:color w:val="000000"/>
                <w:rtl w:val="0"/>
                <w:lang w:val="vi-VN" w:eastAsia="vi-VN"/>
              </w:rPr>
              <w:t>Đơn vị chủ trì</w:t>
            </w:r>
          </w:p>
        </w:tc>
        <w:tc>
          <w:tcPr>
            <w:tcW w:w="576" w:type="pct"/>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jc w:val="center"/>
            </w:pPr>
            <w:r>
              <w:rPr>
                <w:b/>
                <w:bCs/>
                <w:color w:val="000000"/>
                <w:rtl w:val="0"/>
                <w:lang w:val="vi-VN" w:eastAsia="vi-VN"/>
              </w:rPr>
              <w:t>Đơn vị phối hợp</w:t>
            </w:r>
          </w:p>
        </w:tc>
        <w:tc>
          <w:tcPr>
            <w:tcW w:w="509" w:type="pct"/>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jc w:val="center"/>
            </w:pPr>
            <w:r>
              <w:rPr>
                <w:b/>
                <w:bCs/>
                <w:color w:val="000000"/>
                <w:rtl w:val="0"/>
                <w:lang w:val="vi-VN" w:eastAsia="vi-VN"/>
              </w:rPr>
              <w:t>Cấp trình</w:t>
            </w:r>
          </w:p>
        </w:tc>
        <w:tc>
          <w:tcPr>
            <w:tcW w:w="554" w:type="pct"/>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jc w:val="center"/>
            </w:pPr>
            <w:r>
              <w:rPr>
                <w:b/>
                <w:bCs/>
                <w:color w:val="000000"/>
                <w:rtl w:val="0"/>
                <w:lang w:val="vi-VN" w:eastAsia="vi-VN"/>
              </w:rPr>
              <w:t>Thời gian trình/hoàn thành</w:t>
            </w:r>
          </w:p>
        </w:tc>
      </w:tr>
      <w:tr>
        <w:tblPrEx>
          <w:tblW w:w="5055" w:type="pct"/>
          <w:jc w:val="left"/>
          <w:tblCellMar>
            <w:top w:w="0" w:type="dxa"/>
            <w:left w:w="0" w:type="dxa"/>
            <w:bottom w:w="0" w:type="dxa"/>
            <w:right w:w="0" w:type="dxa"/>
          </w:tblCellMar>
        </w:tblPrEx>
        <w:trPr>
          <w:jc w:val="left"/>
        </w:trPr>
        <w:tc>
          <w:tcPr>
            <w:tcW w:w="269"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bookmarkStart w:id="10" w:name="dieu_1_1"/>
            <w:r>
              <w:rPr>
                <w:b/>
                <w:bCs/>
                <w:color w:val="000000"/>
                <w:rtl w:val="0"/>
                <w:lang w:val="vi-VN" w:eastAsia="vi-VN"/>
              </w:rPr>
              <w:t>1</w:t>
            </w:r>
            <w:bookmarkEnd w:id="10"/>
          </w:p>
        </w:tc>
        <w:tc>
          <w:tcPr>
            <w:tcW w:w="1428"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bookmarkStart w:id="11" w:name="dieu_1_1_name"/>
            <w:r>
              <w:rPr>
                <w:b/>
                <w:bCs/>
                <w:color w:val="000000"/>
                <w:rtl w:val="0"/>
                <w:lang w:val="vi-VN" w:eastAsia="vi-VN"/>
              </w:rPr>
              <w:t>Phổ biến, hướng dẫn triển khai Chiến lược</w:t>
            </w:r>
            <w:bookmarkEnd w:id="11"/>
          </w:p>
        </w:tc>
        <w:tc>
          <w:tcPr>
            <w:tcW w:w="1089"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color w:val="000000"/>
                <w:rtl w:val="0"/>
                <w:lang w:val="vi-VN" w:eastAsia="vi-VN"/>
              </w:rPr>
              <w:t> </w:t>
            </w:r>
          </w:p>
        </w:tc>
        <w:tc>
          <w:tcPr>
            <w:tcW w:w="574"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color w:val="000000"/>
                <w:rtl w:val="0"/>
                <w:lang w:val="vi-VN" w:eastAsia="vi-VN"/>
              </w:rPr>
              <w:t> </w:t>
            </w:r>
          </w:p>
        </w:tc>
        <w:tc>
          <w:tcPr>
            <w:tcW w:w="576"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color w:val="000000"/>
                <w:rtl w:val="0"/>
                <w:lang w:val="vi-VN" w:eastAsia="vi-VN"/>
              </w:rPr>
              <w:t> </w:t>
            </w:r>
          </w:p>
        </w:tc>
        <w:tc>
          <w:tcPr>
            <w:tcW w:w="509"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color w:val="000000"/>
                <w:rtl w:val="0"/>
                <w:lang w:val="vi-VN" w:eastAsia="vi-VN"/>
              </w:rPr>
              <w:t> </w:t>
            </w:r>
          </w:p>
        </w:tc>
        <w:tc>
          <w:tcPr>
            <w:tcW w:w="554"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jc w:val="center"/>
            </w:pPr>
            <w:r>
              <w:rPr>
                <w:color w:val="000000"/>
                <w:rtl w:val="0"/>
                <w:lang w:val="vi-VN" w:eastAsia="vi-VN"/>
              </w:rPr>
              <w:t> </w:t>
            </w:r>
          </w:p>
        </w:tc>
      </w:tr>
      <w:tr>
        <w:tblPrEx>
          <w:tblW w:w="5055" w:type="pct"/>
          <w:jc w:val="left"/>
          <w:tblCellMar>
            <w:top w:w="0" w:type="dxa"/>
            <w:left w:w="0" w:type="dxa"/>
            <w:bottom w:w="0" w:type="dxa"/>
            <w:right w:w="0" w:type="dxa"/>
          </w:tblCellMar>
        </w:tblPrEx>
        <w:trPr>
          <w:jc w:val="left"/>
        </w:trPr>
        <w:tc>
          <w:tcPr>
            <w:tcW w:w="269"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color w:val="000000"/>
                <w:rtl w:val="0"/>
                <w:lang w:val="vi-VN" w:eastAsia="vi-VN"/>
              </w:rPr>
              <w:t> </w:t>
            </w:r>
          </w:p>
        </w:tc>
        <w:tc>
          <w:tcPr>
            <w:tcW w:w="1428"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color w:val="000000"/>
                <w:rtl w:val="0"/>
                <w:lang w:val="vi-VN" w:eastAsia="vi-VN"/>
              </w:rPr>
              <w:t>Phổ biến, hướng dẫn triển khai thực hiện Chiến lược cho các Bộ, ngành, địa phương</w:t>
            </w:r>
          </w:p>
        </w:tc>
        <w:tc>
          <w:tcPr>
            <w:tcW w:w="1089"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color w:val="000000"/>
                <w:rtl w:val="0"/>
                <w:lang w:val="vi-VN" w:eastAsia="vi-VN"/>
              </w:rPr>
              <w:t>Phổ biến nội dung Chiến lược; hướng dẫn các Bộ, ngành, địa phương triển khai thực hiện Chiến lược theo yêu cầu nhằm đưa các vấn đề về SHTT vào các chương trình, kế hoạch, v.v. của các Bộ, ngành, địa phương.</w:t>
            </w:r>
          </w:p>
        </w:tc>
        <w:tc>
          <w:tcPr>
            <w:tcW w:w="574"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color w:val="000000"/>
                <w:rtl w:val="0"/>
                <w:lang w:val="vi-VN" w:eastAsia="vi-VN"/>
              </w:rPr>
              <w:t>Cục SHTT</w:t>
            </w:r>
          </w:p>
        </w:tc>
        <w:tc>
          <w:tcPr>
            <w:tcW w:w="576"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color w:val="000000"/>
                <w:rtl w:val="0"/>
                <w:lang w:val="vi-VN" w:eastAsia="vi-VN"/>
              </w:rPr>
              <w:t>Các đơn vị liên quan</w:t>
            </w:r>
          </w:p>
        </w:tc>
        <w:tc>
          <w:tcPr>
            <w:tcW w:w="509"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color w:val="000000"/>
                <w:rtl w:val="0"/>
                <w:lang w:val="vi-VN" w:eastAsia="vi-VN"/>
              </w:rPr>
              <w:t> </w:t>
            </w:r>
          </w:p>
        </w:tc>
        <w:tc>
          <w:tcPr>
            <w:tcW w:w="554"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jc w:val="center"/>
            </w:pPr>
            <w:r>
              <w:rPr>
                <w:color w:val="000000"/>
                <w:rtl w:val="0"/>
                <w:lang w:val="vi-VN" w:eastAsia="vi-VN"/>
              </w:rPr>
              <w:t>2025</w:t>
            </w:r>
          </w:p>
        </w:tc>
      </w:tr>
      <w:tr>
        <w:tblPrEx>
          <w:tblW w:w="5055" w:type="pct"/>
          <w:jc w:val="left"/>
          <w:tblCellMar>
            <w:top w:w="0" w:type="dxa"/>
            <w:left w:w="0" w:type="dxa"/>
            <w:bottom w:w="0" w:type="dxa"/>
            <w:right w:w="0" w:type="dxa"/>
          </w:tblCellMar>
        </w:tblPrEx>
        <w:trPr>
          <w:jc w:val="left"/>
        </w:trPr>
        <w:tc>
          <w:tcPr>
            <w:tcW w:w="269"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bookmarkStart w:id="12" w:name="dieu_2_1"/>
            <w:r>
              <w:rPr>
                <w:b/>
                <w:bCs/>
                <w:color w:val="000000"/>
                <w:rtl w:val="0"/>
                <w:lang w:val="vi-VN" w:eastAsia="vi-VN"/>
              </w:rPr>
              <w:t>2</w:t>
            </w:r>
            <w:bookmarkEnd w:id="12"/>
          </w:p>
        </w:tc>
        <w:tc>
          <w:tcPr>
            <w:tcW w:w="1428"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bookmarkStart w:id="13" w:name="dieu_2_1_name"/>
            <w:r>
              <w:rPr>
                <w:b/>
                <w:bCs/>
                <w:color w:val="000000"/>
                <w:rtl w:val="0"/>
                <w:lang w:val="vi-VN" w:eastAsia="vi-VN"/>
              </w:rPr>
              <w:t>Hoàn thiện cơ chế, chính sách, pháp luật để thúc đẩy hoạt động tạo ra, xác lập, khai thác và bảo vệ quyền sở hữu trí tuệ</w:t>
            </w:r>
            <w:bookmarkEnd w:id="13"/>
          </w:p>
        </w:tc>
        <w:tc>
          <w:tcPr>
            <w:tcW w:w="1089"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color w:val="000000"/>
                <w:rtl w:val="0"/>
                <w:lang w:val="vi-VN" w:eastAsia="vi-VN"/>
              </w:rPr>
              <w:t> </w:t>
            </w:r>
          </w:p>
        </w:tc>
        <w:tc>
          <w:tcPr>
            <w:tcW w:w="574"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color w:val="000000"/>
                <w:rtl w:val="0"/>
                <w:lang w:val="vi-VN" w:eastAsia="vi-VN"/>
              </w:rPr>
              <w:t> </w:t>
            </w:r>
          </w:p>
        </w:tc>
        <w:tc>
          <w:tcPr>
            <w:tcW w:w="576"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color w:val="000000"/>
                <w:rtl w:val="0"/>
                <w:lang w:val="vi-VN" w:eastAsia="vi-VN"/>
              </w:rPr>
              <w:t> </w:t>
            </w:r>
          </w:p>
        </w:tc>
        <w:tc>
          <w:tcPr>
            <w:tcW w:w="509"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color w:val="000000"/>
                <w:rtl w:val="0"/>
                <w:lang w:val="vi-VN" w:eastAsia="vi-VN"/>
              </w:rPr>
              <w:t> </w:t>
            </w:r>
          </w:p>
        </w:tc>
        <w:tc>
          <w:tcPr>
            <w:tcW w:w="554"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jc w:val="center"/>
            </w:pPr>
            <w:r>
              <w:rPr>
                <w:color w:val="000000"/>
                <w:rtl w:val="0"/>
                <w:lang w:val="vi-VN" w:eastAsia="vi-VN"/>
              </w:rPr>
              <w:t> </w:t>
            </w:r>
          </w:p>
        </w:tc>
      </w:tr>
      <w:tr>
        <w:tblPrEx>
          <w:tblW w:w="5055" w:type="pct"/>
          <w:jc w:val="left"/>
          <w:tblCellMar>
            <w:top w:w="0" w:type="dxa"/>
            <w:left w:w="0" w:type="dxa"/>
            <w:bottom w:w="0" w:type="dxa"/>
            <w:right w:w="0" w:type="dxa"/>
          </w:tblCellMar>
        </w:tblPrEx>
        <w:trPr>
          <w:jc w:val="left"/>
        </w:trPr>
        <w:tc>
          <w:tcPr>
            <w:tcW w:w="269"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color w:val="000000"/>
                <w:rtl w:val="0"/>
                <w:lang w:val="vi-VN" w:eastAsia="vi-VN"/>
              </w:rPr>
              <w:t>2.1</w:t>
            </w:r>
          </w:p>
        </w:tc>
        <w:tc>
          <w:tcPr>
            <w:tcW w:w="1428"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color w:val="000000"/>
                <w:rtl w:val="0"/>
                <w:lang w:val="vi-VN" w:eastAsia="vi-VN"/>
              </w:rPr>
              <w:t>Xây dựng Luật sửa đổi, bổ sung một số điều của Luật SHTT</w:t>
            </w:r>
          </w:p>
        </w:tc>
        <w:tc>
          <w:tcPr>
            <w:tcW w:w="1089"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280" w:afterAutospacing="1"/>
            </w:pPr>
            <w:r>
              <w:rPr>
                <w:color w:val="000000"/>
                <w:rtl w:val="0"/>
                <w:lang w:val="vi-VN" w:eastAsia="vi-VN"/>
              </w:rPr>
              <w:t>- Hoàn thiện các nội dung cơ bản về pháp luật SHTT, tạo môi trường pháp lý thuận lợi cho hoạt động sáng tạo, bảo hộ, khai thác và bảo vệ quyền SHTT, cân bằng lợi ích giữa các chủ thể, ngăn chặn hiệu quả việc lạm dụng quyền SHTT;</w:t>
            </w:r>
          </w:p>
          <w:p>
            <w:pPr>
              <w:bidi w:val="0"/>
              <w:spacing w:before="120" w:beforeAutospacing="0" w:after="0" w:afterAutospacing="0"/>
              <w:rPr>
                <w:rtl w:val="0"/>
              </w:rPr>
            </w:pPr>
            <w:r>
              <w:rPr>
                <w:color w:val="000000"/>
                <w:rtl w:val="0"/>
                <w:lang w:val="vi-VN" w:eastAsia="vi-VN"/>
              </w:rPr>
              <w:t>- Dự thảo Luật trình Quốc hội.</w:t>
            </w:r>
          </w:p>
        </w:tc>
        <w:tc>
          <w:tcPr>
            <w:tcW w:w="574"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color w:val="000000"/>
                <w:rtl w:val="0"/>
                <w:lang w:val="vi-VN" w:eastAsia="vi-VN"/>
              </w:rPr>
              <w:t>Cục SHTT</w:t>
            </w:r>
          </w:p>
        </w:tc>
        <w:tc>
          <w:tcPr>
            <w:tcW w:w="576"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color w:val="000000"/>
                <w:rtl w:val="0"/>
                <w:lang w:val="vi-VN" w:eastAsia="vi-VN"/>
              </w:rPr>
              <w:t>Vụ PC, các đơn vị liên quan</w:t>
            </w:r>
          </w:p>
        </w:tc>
        <w:tc>
          <w:tcPr>
            <w:tcW w:w="509"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color w:val="000000"/>
                <w:rtl w:val="0"/>
                <w:lang w:val="vi-VN" w:eastAsia="vi-VN"/>
              </w:rPr>
              <w:t>Quốc hội</w:t>
            </w:r>
          </w:p>
        </w:tc>
        <w:tc>
          <w:tcPr>
            <w:tcW w:w="554"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jc w:val="center"/>
            </w:pPr>
            <w:r>
              <w:rPr>
                <w:color w:val="000000"/>
                <w:rtl w:val="0"/>
                <w:lang w:val="vi-VN" w:eastAsia="vi-VN"/>
              </w:rPr>
              <w:t>2021</w:t>
            </w:r>
          </w:p>
        </w:tc>
      </w:tr>
      <w:tr>
        <w:tblPrEx>
          <w:tblW w:w="5055" w:type="pct"/>
          <w:jc w:val="left"/>
          <w:tblCellMar>
            <w:top w:w="0" w:type="dxa"/>
            <w:left w:w="0" w:type="dxa"/>
            <w:bottom w:w="0" w:type="dxa"/>
            <w:right w:w="0" w:type="dxa"/>
          </w:tblCellMar>
        </w:tblPrEx>
        <w:trPr>
          <w:jc w:val="left"/>
        </w:trPr>
        <w:tc>
          <w:tcPr>
            <w:tcW w:w="269"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color w:val="000000"/>
                <w:rtl w:val="0"/>
                <w:lang w:val="vi-VN" w:eastAsia="vi-VN"/>
              </w:rPr>
              <w:t>2.2</w:t>
            </w:r>
          </w:p>
        </w:tc>
        <w:tc>
          <w:tcPr>
            <w:tcW w:w="1428"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color w:val="000000"/>
                <w:rtl w:val="0"/>
                <w:lang w:val="vi-VN" w:eastAsia="vi-VN"/>
              </w:rPr>
              <w:t>Xây dựng Nghị định sửa đổi, bổ sung một số điều của Nghị định số 103/2006/NĐ-CP quy định chi tiết và hướng dẫn thi hành một số điều của Luật SHTT về sở hữu công nghiệp</w:t>
            </w:r>
          </w:p>
        </w:tc>
        <w:tc>
          <w:tcPr>
            <w:tcW w:w="1089"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280" w:afterAutospacing="1"/>
            </w:pPr>
            <w:r>
              <w:rPr>
                <w:color w:val="000000"/>
                <w:rtl w:val="0"/>
                <w:lang w:val="vi-VN" w:eastAsia="vi-VN"/>
              </w:rPr>
              <w:t>- Quy định chi tiết và hướng dẫn thi hành các quy định về sở hữu công nghiệp trong Luật sửa đổi, bổ sung một số điều của Luật SHTT:</w:t>
            </w:r>
          </w:p>
          <w:p>
            <w:pPr>
              <w:bidi w:val="0"/>
              <w:spacing w:before="120" w:beforeAutospacing="0" w:after="0" w:afterAutospacing="0"/>
              <w:rPr>
                <w:rtl w:val="0"/>
              </w:rPr>
            </w:pPr>
            <w:r>
              <w:rPr>
                <w:color w:val="000000"/>
                <w:rtl w:val="0"/>
                <w:lang w:val="vi-VN" w:eastAsia="vi-VN"/>
              </w:rPr>
              <w:t>- Dự thảo Nghị định trình Chính phủ.</w:t>
            </w:r>
          </w:p>
        </w:tc>
        <w:tc>
          <w:tcPr>
            <w:tcW w:w="574"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color w:val="000000"/>
                <w:rtl w:val="0"/>
                <w:lang w:val="vi-VN" w:eastAsia="vi-VN"/>
              </w:rPr>
              <w:t>Cục SHTT</w:t>
            </w:r>
          </w:p>
        </w:tc>
        <w:tc>
          <w:tcPr>
            <w:tcW w:w="576"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color w:val="000000"/>
                <w:rtl w:val="0"/>
                <w:lang w:val="vi-VN" w:eastAsia="vi-VN"/>
              </w:rPr>
              <w:t>Vụ PC, các đơn vị liên quan</w:t>
            </w:r>
          </w:p>
        </w:tc>
        <w:tc>
          <w:tcPr>
            <w:tcW w:w="509"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color w:val="000000"/>
                <w:rtl w:val="0"/>
                <w:lang w:val="vi-VN" w:eastAsia="vi-VN"/>
              </w:rPr>
              <w:t>Chính phủ</w:t>
            </w:r>
          </w:p>
        </w:tc>
        <w:tc>
          <w:tcPr>
            <w:tcW w:w="554"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jc w:val="center"/>
            </w:pPr>
            <w:r>
              <w:rPr>
                <w:color w:val="000000"/>
                <w:rtl w:val="0"/>
                <w:lang w:val="vi-VN" w:eastAsia="vi-VN"/>
              </w:rPr>
              <w:t>2023</w:t>
            </w:r>
          </w:p>
        </w:tc>
      </w:tr>
      <w:tr>
        <w:tblPrEx>
          <w:tblW w:w="5055" w:type="pct"/>
          <w:jc w:val="left"/>
          <w:tblCellMar>
            <w:top w:w="0" w:type="dxa"/>
            <w:left w:w="0" w:type="dxa"/>
            <w:bottom w:w="0" w:type="dxa"/>
            <w:right w:w="0" w:type="dxa"/>
          </w:tblCellMar>
        </w:tblPrEx>
        <w:trPr>
          <w:jc w:val="left"/>
        </w:trPr>
        <w:tc>
          <w:tcPr>
            <w:tcW w:w="269"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color w:val="000000"/>
                <w:rtl w:val="0"/>
                <w:lang w:val="vi-VN" w:eastAsia="vi-VN"/>
              </w:rPr>
              <w:t>2.3</w:t>
            </w:r>
          </w:p>
        </w:tc>
        <w:tc>
          <w:tcPr>
            <w:tcW w:w="1428"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color w:val="000000"/>
                <w:rtl w:val="0"/>
                <w:lang w:val="vi-VN" w:eastAsia="vi-VN"/>
              </w:rPr>
              <w:t>Xây dựng Thông tư sửa đổi, bổ sung một số điều của Thông tư số 01/2007/TT-BKHCN hướng dẫn thi hành Nghị định số 103/2006/NĐ-CP</w:t>
            </w:r>
          </w:p>
        </w:tc>
        <w:tc>
          <w:tcPr>
            <w:tcW w:w="1089"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280" w:afterAutospacing="1"/>
            </w:pPr>
            <w:r>
              <w:rPr>
                <w:color w:val="000000"/>
                <w:rtl w:val="0"/>
                <w:lang w:val="vi-VN" w:eastAsia="vi-VN"/>
              </w:rPr>
              <w:t>- Quy định chi tiết và hướng dẫn thi hành các quy định về sở hữu công nghiệp trong Luật sửa đổi, bổ sung một số điều của Luật SHTT và Nghị định của Chính phủ;</w:t>
            </w:r>
          </w:p>
          <w:p>
            <w:pPr>
              <w:bidi w:val="0"/>
              <w:spacing w:before="120" w:beforeAutospacing="0" w:after="0" w:afterAutospacing="0"/>
              <w:rPr>
                <w:rtl w:val="0"/>
              </w:rPr>
            </w:pPr>
            <w:r>
              <w:rPr>
                <w:color w:val="000000"/>
                <w:rtl w:val="0"/>
                <w:lang w:val="vi-VN" w:eastAsia="vi-VN"/>
              </w:rPr>
              <w:t>- Dự thảo Thông tư trình Bộ trưởng.</w:t>
            </w:r>
          </w:p>
        </w:tc>
        <w:tc>
          <w:tcPr>
            <w:tcW w:w="574"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color w:val="000000"/>
                <w:rtl w:val="0"/>
                <w:lang w:val="vi-VN" w:eastAsia="vi-VN"/>
              </w:rPr>
              <w:t>Cục SHTT</w:t>
            </w:r>
          </w:p>
        </w:tc>
        <w:tc>
          <w:tcPr>
            <w:tcW w:w="576"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color w:val="000000"/>
                <w:rtl w:val="0"/>
                <w:lang w:val="vi-VN" w:eastAsia="vi-VN"/>
              </w:rPr>
              <w:t>Vụ PC, các đơn vị liên quan</w:t>
            </w:r>
          </w:p>
        </w:tc>
        <w:tc>
          <w:tcPr>
            <w:tcW w:w="509"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color w:val="000000"/>
                <w:rtl w:val="0"/>
                <w:lang w:val="vi-VN" w:eastAsia="vi-VN"/>
              </w:rPr>
              <w:t>Bộ trưởng</w:t>
            </w:r>
          </w:p>
        </w:tc>
        <w:tc>
          <w:tcPr>
            <w:tcW w:w="554"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jc w:val="center"/>
            </w:pPr>
            <w:r>
              <w:rPr>
                <w:color w:val="000000"/>
                <w:rtl w:val="0"/>
                <w:lang w:val="vi-VN" w:eastAsia="vi-VN"/>
              </w:rPr>
              <w:t>2023</w:t>
            </w:r>
          </w:p>
        </w:tc>
      </w:tr>
      <w:tr>
        <w:tblPrEx>
          <w:tblW w:w="5055" w:type="pct"/>
          <w:jc w:val="left"/>
          <w:tblCellMar>
            <w:top w:w="0" w:type="dxa"/>
            <w:left w:w="0" w:type="dxa"/>
            <w:bottom w:w="0" w:type="dxa"/>
            <w:right w:w="0" w:type="dxa"/>
          </w:tblCellMar>
        </w:tblPrEx>
        <w:trPr>
          <w:jc w:val="left"/>
        </w:trPr>
        <w:tc>
          <w:tcPr>
            <w:tcW w:w="269"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color w:val="000000"/>
                <w:rtl w:val="0"/>
                <w:lang w:val="vi-VN" w:eastAsia="vi-VN"/>
              </w:rPr>
              <w:t>2.4</w:t>
            </w:r>
          </w:p>
        </w:tc>
        <w:tc>
          <w:tcPr>
            <w:tcW w:w="1428"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color w:val="000000"/>
                <w:rtl w:val="0"/>
                <w:lang w:val="vi-VN" w:eastAsia="vi-VN"/>
              </w:rPr>
              <w:t>Xây dựng Chương trình phát triển tài sản trí tuệ giai đoạn đến năm 2030</w:t>
            </w:r>
          </w:p>
        </w:tc>
        <w:tc>
          <w:tcPr>
            <w:tcW w:w="1089"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280" w:afterAutospacing="1"/>
            </w:pPr>
            <w:r>
              <w:rPr>
                <w:color w:val="000000"/>
                <w:rtl w:val="0"/>
                <w:lang w:val="vi-VN" w:eastAsia="vi-VN"/>
              </w:rPr>
              <w:t>- Góp phần triển khai hiệu quả các nhiệm vụ về phát triển tài sản trí tuệ trong Chiến lược</w:t>
            </w:r>
            <w:r>
              <w:rPr>
                <w:color w:val="000000"/>
                <w:rtl w:val="0"/>
              </w:rPr>
              <w:t xml:space="preserve">; </w:t>
            </w:r>
            <w:r>
              <w:rPr>
                <w:color w:val="000000"/>
                <w:rtl w:val="0"/>
                <w:lang w:val="vi-VN" w:eastAsia="vi-VN"/>
              </w:rPr>
              <w:t>đáp ứng nhu cầu hỗ trợ phát triển tài sản trí tuệ của cơ quan, tổ chức, cá nhân;</w:t>
            </w:r>
          </w:p>
          <w:p>
            <w:pPr>
              <w:bidi w:val="0"/>
              <w:spacing w:before="120" w:beforeAutospacing="0" w:after="0" w:afterAutospacing="0"/>
              <w:rPr>
                <w:rtl w:val="0"/>
              </w:rPr>
            </w:pPr>
            <w:r>
              <w:rPr>
                <w:color w:val="000000"/>
                <w:rtl w:val="0"/>
                <w:lang w:val="vi-VN" w:eastAsia="vi-VN"/>
              </w:rPr>
              <w:t>- Dự thảo Quyết định trình Thủ tướng Chính phủ.</w:t>
            </w:r>
          </w:p>
        </w:tc>
        <w:tc>
          <w:tcPr>
            <w:tcW w:w="574"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color w:val="000000"/>
                <w:rtl w:val="0"/>
                <w:lang w:val="vi-VN" w:eastAsia="vi-VN"/>
              </w:rPr>
              <w:t>Cục SHTT</w:t>
            </w:r>
          </w:p>
        </w:tc>
        <w:tc>
          <w:tcPr>
            <w:tcW w:w="576"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color w:val="000000"/>
                <w:rtl w:val="0"/>
                <w:lang w:val="vi-VN" w:eastAsia="vi-VN"/>
              </w:rPr>
              <w:t>Các đơn vị liên quan</w:t>
            </w:r>
          </w:p>
        </w:tc>
        <w:tc>
          <w:tcPr>
            <w:tcW w:w="509"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color w:val="000000"/>
                <w:rtl w:val="0"/>
                <w:lang w:val="vi-VN" w:eastAsia="vi-VN"/>
              </w:rPr>
              <w:t>Thủ tướng Chính phủ</w:t>
            </w:r>
          </w:p>
        </w:tc>
        <w:tc>
          <w:tcPr>
            <w:tcW w:w="554"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jc w:val="center"/>
            </w:pPr>
            <w:r>
              <w:rPr>
                <w:color w:val="000000"/>
                <w:rtl w:val="0"/>
                <w:lang w:val="vi-VN" w:eastAsia="vi-VN"/>
              </w:rPr>
              <w:t>2020</w:t>
            </w:r>
          </w:p>
        </w:tc>
      </w:tr>
      <w:tr>
        <w:tblPrEx>
          <w:tblW w:w="5055" w:type="pct"/>
          <w:jc w:val="left"/>
          <w:tblCellMar>
            <w:top w:w="0" w:type="dxa"/>
            <w:left w:w="0" w:type="dxa"/>
            <w:bottom w:w="0" w:type="dxa"/>
            <w:right w:w="0" w:type="dxa"/>
          </w:tblCellMar>
        </w:tblPrEx>
        <w:trPr>
          <w:jc w:val="left"/>
        </w:trPr>
        <w:tc>
          <w:tcPr>
            <w:tcW w:w="269"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color w:val="000000"/>
                <w:rtl w:val="0"/>
                <w:lang w:val="vi-VN" w:eastAsia="vi-VN"/>
              </w:rPr>
              <w:t>2.5</w:t>
            </w:r>
          </w:p>
        </w:tc>
        <w:tc>
          <w:tcPr>
            <w:tcW w:w="1428"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color w:val="000000"/>
                <w:rtl w:val="0"/>
                <w:lang w:val="vi-VN" w:eastAsia="vi-VN"/>
              </w:rPr>
              <w:t>Rà soát, hoàn thiện các quy định pháp luật liên quan đến giao dịch tài sản trí tuệ: góp vốn, định giá, giao dịch bảo đảm, kế toán, kiểm toán tài sản trí tuệ</w:t>
            </w:r>
          </w:p>
        </w:tc>
        <w:tc>
          <w:tcPr>
            <w:tcW w:w="1089"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280" w:afterAutospacing="1"/>
            </w:pPr>
            <w:r>
              <w:rPr>
                <w:color w:val="000000"/>
                <w:rtl w:val="0"/>
                <w:lang w:val="vi-VN" w:eastAsia="vi-VN"/>
              </w:rPr>
              <w:t>- Nghiên cứu, rà soát và đề xuất hoàn thiện các văn bản quy phạm pháp luật liên quan: về chuyển giao công nghệ, về SHTT, về tài chính, v.v. nhằm thúc đẩy các giao dịch tài sản trí tuệ như góp vốn, định giá, giao dịch bảo đảm, kế toán, kiểm toán tài sản trí tuệ, v.v.</w:t>
            </w:r>
          </w:p>
          <w:p>
            <w:pPr>
              <w:bidi w:val="0"/>
              <w:spacing w:before="120" w:beforeAutospacing="0" w:after="0" w:afterAutospacing="0"/>
              <w:rPr>
                <w:rtl w:val="0"/>
              </w:rPr>
            </w:pPr>
            <w:r>
              <w:rPr>
                <w:color w:val="000000"/>
                <w:rtl w:val="0"/>
                <w:lang w:val="vi-VN" w:eastAsia="vi-VN"/>
              </w:rPr>
              <w:t>- Báo cáo kết quả thực hiện; kiến nghị gửi các cơ quan có thẩm quyền.</w:t>
            </w:r>
          </w:p>
        </w:tc>
        <w:tc>
          <w:tcPr>
            <w:tcW w:w="574"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color w:val="000000"/>
                <w:rtl w:val="0"/>
                <w:lang w:val="vi-VN" w:eastAsia="vi-VN"/>
              </w:rPr>
              <w:t>Cục PTTTDN</w:t>
            </w:r>
          </w:p>
        </w:tc>
        <w:tc>
          <w:tcPr>
            <w:tcW w:w="576"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color w:val="000000"/>
                <w:rtl w:val="0"/>
                <w:lang w:val="vi-VN" w:eastAsia="vi-VN"/>
              </w:rPr>
              <w:t>Cục SHTT, Viện KHSHTT và các đơn vị liên quan</w:t>
            </w:r>
          </w:p>
        </w:tc>
        <w:tc>
          <w:tcPr>
            <w:tcW w:w="509"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color w:val="000000"/>
                <w:rtl w:val="0"/>
                <w:lang w:val="vi-VN" w:eastAsia="vi-VN"/>
              </w:rPr>
              <w:t> </w:t>
            </w:r>
          </w:p>
        </w:tc>
        <w:tc>
          <w:tcPr>
            <w:tcW w:w="554"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jc w:val="center"/>
            </w:pPr>
            <w:r>
              <w:rPr>
                <w:color w:val="000000"/>
                <w:rtl w:val="0"/>
                <w:lang w:val="vi-VN" w:eastAsia="vi-VN"/>
              </w:rPr>
              <w:t>2022</w:t>
            </w:r>
          </w:p>
        </w:tc>
      </w:tr>
      <w:tr>
        <w:tblPrEx>
          <w:tblW w:w="5055" w:type="pct"/>
          <w:jc w:val="left"/>
          <w:tblCellMar>
            <w:top w:w="0" w:type="dxa"/>
            <w:left w:w="0" w:type="dxa"/>
            <w:bottom w:w="0" w:type="dxa"/>
            <w:right w:w="0" w:type="dxa"/>
          </w:tblCellMar>
        </w:tblPrEx>
        <w:trPr>
          <w:jc w:val="left"/>
        </w:trPr>
        <w:tc>
          <w:tcPr>
            <w:tcW w:w="269"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color w:val="000000"/>
                <w:rtl w:val="0"/>
                <w:lang w:val="vi-VN" w:eastAsia="vi-VN"/>
              </w:rPr>
              <w:t>2.6</w:t>
            </w:r>
          </w:p>
        </w:tc>
        <w:tc>
          <w:tcPr>
            <w:tcW w:w="1428"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color w:val="000000"/>
                <w:rtl w:val="0"/>
                <w:lang w:val="vi-VN" w:eastAsia="vi-VN"/>
              </w:rPr>
              <w:t>Rà soát, hoàn thiện cơ chế, chính sách về tài chính, tín dụng, tạo điều kiện thuận lợi để thúc đẩy việc khai thác, thương mại hóa kết quả nghiên cứu, tài sản trí tuệ được hình thành từ nhiệm vụ KH&amp;CN có sử dụng ngân sách nhà nước</w:t>
            </w:r>
          </w:p>
        </w:tc>
        <w:tc>
          <w:tcPr>
            <w:tcW w:w="1089"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280" w:afterAutospacing="1"/>
            </w:pPr>
            <w:r>
              <w:rPr>
                <w:color w:val="000000"/>
                <w:rtl w:val="0"/>
                <w:lang w:val="vi-VN" w:eastAsia="vi-VN"/>
              </w:rPr>
              <w:t xml:space="preserve">- Nghiên cứu, rà soát và đề xuất hoàn thiện hệ thống văn bản quy phạm pháp luật liên quan bao gồm pháp luật về KH&amp;CN, về SHTT, về chuyển giao công nghệ (thương mại hóa kết quả nghiên cứu, doanh nghiệp KH&amp;CN, tổ chức trung gian. </w:t>
            </w:r>
            <w:r>
              <w:rPr>
                <w:color w:val="000000"/>
                <w:rtl w:val="0"/>
              </w:rPr>
              <w:t>v</w:t>
            </w:r>
            <w:r>
              <w:rPr>
                <w:color w:val="000000"/>
                <w:rtl w:val="0"/>
                <w:lang w:val="vi-VN" w:eastAsia="vi-VN"/>
              </w:rPr>
              <w:t>.</w:t>
            </w:r>
            <w:r>
              <w:rPr>
                <w:color w:val="000000"/>
                <w:rtl w:val="0"/>
              </w:rPr>
              <w:t>v</w:t>
            </w:r>
            <w:r>
              <w:rPr>
                <w:color w:val="000000"/>
                <w:rtl w:val="0"/>
                <w:lang w:val="vi-VN" w:eastAsia="vi-VN"/>
              </w:rPr>
              <w:t>.), về quản lý và sử dụng tài sản công (chuyển giao kết quả nghiên cứu sử dụng ngân sách nhà nước), quy trình, thủ tục xét duyệt các nhiệm vụ KH&amp;CN, v.v.;</w:t>
            </w:r>
          </w:p>
          <w:p>
            <w:pPr>
              <w:bidi w:val="0"/>
              <w:spacing w:before="120" w:beforeAutospacing="0" w:after="0" w:afterAutospacing="0"/>
              <w:rPr>
                <w:rtl w:val="0"/>
              </w:rPr>
            </w:pPr>
            <w:r>
              <w:rPr>
                <w:color w:val="000000"/>
                <w:rtl w:val="0"/>
                <w:lang w:val="vi-VN" w:eastAsia="vi-VN"/>
              </w:rPr>
              <w:t>- Báo cáo kết quả thực hiện; kiến nghị gửi các cơ quan có thẩm quyền.</w:t>
            </w:r>
          </w:p>
        </w:tc>
        <w:tc>
          <w:tcPr>
            <w:tcW w:w="574"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color w:val="000000"/>
                <w:rtl w:val="0"/>
                <w:lang w:val="vi-VN" w:eastAsia="vi-VN"/>
              </w:rPr>
              <w:t>Cục PTTTDN</w:t>
            </w:r>
          </w:p>
        </w:tc>
        <w:tc>
          <w:tcPr>
            <w:tcW w:w="576"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color w:val="000000"/>
                <w:rtl w:val="0"/>
                <w:lang w:val="vi-VN" w:eastAsia="vi-VN"/>
              </w:rPr>
              <w:t>Vụ KHTC, Cục SHTT, Viện KHSHTT và các đơn vị liên quan</w:t>
            </w:r>
          </w:p>
        </w:tc>
        <w:tc>
          <w:tcPr>
            <w:tcW w:w="509"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color w:val="000000"/>
                <w:rtl w:val="0"/>
                <w:lang w:val="vi-VN" w:eastAsia="vi-VN"/>
              </w:rPr>
              <w:t> </w:t>
            </w:r>
          </w:p>
        </w:tc>
        <w:tc>
          <w:tcPr>
            <w:tcW w:w="554"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jc w:val="center"/>
            </w:pPr>
            <w:r>
              <w:rPr>
                <w:color w:val="000000"/>
                <w:rtl w:val="0"/>
                <w:lang w:val="vi-VN" w:eastAsia="vi-VN"/>
              </w:rPr>
              <w:t>2023</w:t>
            </w:r>
          </w:p>
        </w:tc>
      </w:tr>
      <w:tr>
        <w:tblPrEx>
          <w:tblW w:w="5055" w:type="pct"/>
          <w:jc w:val="left"/>
          <w:tblCellMar>
            <w:top w:w="0" w:type="dxa"/>
            <w:left w:w="0" w:type="dxa"/>
            <w:bottom w:w="0" w:type="dxa"/>
            <w:right w:w="0" w:type="dxa"/>
          </w:tblCellMar>
        </w:tblPrEx>
        <w:trPr>
          <w:jc w:val="left"/>
        </w:trPr>
        <w:tc>
          <w:tcPr>
            <w:tcW w:w="269"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bookmarkStart w:id="14" w:name="dieu_3_1"/>
            <w:r>
              <w:rPr>
                <w:b/>
                <w:bCs/>
                <w:color w:val="000000"/>
                <w:rtl w:val="0"/>
                <w:lang w:val="vi-VN" w:eastAsia="vi-VN"/>
              </w:rPr>
              <w:t>3</w:t>
            </w:r>
            <w:bookmarkEnd w:id="14"/>
          </w:p>
        </w:tc>
        <w:tc>
          <w:tcPr>
            <w:tcW w:w="1428"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bookmarkStart w:id="15" w:name="dieu_3_1_name"/>
            <w:r>
              <w:rPr>
                <w:b/>
                <w:bCs/>
                <w:color w:val="000000"/>
                <w:rtl w:val="0"/>
                <w:lang w:val="vi-VN" w:eastAsia="vi-VN"/>
              </w:rPr>
              <w:t>Thực hiện đồng bộ các giải pháp nâng cao hiệu lực, hiệu quả quản lý nhà nước về sở hữu trí tuệ</w:t>
            </w:r>
            <w:bookmarkEnd w:id="15"/>
          </w:p>
        </w:tc>
        <w:tc>
          <w:tcPr>
            <w:tcW w:w="1089"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color w:val="000000"/>
                <w:rtl w:val="0"/>
                <w:lang w:val="vi-VN" w:eastAsia="vi-VN"/>
              </w:rPr>
              <w:t> </w:t>
            </w:r>
          </w:p>
        </w:tc>
        <w:tc>
          <w:tcPr>
            <w:tcW w:w="574"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color w:val="000000"/>
                <w:rtl w:val="0"/>
                <w:lang w:val="vi-VN" w:eastAsia="vi-VN"/>
              </w:rPr>
              <w:t> </w:t>
            </w:r>
          </w:p>
        </w:tc>
        <w:tc>
          <w:tcPr>
            <w:tcW w:w="576"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color w:val="000000"/>
                <w:rtl w:val="0"/>
                <w:lang w:val="vi-VN" w:eastAsia="vi-VN"/>
              </w:rPr>
              <w:t> </w:t>
            </w:r>
          </w:p>
        </w:tc>
        <w:tc>
          <w:tcPr>
            <w:tcW w:w="509"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color w:val="000000"/>
                <w:rtl w:val="0"/>
                <w:lang w:val="vi-VN" w:eastAsia="vi-VN"/>
              </w:rPr>
              <w:t> </w:t>
            </w:r>
          </w:p>
        </w:tc>
        <w:tc>
          <w:tcPr>
            <w:tcW w:w="554"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jc w:val="center"/>
            </w:pPr>
            <w:r>
              <w:rPr>
                <w:color w:val="000000"/>
                <w:rtl w:val="0"/>
                <w:lang w:val="vi-VN" w:eastAsia="vi-VN"/>
              </w:rPr>
              <w:t> </w:t>
            </w:r>
          </w:p>
        </w:tc>
      </w:tr>
      <w:tr>
        <w:tblPrEx>
          <w:tblW w:w="5055" w:type="pct"/>
          <w:jc w:val="left"/>
          <w:tblCellMar>
            <w:top w:w="0" w:type="dxa"/>
            <w:left w:w="0" w:type="dxa"/>
            <w:bottom w:w="0" w:type="dxa"/>
            <w:right w:w="0" w:type="dxa"/>
          </w:tblCellMar>
        </w:tblPrEx>
        <w:trPr>
          <w:jc w:val="left"/>
        </w:trPr>
        <w:tc>
          <w:tcPr>
            <w:tcW w:w="269"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color w:val="000000"/>
                <w:rtl w:val="0"/>
                <w:lang w:val="vi-VN" w:eastAsia="vi-VN"/>
              </w:rPr>
              <w:t>3.1</w:t>
            </w:r>
          </w:p>
        </w:tc>
        <w:tc>
          <w:tcPr>
            <w:tcW w:w="1428"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color w:val="000000"/>
                <w:rtl w:val="0"/>
                <w:lang w:val="vi-VN" w:eastAsia="vi-VN"/>
              </w:rPr>
              <w:t>Đẩy mạnh ứng dụng công nghệ thông tin trong giải quyết thủ tục hành chính, quản trị và xử lý đơn sở hữu công nghiệp; thực hiện dịch vụ công trực tuyến</w:t>
            </w:r>
          </w:p>
        </w:tc>
        <w:tc>
          <w:tcPr>
            <w:tcW w:w="1089"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280" w:afterAutospacing="1"/>
            </w:pPr>
            <w:r>
              <w:rPr>
                <w:color w:val="000000"/>
                <w:rtl w:val="0"/>
                <w:lang w:val="vi-VN" w:eastAsia="vi-VN"/>
              </w:rPr>
              <w:t>- Cung cấp dịch vụ công trực tuyến theo lộ trình;</w:t>
            </w:r>
          </w:p>
          <w:p>
            <w:pPr>
              <w:bidi w:val="0"/>
              <w:spacing w:before="120" w:beforeAutospacing="0" w:after="0" w:afterAutospacing="0"/>
              <w:rPr>
                <w:rtl w:val="0"/>
              </w:rPr>
            </w:pPr>
            <w:r>
              <w:rPr>
                <w:color w:val="000000"/>
                <w:rtl w:val="0"/>
                <w:lang w:val="vi-VN" w:eastAsia="vi-VN"/>
              </w:rPr>
              <w:t>- Hoàn thành và bảo đảm hoạt động hiệu quả các dự án công nghệ thông tin.</w:t>
            </w:r>
          </w:p>
        </w:tc>
        <w:tc>
          <w:tcPr>
            <w:tcW w:w="574"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color w:val="000000"/>
                <w:rtl w:val="0"/>
                <w:lang w:val="vi-VN" w:eastAsia="vi-VN"/>
              </w:rPr>
              <w:t>Cục SHTT</w:t>
            </w:r>
          </w:p>
        </w:tc>
        <w:tc>
          <w:tcPr>
            <w:tcW w:w="576"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color w:val="000000"/>
                <w:rtl w:val="0"/>
                <w:lang w:val="vi-VN" w:eastAsia="vi-VN"/>
              </w:rPr>
              <w:t> </w:t>
            </w:r>
          </w:p>
        </w:tc>
        <w:tc>
          <w:tcPr>
            <w:tcW w:w="509"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color w:val="000000"/>
                <w:rtl w:val="0"/>
                <w:lang w:val="vi-VN" w:eastAsia="vi-VN"/>
              </w:rPr>
              <w:t> </w:t>
            </w:r>
          </w:p>
        </w:tc>
        <w:tc>
          <w:tcPr>
            <w:tcW w:w="554"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jc w:val="center"/>
            </w:pPr>
            <w:r>
              <w:rPr>
                <w:color w:val="000000"/>
                <w:rtl w:val="0"/>
                <w:lang w:val="vi-VN" w:eastAsia="vi-VN"/>
              </w:rPr>
              <w:t>2025</w:t>
            </w:r>
          </w:p>
        </w:tc>
      </w:tr>
      <w:tr>
        <w:tblPrEx>
          <w:tblW w:w="5055" w:type="pct"/>
          <w:jc w:val="left"/>
          <w:tblCellMar>
            <w:top w:w="0" w:type="dxa"/>
            <w:left w:w="0" w:type="dxa"/>
            <w:bottom w:w="0" w:type="dxa"/>
            <w:right w:w="0" w:type="dxa"/>
          </w:tblCellMar>
        </w:tblPrEx>
        <w:trPr>
          <w:jc w:val="left"/>
        </w:trPr>
        <w:tc>
          <w:tcPr>
            <w:tcW w:w="269"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color w:val="000000"/>
                <w:rtl w:val="0"/>
                <w:lang w:val="vi-VN" w:eastAsia="vi-VN"/>
              </w:rPr>
              <w:t>3.2</w:t>
            </w:r>
          </w:p>
        </w:tc>
        <w:tc>
          <w:tcPr>
            <w:tcW w:w="1428"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color w:val="000000"/>
                <w:rtl w:val="0"/>
                <w:lang w:val="vi-VN" w:eastAsia="vi-VN"/>
              </w:rPr>
              <w:t>Sửa đổi các quy chế liên quan đến xử lý đơn đăng ký sở hữu công nghiệp</w:t>
            </w:r>
          </w:p>
        </w:tc>
        <w:tc>
          <w:tcPr>
            <w:tcW w:w="1089"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280" w:afterAutospacing="1"/>
            </w:pPr>
            <w:r>
              <w:rPr>
                <w:color w:val="000000"/>
                <w:rtl w:val="0"/>
                <w:lang w:val="vi-VN" w:eastAsia="vi-VN"/>
              </w:rPr>
              <w:t>- Các quy chế được hoàn thiện, góp phần bảo đảm thời gian theo luật định và nâng cao chất lượng xử lý đơn sở hữu công nghiệp;</w:t>
            </w:r>
          </w:p>
          <w:p>
            <w:pPr>
              <w:bidi w:val="0"/>
              <w:spacing w:before="120" w:beforeAutospacing="0" w:after="0" w:afterAutospacing="0"/>
              <w:rPr>
                <w:rtl w:val="0"/>
              </w:rPr>
            </w:pPr>
            <w:r>
              <w:rPr>
                <w:color w:val="000000"/>
                <w:rtl w:val="0"/>
                <w:lang w:val="vi-VN" w:eastAsia="vi-VN"/>
              </w:rPr>
              <w:t>- Quyết định của Cục trưởng Cục SHTT ban hành Quy chế sửa đổi, bổ sung.</w:t>
            </w:r>
          </w:p>
        </w:tc>
        <w:tc>
          <w:tcPr>
            <w:tcW w:w="574"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color w:val="000000"/>
                <w:rtl w:val="0"/>
                <w:lang w:val="vi-VN" w:eastAsia="vi-VN"/>
              </w:rPr>
              <w:t>Cục SHTT</w:t>
            </w:r>
          </w:p>
        </w:tc>
        <w:tc>
          <w:tcPr>
            <w:tcW w:w="576"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color w:val="000000"/>
                <w:rtl w:val="0"/>
                <w:lang w:val="vi-VN" w:eastAsia="vi-VN"/>
              </w:rPr>
              <w:t> </w:t>
            </w:r>
          </w:p>
        </w:tc>
        <w:tc>
          <w:tcPr>
            <w:tcW w:w="509"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color w:val="000000"/>
                <w:rtl w:val="0"/>
                <w:lang w:val="vi-VN" w:eastAsia="vi-VN"/>
              </w:rPr>
              <w:t> </w:t>
            </w:r>
          </w:p>
        </w:tc>
        <w:tc>
          <w:tcPr>
            <w:tcW w:w="554"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jc w:val="center"/>
            </w:pPr>
            <w:r>
              <w:rPr>
                <w:color w:val="000000"/>
                <w:rtl w:val="0"/>
                <w:lang w:val="vi-VN" w:eastAsia="vi-VN"/>
              </w:rPr>
              <w:t>2021</w:t>
            </w:r>
          </w:p>
        </w:tc>
      </w:tr>
      <w:tr>
        <w:tblPrEx>
          <w:tblW w:w="5055" w:type="pct"/>
          <w:jc w:val="left"/>
          <w:tblCellMar>
            <w:top w:w="0" w:type="dxa"/>
            <w:left w:w="0" w:type="dxa"/>
            <w:bottom w:w="0" w:type="dxa"/>
            <w:right w:w="0" w:type="dxa"/>
          </w:tblCellMar>
        </w:tblPrEx>
        <w:trPr>
          <w:jc w:val="left"/>
        </w:trPr>
        <w:tc>
          <w:tcPr>
            <w:tcW w:w="269"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color w:val="000000"/>
                <w:rtl w:val="0"/>
                <w:lang w:val="vi-VN" w:eastAsia="vi-VN"/>
              </w:rPr>
              <w:t>3.3</w:t>
            </w:r>
          </w:p>
        </w:tc>
        <w:tc>
          <w:tcPr>
            <w:tcW w:w="1428"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color w:val="000000"/>
                <w:rtl w:val="0"/>
                <w:lang w:val="vi-VN" w:eastAsia="vi-VN"/>
              </w:rPr>
              <w:t>Xây dựng Đề án Kiện toàn tổ chức và hoạt động của cơ quan xác lập quyền sở hữu công nghiệp</w:t>
            </w:r>
          </w:p>
        </w:tc>
        <w:tc>
          <w:tcPr>
            <w:tcW w:w="1089"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280" w:afterAutospacing="1"/>
            </w:pPr>
            <w:r>
              <w:rPr>
                <w:color w:val="000000"/>
                <w:rtl w:val="0"/>
                <w:lang w:val="vi-VN" w:eastAsia="vi-VN"/>
              </w:rPr>
              <w:t>- Kiện toàn tổ chức bộ máy và hoạt động, nâng cao năng lực của Cục SHTT: cơ cấu tổ chức, bộ máy, nguồn lực bảo đảm hoạt động (nhân lực, tài chính, cơ sở vật chất kỹ thuật, v.v.);</w:t>
            </w:r>
          </w:p>
          <w:p>
            <w:pPr>
              <w:bidi w:val="0"/>
              <w:spacing w:before="120" w:beforeAutospacing="0" w:after="0" w:afterAutospacing="0"/>
              <w:rPr>
                <w:rtl w:val="0"/>
              </w:rPr>
            </w:pPr>
            <w:r>
              <w:rPr>
                <w:color w:val="000000"/>
                <w:rtl w:val="0"/>
                <w:lang w:val="vi-VN" w:eastAsia="vi-VN"/>
              </w:rPr>
              <w:t>- Dự thảo Quyết định của Bộ trưởng phê duyệt Đề án.</w:t>
            </w:r>
          </w:p>
        </w:tc>
        <w:tc>
          <w:tcPr>
            <w:tcW w:w="574"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color w:val="000000"/>
                <w:rtl w:val="0"/>
                <w:lang w:val="vi-VN" w:eastAsia="vi-VN"/>
              </w:rPr>
              <w:t>Cục SHTT</w:t>
            </w:r>
          </w:p>
        </w:tc>
        <w:tc>
          <w:tcPr>
            <w:tcW w:w="576"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color w:val="000000"/>
                <w:rtl w:val="0"/>
                <w:lang w:val="vi-VN" w:eastAsia="vi-VN"/>
              </w:rPr>
              <w:t>Vụ TCCB, các đơn vị liên quan</w:t>
            </w:r>
          </w:p>
        </w:tc>
        <w:tc>
          <w:tcPr>
            <w:tcW w:w="509"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color w:val="000000"/>
                <w:rtl w:val="0"/>
                <w:lang w:val="vi-VN" w:eastAsia="vi-VN"/>
              </w:rPr>
              <w:t>Bộ trưởng</w:t>
            </w:r>
          </w:p>
        </w:tc>
        <w:tc>
          <w:tcPr>
            <w:tcW w:w="554"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jc w:val="center"/>
            </w:pPr>
            <w:r>
              <w:rPr>
                <w:color w:val="000000"/>
                <w:rtl w:val="0"/>
                <w:lang w:val="vi-VN" w:eastAsia="vi-VN"/>
              </w:rPr>
              <w:t>2020</w:t>
            </w:r>
          </w:p>
        </w:tc>
      </w:tr>
      <w:tr>
        <w:tblPrEx>
          <w:tblW w:w="5055" w:type="pct"/>
          <w:jc w:val="left"/>
          <w:tblCellMar>
            <w:top w:w="0" w:type="dxa"/>
            <w:left w:w="0" w:type="dxa"/>
            <w:bottom w:w="0" w:type="dxa"/>
            <w:right w:w="0" w:type="dxa"/>
          </w:tblCellMar>
        </w:tblPrEx>
        <w:trPr>
          <w:jc w:val="left"/>
        </w:trPr>
        <w:tc>
          <w:tcPr>
            <w:tcW w:w="269"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color w:val="000000"/>
                <w:rtl w:val="0"/>
                <w:lang w:val="vi-VN" w:eastAsia="vi-VN"/>
              </w:rPr>
              <w:t>3.4</w:t>
            </w:r>
          </w:p>
        </w:tc>
        <w:tc>
          <w:tcPr>
            <w:tcW w:w="1428"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color w:val="000000"/>
                <w:rtl w:val="0"/>
                <w:lang w:val="vi-VN" w:eastAsia="vi-VN"/>
              </w:rPr>
              <w:t>Nâng cấp cơ sở dữ liệu về sở hữu công nghiệp, bảo đảm phục vụ hoạt động nghiên cứu và phát triển, xác lập, khai thác, bảo vệ quyền SHTT</w:t>
            </w:r>
          </w:p>
        </w:tc>
        <w:tc>
          <w:tcPr>
            <w:tcW w:w="1089"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color w:val="000000"/>
                <w:rtl w:val="0"/>
                <w:lang w:val="vi-VN" w:eastAsia="vi-VN"/>
              </w:rPr>
              <w:t>- Hệ thống cơ sở dữ liệu được số hóa, nâng cấp, thông tin về các đối tượng SHTT đầy đủ và cập nhật kịp thời; có công cụ nhận dạng, phân loại, sắp xếp khoa học; dễ dàng truy cập và khai thác thông tin.</w:t>
            </w:r>
          </w:p>
        </w:tc>
        <w:tc>
          <w:tcPr>
            <w:tcW w:w="574"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color w:val="000000"/>
                <w:rtl w:val="0"/>
                <w:lang w:val="vi-VN" w:eastAsia="vi-VN"/>
              </w:rPr>
              <w:t>Cục SHTT</w:t>
            </w:r>
          </w:p>
        </w:tc>
        <w:tc>
          <w:tcPr>
            <w:tcW w:w="576"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color w:val="000000"/>
                <w:rtl w:val="0"/>
                <w:lang w:val="vi-VN" w:eastAsia="vi-VN"/>
              </w:rPr>
              <w:t>Các đơn vị liên quan</w:t>
            </w:r>
          </w:p>
        </w:tc>
        <w:tc>
          <w:tcPr>
            <w:tcW w:w="509"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color w:val="000000"/>
                <w:rtl w:val="0"/>
                <w:lang w:val="vi-VN" w:eastAsia="vi-VN"/>
              </w:rPr>
              <w:t> </w:t>
            </w:r>
          </w:p>
        </w:tc>
        <w:tc>
          <w:tcPr>
            <w:tcW w:w="554"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jc w:val="center"/>
            </w:pPr>
            <w:r>
              <w:rPr>
                <w:color w:val="000000"/>
                <w:rtl w:val="0"/>
                <w:lang w:val="vi-VN" w:eastAsia="vi-VN"/>
              </w:rPr>
              <w:t>2023</w:t>
            </w:r>
          </w:p>
        </w:tc>
      </w:tr>
      <w:tr>
        <w:tblPrEx>
          <w:tblW w:w="5055" w:type="pct"/>
          <w:jc w:val="left"/>
          <w:tblCellMar>
            <w:top w:w="0" w:type="dxa"/>
            <w:left w:w="0" w:type="dxa"/>
            <w:bottom w:w="0" w:type="dxa"/>
            <w:right w:w="0" w:type="dxa"/>
          </w:tblCellMar>
        </w:tblPrEx>
        <w:trPr>
          <w:jc w:val="left"/>
        </w:trPr>
        <w:tc>
          <w:tcPr>
            <w:tcW w:w="269"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color w:val="000000"/>
                <w:rtl w:val="0"/>
                <w:lang w:val="vi-VN" w:eastAsia="vi-VN"/>
              </w:rPr>
              <w:t>3.5</w:t>
            </w:r>
          </w:p>
        </w:tc>
        <w:tc>
          <w:tcPr>
            <w:tcW w:w="1428"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color w:val="000000"/>
                <w:rtl w:val="0"/>
                <w:lang w:val="vi-VN" w:eastAsia="vi-VN"/>
              </w:rPr>
              <w:t>Nghiên cứu, xây dựng các chỉ tiêu về tài sản trí tuệ để bổ sung vào hệ thống chỉ tiêu thống kê ngành KH&amp;CN</w:t>
            </w:r>
          </w:p>
        </w:tc>
        <w:tc>
          <w:tcPr>
            <w:tcW w:w="1089"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280" w:afterAutospacing="1"/>
            </w:pPr>
            <w:r>
              <w:rPr>
                <w:color w:val="000000"/>
                <w:rtl w:val="0"/>
                <w:lang w:val="vi-VN" w:eastAsia="vi-VN"/>
              </w:rPr>
              <w:t>- Rà soát, nghiên cứu, xác định được các chỉ tiêu về tài sản trí tuệ cần bổ sung vào hệ thống chỉ tiêu thống kê ngành KH&amp;CN, bảo đảm phục vụ công tác thống kê của ngành KH&amp;CN, hướng tới đưa chỉ tiêu về tài sản trí tuệ thành chỉ tiêu thống kê quốc gia của các ngành, phục vụ đánh giá mức độ phát triển kinh tế - xã hội:</w:t>
            </w:r>
          </w:p>
          <w:p>
            <w:pPr>
              <w:bidi w:val="0"/>
              <w:spacing w:before="120" w:beforeAutospacing="0" w:after="0" w:afterAutospacing="0"/>
              <w:rPr>
                <w:rtl w:val="0"/>
              </w:rPr>
            </w:pPr>
            <w:r>
              <w:rPr>
                <w:color w:val="000000"/>
                <w:rtl w:val="0"/>
                <w:lang w:val="vi-VN" w:eastAsia="vi-VN"/>
              </w:rPr>
              <w:t>- Báo cáo kết quả thực hiện; kiến nghị sửa đổi, bổ sung văn bản pháp luật (Thông tư số 03/2018/TT-BKHCN).</w:t>
            </w:r>
          </w:p>
        </w:tc>
        <w:tc>
          <w:tcPr>
            <w:tcW w:w="574"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color w:val="000000"/>
                <w:rtl w:val="0"/>
                <w:lang w:val="vi-VN" w:eastAsia="vi-VN"/>
              </w:rPr>
              <w:t>Cục SHTT</w:t>
            </w:r>
          </w:p>
        </w:tc>
        <w:tc>
          <w:tcPr>
            <w:tcW w:w="576"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color w:val="000000"/>
                <w:rtl w:val="0"/>
                <w:lang w:val="vi-VN" w:eastAsia="vi-VN"/>
              </w:rPr>
              <w:t>Cục TTKHCN, Viện KHSHTT, các đơn vị liên quan</w:t>
            </w:r>
          </w:p>
        </w:tc>
        <w:tc>
          <w:tcPr>
            <w:tcW w:w="509"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color w:val="000000"/>
                <w:rtl w:val="0"/>
                <w:lang w:val="vi-VN" w:eastAsia="vi-VN"/>
              </w:rPr>
              <w:t> </w:t>
            </w:r>
          </w:p>
        </w:tc>
        <w:tc>
          <w:tcPr>
            <w:tcW w:w="554"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jc w:val="center"/>
            </w:pPr>
            <w:r>
              <w:rPr>
                <w:color w:val="000000"/>
                <w:rtl w:val="0"/>
                <w:lang w:val="vi-VN" w:eastAsia="vi-VN"/>
              </w:rPr>
              <w:t>2021</w:t>
            </w:r>
          </w:p>
        </w:tc>
      </w:tr>
      <w:tr>
        <w:tblPrEx>
          <w:tblW w:w="5055" w:type="pct"/>
          <w:jc w:val="left"/>
          <w:tblCellMar>
            <w:top w:w="0" w:type="dxa"/>
            <w:left w:w="0" w:type="dxa"/>
            <w:bottom w:w="0" w:type="dxa"/>
            <w:right w:w="0" w:type="dxa"/>
          </w:tblCellMar>
        </w:tblPrEx>
        <w:trPr>
          <w:jc w:val="left"/>
        </w:trPr>
        <w:tc>
          <w:tcPr>
            <w:tcW w:w="269"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color w:val="000000"/>
                <w:rtl w:val="0"/>
                <w:lang w:val="vi-VN" w:eastAsia="vi-VN"/>
              </w:rPr>
              <w:t>3.6</w:t>
            </w:r>
          </w:p>
        </w:tc>
        <w:tc>
          <w:tcPr>
            <w:tcW w:w="1428"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color w:val="000000"/>
                <w:rtl w:val="0"/>
                <w:lang w:val="vi-VN" w:eastAsia="vi-VN"/>
              </w:rPr>
              <w:t>Sửa đổi, bổ sung Thông tư số 03/2018/TT-BKHCN ban hành Hệ thống chỉ tiêu thống kê ngành KH&amp;CN và phân công thu thập, tổng hợp các chỉ tiêu thống kê quốc gia về KH&amp;CN</w:t>
            </w:r>
          </w:p>
        </w:tc>
        <w:tc>
          <w:tcPr>
            <w:tcW w:w="1089"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color w:val="000000"/>
                <w:rtl w:val="0"/>
                <w:lang w:val="vi-VN" w:eastAsia="vi-VN"/>
              </w:rPr>
              <w:t>Dự thảo Thông tư sửa đổi, bổ sung Thông tư số 03/2018/TT-BKHCN trình Bộ trưởng</w:t>
            </w:r>
          </w:p>
        </w:tc>
        <w:tc>
          <w:tcPr>
            <w:tcW w:w="574"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color w:val="000000"/>
                <w:rtl w:val="0"/>
                <w:lang w:val="vi-VN" w:eastAsia="vi-VN"/>
              </w:rPr>
              <w:t>Cục TTKHCN</w:t>
            </w:r>
          </w:p>
        </w:tc>
        <w:tc>
          <w:tcPr>
            <w:tcW w:w="576"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color w:val="000000"/>
                <w:rtl w:val="0"/>
                <w:lang w:val="vi-VN" w:eastAsia="vi-VN"/>
              </w:rPr>
              <w:t>Vụ PC, Cục SHTT, Viện KHSHTT, các đơn vị liên quan</w:t>
            </w:r>
          </w:p>
        </w:tc>
        <w:tc>
          <w:tcPr>
            <w:tcW w:w="509"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color w:val="000000"/>
                <w:rtl w:val="0"/>
                <w:lang w:val="vi-VN" w:eastAsia="vi-VN"/>
              </w:rPr>
              <w:t>Bộ trưởng</w:t>
            </w:r>
          </w:p>
        </w:tc>
        <w:tc>
          <w:tcPr>
            <w:tcW w:w="554"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jc w:val="center"/>
            </w:pPr>
            <w:r>
              <w:rPr>
                <w:color w:val="000000"/>
                <w:rtl w:val="0"/>
                <w:lang w:val="vi-VN" w:eastAsia="vi-VN"/>
              </w:rPr>
              <w:t>2022</w:t>
            </w:r>
          </w:p>
        </w:tc>
      </w:tr>
      <w:tr>
        <w:tblPrEx>
          <w:tblW w:w="5055" w:type="pct"/>
          <w:jc w:val="left"/>
          <w:tblCellMar>
            <w:top w:w="0" w:type="dxa"/>
            <w:left w:w="0" w:type="dxa"/>
            <w:bottom w:w="0" w:type="dxa"/>
            <w:right w:w="0" w:type="dxa"/>
          </w:tblCellMar>
        </w:tblPrEx>
        <w:trPr>
          <w:jc w:val="left"/>
        </w:trPr>
        <w:tc>
          <w:tcPr>
            <w:tcW w:w="269"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color w:val="000000"/>
                <w:rtl w:val="0"/>
                <w:lang w:val="vi-VN" w:eastAsia="vi-VN"/>
              </w:rPr>
              <w:t>3.7</w:t>
            </w:r>
          </w:p>
        </w:tc>
        <w:tc>
          <w:tcPr>
            <w:tcW w:w="1428"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color w:val="000000"/>
                <w:rtl w:val="0"/>
                <w:lang w:val="vi-VN" w:eastAsia="vi-VN"/>
              </w:rPr>
              <w:t>Xây dựng bộ chỉ số đo lường về SHTT phục vụ đánh giá kết quả, hiệu quả hoạt động nghiên cứu, phát triển và hoạt động sản xuất kinh doanh</w:t>
            </w:r>
          </w:p>
        </w:tc>
        <w:tc>
          <w:tcPr>
            <w:tcW w:w="1089"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280" w:afterAutospacing="1"/>
            </w:pPr>
            <w:r>
              <w:rPr>
                <w:color w:val="000000"/>
                <w:rtl w:val="0"/>
                <w:lang w:val="vi-VN" w:eastAsia="vi-VN"/>
              </w:rPr>
              <w:t>- Bộ chỉ số đo lường về SHTT được xây dựng;</w:t>
            </w:r>
          </w:p>
          <w:p>
            <w:pPr>
              <w:bidi w:val="0"/>
              <w:spacing w:before="120" w:beforeAutospacing="0" w:after="0" w:afterAutospacing="0"/>
              <w:rPr>
                <w:rtl w:val="0"/>
              </w:rPr>
            </w:pPr>
            <w:r>
              <w:rPr>
                <w:color w:val="000000"/>
                <w:rtl w:val="0"/>
                <w:lang w:val="vi-VN" w:eastAsia="vi-VN"/>
              </w:rPr>
              <w:t>- Báo cáo kết quả thực hiện, kiến nghị ban hành văn bản pháp luật về việc sử dụng chỉ số đo lường về SHTT trong đánh giá hiệu quả hoạt động nghiên cứu, triển khai và sản xuất, kinh doanh.</w:t>
            </w:r>
          </w:p>
        </w:tc>
        <w:tc>
          <w:tcPr>
            <w:tcW w:w="574"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color w:val="000000"/>
                <w:rtl w:val="0"/>
                <w:lang w:val="vi-VN" w:eastAsia="vi-VN"/>
              </w:rPr>
              <w:t>Viện KHSHTT</w:t>
            </w:r>
          </w:p>
        </w:tc>
        <w:tc>
          <w:tcPr>
            <w:tcW w:w="576"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color w:val="000000"/>
                <w:rtl w:val="0"/>
                <w:lang w:val="vi-VN" w:eastAsia="vi-VN"/>
              </w:rPr>
              <w:t>Cục SHTT, Viện SCCN, các đơn vị liên quan</w:t>
            </w:r>
          </w:p>
        </w:tc>
        <w:tc>
          <w:tcPr>
            <w:tcW w:w="509"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color w:val="000000"/>
                <w:rtl w:val="0"/>
                <w:lang w:val="vi-VN" w:eastAsia="vi-VN"/>
              </w:rPr>
              <w:t> </w:t>
            </w:r>
          </w:p>
        </w:tc>
        <w:tc>
          <w:tcPr>
            <w:tcW w:w="554"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jc w:val="center"/>
            </w:pPr>
            <w:r>
              <w:rPr>
                <w:color w:val="000000"/>
                <w:rtl w:val="0"/>
                <w:lang w:val="vi-VN" w:eastAsia="vi-VN"/>
              </w:rPr>
              <w:t>2022</w:t>
            </w:r>
          </w:p>
        </w:tc>
      </w:tr>
      <w:tr>
        <w:tblPrEx>
          <w:tblW w:w="5055" w:type="pct"/>
          <w:jc w:val="left"/>
          <w:tblCellMar>
            <w:top w:w="0" w:type="dxa"/>
            <w:left w:w="0" w:type="dxa"/>
            <w:bottom w:w="0" w:type="dxa"/>
            <w:right w:w="0" w:type="dxa"/>
          </w:tblCellMar>
        </w:tblPrEx>
        <w:trPr>
          <w:jc w:val="left"/>
        </w:trPr>
        <w:tc>
          <w:tcPr>
            <w:tcW w:w="269"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bookmarkStart w:id="16" w:name="dieu_4"/>
            <w:r>
              <w:rPr>
                <w:b/>
                <w:bCs/>
                <w:color w:val="000000"/>
                <w:rtl w:val="0"/>
                <w:lang w:val="vi-VN" w:eastAsia="vi-VN"/>
              </w:rPr>
              <w:t>4</w:t>
            </w:r>
            <w:bookmarkEnd w:id="16"/>
          </w:p>
        </w:tc>
        <w:tc>
          <w:tcPr>
            <w:tcW w:w="1428"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bookmarkStart w:id="17" w:name="dieu_4_name"/>
            <w:r>
              <w:rPr>
                <w:b/>
                <w:bCs/>
                <w:color w:val="000000"/>
                <w:rtl w:val="0"/>
                <w:lang w:val="vi-VN" w:eastAsia="vi-VN"/>
              </w:rPr>
              <w:t>Đẩy mạnh và nâng cao hiệu quả hoạt động thực thi quyền sở hữu trí tuệ</w:t>
            </w:r>
            <w:bookmarkEnd w:id="17"/>
          </w:p>
        </w:tc>
        <w:tc>
          <w:tcPr>
            <w:tcW w:w="1089"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color w:val="000000"/>
                <w:rtl w:val="0"/>
                <w:lang w:val="vi-VN" w:eastAsia="vi-VN"/>
              </w:rPr>
              <w:t> </w:t>
            </w:r>
          </w:p>
        </w:tc>
        <w:tc>
          <w:tcPr>
            <w:tcW w:w="574"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color w:val="000000"/>
                <w:rtl w:val="0"/>
                <w:lang w:val="vi-VN" w:eastAsia="vi-VN"/>
              </w:rPr>
              <w:t> </w:t>
            </w:r>
          </w:p>
        </w:tc>
        <w:tc>
          <w:tcPr>
            <w:tcW w:w="576"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color w:val="000000"/>
                <w:rtl w:val="0"/>
                <w:lang w:val="vi-VN" w:eastAsia="vi-VN"/>
              </w:rPr>
              <w:t> </w:t>
            </w:r>
          </w:p>
        </w:tc>
        <w:tc>
          <w:tcPr>
            <w:tcW w:w="509"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color w:val="000000"/>
                <w:rtl w:val="0"/>
                <w:lang w:val="vi-VN" w:eastAsia="vi-VN"/>
              </w:rPr>
              <w:t> </w:t>
            </w:r>
          </w:p>
        </w:tc>
        <w:tc>
          <w:tcPr>
            <w:tcW w:w="554"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jc w:val="center"/>
            </w:pPr>
            <w:r>
              <w:rPr>
                <w:color w:val="000000"/>
                <w:rtl w:val="0"/>
                <w:lang w:val="vi-VN" w:eastAsia="vi-VN"/>
              </w:rPr>
              <w:t> </w:t>
            </w:r>
          </w:p>
        </w:tc>
      </w:tr>
      <w:tr>
        <w:tblPrEx>
          <w:tblW w:w="5055" w:type="pct"/>
          <w:jc w:val="left"/>
          <w:tblCellMar>
            <w:top w:w="0" w:type="dxa"/>
            <w:left w:w="0" w:type="dxa"/>
            <w:bottom w:w="0" w:type="dxa"/>
            <w:right w:w="0" w:type="dxa"/>
          </w:tblCellMar>
        </w:tblPrEx>
        <w:trPr>
          <w:jc w:val="left"/>
        </w:trPr>
        <w:tc>
          <w:tcPr>
            <w:tcW w:w="269"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color w:val="000000"/>
                <w:rtl w:val="0"/>
                <w:lang w:val="vi-VN" w:eastAsia="vi-VN"/>
              </w:rPr>
              <w:t>4.1</w:t>
            </w:r>
          </w:p>
        </w:tc>
        <w:tc>
          <w:tcPr>
            <w:tcW w:w="1428"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color w:val="000000"/>
                <w:rtl w:val="0"/>
                <w:lang w:val="vi-VN" w:eastAsia="vi-VN"/>
              </w:rPr>
              <w:t>Xây dựng Đề án Nâng cao hiệu quả thực thi quyền SHTT nhằm đáp ứng yêu cầu mới của thực tiễn</w:t>
            </w:r>
          </w:p>
        </w:tc>
        <w:tc>
          <w:tcPr>
            <w:tcW w:w="1089"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280" w:afterAutospacing="1"/>
            </w:pPr>
            <w:r>
              <w:rPr>
                <w:color w:val="000000"/>
                <w:rtl w:val="0"/>
                <w:lang w:val="vi-VN" w:eastAsia="vi-VN"/>
              </w:rPr>
              <w:t>- Hiệu quả hoạt động thực thi quyền SHTT được nâng cao; từng bước tinh giản đầu mối cơ quan thực thi hành chính; hướng tới đẩy mạnh biện pháp tư pháp;</w:t>
            </w:r>
          </w:p>
          <w:p>
            <w:pPr>
              <w:bidi w:val="0"/>
              <w:spacing w:before="120" w:beforeAutospacing="0" w:after="0" w:afterAutospacing="0"/>
              <w:rPr>
                <w:rtl w:val="0"/>
              </w:rPr>
            </w:pPr>
            <w:r>
              <w:rPr>
                <w:color w:val="000000"/>
                <w:rtl w:val="0"/>
                <w:lang w:val="vi-VN" w:eastAsia="vi-VN"/>
              </w:rPr>
              <w:t>- Dự thảo Quyết định của Thủ tướng Chính phủ phê duyệt Đề án.</w:t>
            </w:r>
          </w:p>
        </w:tc>
        <w:tc>
          <w:tcPr>
            <w:tcW w:w="574"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color w:val="000000"/>
                <w:rtl w:val="0"/>
                <w:lang w:val="vi-VN" w:eastAsia="vi-VN"/>
              </w:rPr>
              <w:t>Thanh tra Bộ</w:t>
            </w:r>
          </w:p>
        </w:tc>
        <w:tc>
          <w:tcPr>
            <w:tcW w:w="576"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color w:val="000000"/>
                <w:rtl w:val="0"/>
                <w:lang w:val="vi-VN" w:eastAsia="vi-VN"/>
              </w:rPr>
              <w:t>Cục SHTT, Viện KHSHTT, các cơ quan, đơn vị liên quan</w:t>
            </w:r>
          </w:p>
        </w:tc>
        <w:tc>
          <w:tcPr>
            <w:tcW w:w="509"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color w:val="000000"/>
                <w:rtl w:val="0"/>
                <w:lang w:val="vi-VN" w:eastAsia="vi-VN"/>
              </w:rPr>
              <w:t>Thủ tướng Chính phủ</w:t>
            </w:r>
          </w:p>
        </w:tc>
        <w:tc>
          <w:tcPr>
            <w:tcW w:w="554"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jc w:val="center"/>
            </w:pPr>
            <w:r>
              <w:rPr>
                <w:color w:val="000000"/>
                <w:rtl w:val="0"/>
                <w:lang w:val="vi-VN" w:eastAsia="vi-VN"/>
              </w:rPr>
              <w:t>2022</w:t>
            </w:r>
          </w:p>
        </w:tc>
      </w:tr>
      <w:tr>
        <w:tblPrEx>
          <w:tblW w:w="5055" w:type="pct"/>
          <w:jc w:val="left"/>
          <w:tblCellMar>
            <w:top w:w="0" w:type="dxa"/>
            <w:left w:w="0" w:type="dxa"/>
            <w:bottom w:w="0" w:type="dxa"/>
            <w:right w:w="0" w:type="dxa"/>
          </w:tblCellMar>
        </w:tblPrEx>
        <w:trPr>
          <w:jc w:val="left"/>
        </w:trPr>
        <w:tc>
          <w:tcPr>
            <w:tcW w:w="269"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color w:val="000000"/>
                <w:rtl w:val="0"/>
                <w:lang w:val="vi-VN" w:eastAsia="vi-VN"/>
              </w:rPr>
              <w:t>4.2</w:t>
            </w:r>
          </w:p>
        </w:tc>
        <w:tc>
          <w:tcPr>
            <w:tcW w:w="1428"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color w:val="000000"/>
                <w:rtl w:val="0"/>
                <w:lang w:val="vi-VN" w:eastAsia="vi-VN"/>
              </w:rPr>
              <w:t>Triển khai Chương trình hành động phòng chống xâm phạm quyền SHTT giai đoạn 2020-2024</w:t>
            </w:r>
          </w:p>
        </w:tc>
        <w:tc>
          <w:tcPr>
            <w:tcW w:w="1089"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color w:val="000000"/>
                <w:rtl w:val="0"/>
                <w:lang w:val="vi-VN" w:eastAsia="vi-VN"/>
              </w:rPr>
              <w:t>Thực hiện các hoạt động cụ thể theo Chương trình.</w:t>
            </w:r>
          </w:p>
        </w:tc>
        <w:tc>
          <w:tcPr>
            <w:tcW w:w="574"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color w:val="000000"/>
                <w:rtl w:val="0"/>
                <w:lang w:val="vi-VN" w:eastAsia="vi-VN"/>
              </w:rPr>
              <w:t>Thanh tra Bộ</w:t>
            </w:r>
          </w:p>
        </w:tc>
        <w:tc>
          <w:tcPr>
            <w:tcW w:w="576"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color w:val="000000"/>
                <w:rtl w:val="0"/>
                <w:lang w:val="vi-VN" w:eastAsia="vi-VN"/>
              </w:rPr>
              <w:t>Cục SHTT, Viện KHSHTT, các đơn vị liên quan</w:t>
            </w:r>
          </w:p>
        </w:tc>
        <w:tc>
          <w:tcPr>
            <w:tcW w:w="509"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color w:val="000000"/>
                <w:rtl w:val="0"/>
                <w:lang w:val="vi-VN" w:eastAsia="vi-VN"/>
              </w:rPr>
              <w:t> </w:t>
            </w:r>
          </w:p>
        </w:tc>
        <w:tc>
          <w:tcPr>
            <w:tcW w:w="554"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jc w:val="center"/>
            </w:pPr>
            <w:r>
              <w:rPr>
                <w:color w:val="000000"/>
                <w:rtl w:val="0"/>
                <w:lang w:val="vi-VN" w:eastAsia="vi-VN"/>
              </w:rPr>
              <w:t>2024</w:t>
            </w:r>
          </w:p>
        </w:tc>
      </w:tr>
      <w:tr>
        <w:tblPrEx>
          <w:tblW w:w="5055" w:type="pct"/>
          <w:jc w:val="left"/>
          <w:tblCellMar>
            <w:top w:w="0" w:type="dxa"/>
            <w:left w:w="0" w:type="dxa"/>
            <w:bottom w:w="0" w:type="dxa"/>
            <w:right w:w="0" w:type="dxa"/>
          </w:tblCellMar>
        </w:tblPrEx>
        <w:trPr>
          <w:jc w:val="left"/>
        </w:trPr>
        <w:tc>
          <w:tcPr>
            <w:tcW w:w="269"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bookmarkStart w:id="18" w:name="dieu_5"/>
            <w:r>
              <w:rPr>
                <w:b/>
                <w:bCs/>
                <w:color w:val="000000"/>
                <w:rtl w:val="0"/>
                <w:lang w:val="vi-VN" w:eastAsia="vi-VN"/>
              </w:rPr>
              <w:t>5</w:t>
            </w:r>
            <w:bookmarkEnd w:id="18"/>
          </w:p>
        </w:tc>
        <w:tc>
          <w:tcPr>
            <w:tcW w:w="1428"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bookmarkStart w:id="19" w:name="dieu_5_name"/>
            <w:r>
              <w:rPr>
                <w:b/>
                <w:bCs/>
                <w:color w:val="000000"/>
                <w:rtl w:val="0"/>
                <w:lang w:val="vi-VN" w:eastAsia="vi-VN"/>
              </w:rPr>
              <w:t>Thúc đẩy các hoạt động tạo ra và khai thác tài sản trí tuệ</w:t>
            </w:r>
            <w:bookmarkEnd w:id="19"/>
          </w:p>
        </w:tc>
        <w:tc>
          <w:tcPr>
            <w:tcW w:w="1089"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color w:val="000000"/>
                <w:rtl w:val="0"/>
                <w:lang w:val="vi-VN" w:eastAsia="vi-VN"/>
              </w:rPr>
              <w:t> </w:t>
            </w:r>
          </w:p>
        </w:tc>
        <w:tc>
          <w:tcPr>
            <w:tcW w:w="574"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color w:val="000000"/>
                <w:rtl w:val="0"/>
                <w:lang w:val="vi-VN" w:eastAsia="vi-VN"/>
              </w:rPr>
              <w:t> </w:t>
            </w:r>
          </w:p>
        </w:tc>
        <w:tc>
          <w:tcPr>
            <w:tcW w:w="576"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color w:val="000000"/>
                <w:rtl w:val="0"/>
                <w:lang w:val="vi-VN" w:eastAsia="vi-VN"/>
              </w:rPr>
              <w:t> </w:t>
            </w:r>
          </w:p>
        </w:tc>
        <w:tc>
          <w:tcPr>
            <w:tcW w:w="509"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color w:val="000000"/>
                <w:rtl w:val="0"/>
                <w:lang w:val="vi-VN" w:eastAsia="vi-VN"/>
              </w:rPr>
              <w:t> </w:t>
            </w:r>
          </w:p>
        </w:tc>
        <w:tc>
          <w:tcPr>
            <w:tcW w:w="554"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jc w:val="center"/>
            </w:pPr>
            <w:r>
              <w:rPr>
                <w:color w:val="000000"/>
                <w:rtl w:val="0"/>
                <w:lang w:val="vi-VN" w:eastAsia="vi-VN"/>
              </w:rPr>
              <w:t> </w:t>
            </w:r>
          </w:p>
        </w:tc>
      </w:tr>
      <w:tr>
        <w:tblPrEx>
          <w:tblW w:w="5055" w:type="pct"/>
          <w:jc w:val="left"/>
          <w:tblCellMar>
            <w:top w:w="0" w:type="dxa"/>
            <w:left w:w="0" w:type="dxa"/>
            <w:bottom w:w="0" w:type="dxa"/>
            <w:right w:w="0" w:type="dxa"/>
          </w:tblCellMar>
        </w:tblPrEx>
        <w:trPr>
          <w:jc w:val="left"/>
        </w:trPr>
        <w:tc>
          <w:tcPr>
            <w:tcW w:w="269"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color w:val="000000"/>
                <w:rtl w:val="0"/>
                <w:lang w:val="vi-VN" w:eastAsia="vi-VN"/>
              </w:rPr>
              <w:t>5.1</w:t>
            </w:r>
          </w:p>
        </w:tc>
        <w:tc>
          <w:tcPr>
            <w:tcW w:w="1428"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color w:val="000000"/>
                <w:rtl w:val="0"/>
                <w:lang w:val="vi-VN" w:eastAsia="vi-VN"/>
              </w:rPr>
              <w:t>Triển khai dự án Môi trường SHTT kiến tạo (EIE)</w:t>
            </w:r>
          </w:p>
        </w:tc>
        <w:tc>
          <w:tcPr>
            <w:tcW w:w="1089"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color w:val="000000"/>
                <w:rtl w:val="0"/>
                <w:lang w:val="vi-VN" w:eastAsia="vi-VN"/>
              </w:rPr>
              <w:t>Dự án được triển khai hiệu quả, góp phần nâng cao năng lực về SHTT và đổi mới sáng tạo cho các viện nghiên cứu và trường đại học.</w:t>
            </w:r>
          </w:p>
        </w:tc>
        <w:tc>
          <w:tcPr>
            <w:tcW w:w="574"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color w:val="000000"/>
                <w:rtl w:val="0"/>
                <w:lang w:val="vi-VN" w:eastAsia="vi-VN"/>
              </w:rPr>
              <w:t>Cục SHTT</w:t>
            </w:r>
          </w:p>
        </w:tc>
        <w:tc>
          <w:tcPr>
            <w:tcW w:w="576"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color w:val="000000"/>
                <w:rtl w:val="0"/>
                <w:lang w:val="vi-VN" w:eastAsia="vi-VN"/>
              </w:rPr>
              <w:t>Các đơn vị liên quan</w:t>
            </w:r>
          </w:p>
        </w:tc>
        <w:tc>
          <w:tcPr>
            <w:tcW w:w="509"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color w:val="000000"/>
                <w:rtl w:val="0"/>
                <w:lang w:val="vi-VN" w:eastAsia="vi-VN"/>
              </w:rPr>
              <w:t> </w:t>
            </w:r>
          </w:p>
        </w:tc>
        <w:tc>
          <w:tcPr>
            <w:tcW w:w="554"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jc w:val="center"/>
            </w:pPr>
            <w:r>
              <w:rPr>
                <w:color w:val="000000"/>
                <w:rtl w:val="0"/>
                <w:lang w:val="vi-VN" w:eastAsia="vi-VN"/>
              </w:rPr>
              <w:t>2022</w:t>
            </w:r>
          </w:p>
        </w:tc>
      </w:tr>
      <w:tr>
        <w:tblPrEx>
          <w:tblW w:w="5055" w:type="pct"/>
          <w:jc w:val="left"/>
          <w:tblCellMar>
            <w:top w:w="0" w:type="dxa"/>
            <w:left w:w="0" w:type="dxa"/>
            <w:bottom w:w="0" w:type="dxa"/>
            <w:right w:w="0" w:type="dxa"/>
          </w:tblCellMar>
        </w:tblPrEx>
        <w:trPr>
          <w:jc w:val="left"/>
        </w:trPr>
        <w:tc>
          <w:tcPr>
            <w:tcW w:w="269"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color w:val="000000"/>
                <w:rtl w:val="0"/>
                <w:lang w:val="vi-VN" w:eastAsia="vi-VN"/>
              </w:rPr>
              <w:t>5.2</w:t>
            </w:r>
          </w:p>
        </w:tc>
        <w:tc>
          <w:tcPr>
            <w:tcW w:w="1428"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color w:val="000000"/>
                <w:rtl w:val="0"/>
                <w:lang w:val="vi-VN" w:eastAsia="vi-VN"/>
              </w:rPr>
              <w:t>Xây dựng bộ công cụ phân tích thông tin sáng chế phục vụ định hướng cho hoạt động khoa học, công nghệ và đổi mới sáng tạo của các viện nghiên cứu, trường đại học, doanh nghiệp; vận hành, phổ biến, hướng dẫn sử dụng và khai thác bộ công cụ</w:t>
            </w:r>
          </w:p>
        </w:tc>
        <w:tc>
          <w:tcPr>
            <w:tcW w:w="1089"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280" w:afterAutospacing="1"/>
            </w:pPr>
            <w:r>
              <w:rPr>
                <w:color w:val="000000"/>
                <w:rtl w:val="0"/>
                <w:lang w:val="vi-VN" w:eastAsia="vi-VN"/>
              </w:rPr>
              <w:t>- Bộ công cụ (phần mềm) phân tích thông tin sáng chế được xây dựng, bao gồm:</w:t>
            </w:r>
          </w:p>
          <w:p>
            <w:pPr>
              <w:bidi w:val="0"/>
              <w:spacing w:before="120" w:beforeAutospacing="0" w:after="280" w:afterAutospacing="1"/>
              <w:rPr>
                <w:rtl w:val="0"/>
              </w:rPr>
            </w:pPr>
            <w:r>
              <w:rPr>
                <w:color w:val="000000"/>
                <w:rtl w:val="0"/>
                <w:lang w:val="vi-VN" w:eastAsia="vi-VN"/>
              </w:rPr>
              <w:t>+ Mô đun cấu trúc hóa cơ sở dữ liệu sáng chế (để phù hợp với đầu vào cho các mô đun phân tích) (2021-2022);</w:t>
            </w:r>
          </w:p>
          <w:p>
            <w:pPr>
              <w:bidi w:val="0"/>
              <w:spacing w:before="120" w:beforeAutospacing="0" w:after="280" w:afterAutospacing="1"/>
              <w:rPr>
                <w:rtl w:val="0"/>
              </w:rPr>
            </w:pPr>
            <w:r>
              <w:rPr>
                <w:color w:val="000000"/>
                <w:rtl w:val="0"/>
                <w:lang w:val="vi-VN" w:eastAsia="vi-VN"/>
              </w:rPr>
              <w:t>+ Mô đun phân tích thông tin sáng chế phục vụ định hướng hoạt động KH&amp;CN và đổi mới sáng tạo (2023-2025).</w:t>
            </w:r>
          </w:p>
          <w:p>
            <w:pPr>
              <w:bidi w:val="0"/>
              <w:spacing w:before="120" w:beforeAutospacing="0" w:after="0" w:afterAutospacing="0"/>
              <w:rPr>
                <w:rtl w:val="0"/>
              </w:rPr>
            </w:pPr>
            <w:r>
              <w:rPr>
                <w:color w:val="000000"/>
                <w:rtl w:val="0"/>
                <w:lang w:val="vi-VN" w:eastAsia="vi-VN"/>
              </w:rPr>
              <w:t>- Triển khai, vận hành, phổ biến, hướng dẫn sử dụng và khai thác bộ công cụ (2024-2025).</w:t>
            </w:r>
          </w:p>
        </w:tc>
        <w:tc>
          <w:tcPr>
            <w:tcW w:w="574"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color w:val="000000"/>
                <w:rtl w:val="0"/>
                <w:lang w:val="vi-VN" w:eastAsia="vi-VN"/>
              </w:rPr>
              <w:t>Viện SCCN</w:t>
            </w:r>
          </w:p>
        </w:tc>
        <w:tc>
          <w:tcPr>
            <w:tcW w:w="576"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color w:val="000000"/>
                <w:rtl w:val="0"/>
                <w:lang w:val="vi-VN" w:eastAsia="vi-VN"/>
              </w:rPr>
              <w:t>Cục SHTT, Viện KHSHTT, các đơn vị liên quan</w:t>
            </w:r>
          </w:p>
        </w:tc>
        <w:tc>
          <w:tcPr>
            <w:tcW w:w="509"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color w:val="000000"/>
                <w:rtl w:val="0"/>
                <w:lang w:val="vi-VN" w:eastAsia="vi-VN"/>
              </w:rPr>
              <w:t> </w:t>
            </w:r>
          </w:p>
        </w:tc>
        <w:tc>
          <w:tcPr>
            <w:tcW w:w="554"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jc w:val="center"/>
            </w:pPr>
            <w:r>
              <w:rPr>
                <w:color w:val="000000"/>
                <w:rtl w:val="0"/>
                <w:lang w:val="vi-VN" w:eastAsia="vi-VN"/>
              </w:rPr>
              <w:t>2025</w:t>
            </w:r>
          </w:p>
        </w:tc>
      </w:tr>
      <w:tr>
        <w:tblPrEx>
          <w:tblW w:w="5055" w:type="pct"/>
          <w:jc w:val="left"/>
          <w:tblCellMar>
            <w:top w:w="0" w:type="dxa"/>
            <w:left w:w="0" w:type="dxa"/>
            <w:bottom w:w="0" w:type="dxa"/>
            <w:right w:w="0" w:type="dxa"/>
          </w:tblCellMar>
        </w:tblPrEx>
        <w:trPr>
          <w:jc w:val="left"/>
        </w:trPr>
        <w:tc>
          <w:tcPr>
            <w:tcW w:w="269"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color w:val="000000"/>
                <w:rtl w:val="0"/>
                <w:lang w:val="vi-VN" w:eastAsia="vi-VN"/>
              </w:rPr>
              <w:t>5.3</w:t>
            </w:r>
          </w:p>
        </w:tc>
        <w:tc>
          <w:tcPr>
            <w:tcW w:w="1428"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color w:val="000000"/>
                <w:rtl w:val="0"/>
                <w:lang w:val="vi-VN" w:eastAsia="vi-VN"/>
              </w:rPr>
              <w:t>Hướng dẫn quản lý SHTT đ</w:t>
            </w:r>
            <w:r>
              <w:rPr>
                <w:color w:val="000000"/>
                <w:rtl w:val="0"/>
              </w:rPr>
              <w:t>ố</w:t>
            </w:r>
            <w:r>
              <w:rPr>
                <w:color w:val="000000"/>
                <w:rtl w:val="0"/>
                <w:lang w:val="vi-VN" w:eastAsia="vi-VN"/>
              </w:rPr>
              <w:t>i với các dự án hợp tác, nhiệm vụ KH&amp;CN</w:t>
            </w:r>
          </w:p>
        </w:tc>
        <w:tc>
          <w:tcPr>
            <w:tcW w:w="1089"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color w:val="000000"/>
                <w:rtl w:val="0"/>
                <w:lang w:val="vi-VN" w:eastAsia="vi-VN"/>
              </w:rPr>
              <w:t>Nghiên cứu, biên soạn tài liệu hướng dẫn quản lý SHTT và phát hành, phổ biến cho các tổ chức, doanh nghiệp.</w:t>
            </w:r>
          </w:p>
        </w:tc>
        <w:tc>
          <w:tcPr>
            <w:tcW w:w="574"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color w:val="000000"/>
                <w:rtl w:val="0"/>
                <w:lang w:val="vi-VN" w:eastAsia="vi-VN"/>
              </w:rPr>
              <w:t>Cục SHTT</w:t>
            </w:r>
          </w:p>
        </w:tc>
        <w:tc>
          <w:tcPr>
            <w:tcW w:w="576"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color w:val="000000"/>
                <w:rtl w:val="0"/>
                <w:lang w:val="vi-VN" w:eastAsia="vi-VN"/>
              </w:rPr>
              <w:t>Viện KHSHTT, các đơn vị liên quan</w:t>
            </w:r>
          </w:p>
        </w:tc>
        <w:tc>
          <w:tcPr>
            <w:tcW w:w="509"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color w:val="000000"/>
                <w:rtl w:val="0"/>
                <w:lang w:val="vi-VN" w:eastAsia="vi-VN"/>
              </w:rPr>
              <w:t> </w:t>
            </w:r>
          </w:p>
        </w:tc>
        <w:tc>
          <w:tcPr>
            <w:tcW w:w="554"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jc w:val="center"/>
            </w:pPr>
            <w:r>
              <w:rPr>
                <w:color w:val="000000"/>
                <w:rtl w:val="0"/>
                <w:lang w:val="vi-VN" w:eastAsia="vi-VN"/>
              </w:rPr>
              <w:t>2023</w:t>
            </w:r>
          </w:p>
        </w:tc>
      </w:tr>
      <w:tr>
        <w:tblPrEx>
          <w:tblW w:w="5055" w:type="pct"/>
          <w:jc w:val="left"/>
          <w:tblCellMar>
            <w:top w:w="0" w:type="dxa"/>
            <w:left w:w="0" w:type="dxa"/>
            <w:bottom w:w="0" w:type="dxa"/>
            <w:right w:w="0" w:type="dxa"/>
          </w:tblCellMar>
        </w:tblPrEx>
        <w:trPr>
          <w:jc w:val="left"/>
        </w:trPr>
        <w:tc>
          <w:tcPr>
            <w:tcW w:w="269"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color w:val="000000"/>
                <w:rtl w:val="0"/>
                <w:lang w:val="vi-VN" w:eastAsia="vi-VN"/>
              </w:rPr>
              <w:t>5.4</w:t>
            </w:r>
          </w:p>
        </w:tc>
        <w:tc>
          <w:tcPr>
            <w:tcW w:w="1428"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color w:val="000000"/>
                <w:rtl w:val="0"/>
                <w:lang w:val="vi-VN" w:eastAsia="vi-VN"/>
              </w:rPr>
              <w:t>Hướng dẫn quản lý SHTT cho các doanh nghiệp</w:t>
            </w:r>
          </w:p>
        </w:tc>
        <w:tc>
          <w:tcPr>
            <w:tcW w:w="1089"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color w:val="000000"/>
                <w:rtl w:val="0"/>
                <w:lang w:val="vi-VN" w:eastAsia="vi-VN"/>
              </w:rPr>
              <w:t>Nghiên cứu, xây dựng tài liệu hướng dẫn quản lý SHTT cho các doanh nghiệp: phổ biến, hướng dẫn về quản lý SHTT cho các doanh nghiệp.</w:t>
            </w:r>
          </w:p>
        </w:tc>
        <w:tc>
          <w:tcPr>
            <w:tcW w:w="574"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color w:val="000000"/>
                <w:rtl w:val="0"/>
                <w:lang w:val="vi-VN" w:eastAsia="vi-VN"/>
              </w:rPr>
              <w:t>Cục SHTT</w:t>
            </w:r>
          </w:p>
        </w:tc>
        <w:tc>
          <w:tcPr>
            <w:tcW w:w="576"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color w:val="000000"/>
                <w:rtl w:val="0"/>
                <w:lang w:val="vi-VN" w:eastAsia="vi-VN"/>
              </w:rPr>
              <w:t>Viện KHSHTT, các đơn vị liên quan</w:t>
            </w:r>
          </w:p>
        </w:tc>
        <w:tc>
          <w:tcPr>
            <w:tcW w:w="509"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color w:val="000000"/>
                <w:rtl w:val="0"/>
                <w:lang w:val="vi-VN" w:eastAsia="vi-VN"/>
              </w:rPr>
              <w:t> </w:t>
            </w:r>
          </w:p>
        </w:tc>
        <w:tc>
          <w:tcPr>
            <w:tcW w:w="554"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jc w:val="center"/>
            </w:pPr>
            <w:r>
              <w:rPr>
                <w:color w:val="000000"/>
                <w:rtl w:val="0"/>
                <w:lang w:val="vi-VN" w:eastAsia="vi-VN"/>
              </w:rPr>
              <w:t>2023</w:t>
            </w:r>
          </w:p>
        </w:tc>
      </w:tr>
      <w:tr>
        <w:tblPrEx>
          <w:tblW w:w="5055" w:type="pct"/>
          <w:jc w:val="left"/>
          <w:tblCellMar>
            <w:top w:w="0" w:type="dxa"/>
            <w:left w:w="0" w:type="dxa"/>
            <w:bottom w:w="0" w:type="dxa"/>
            <w:right w:w="0" w:type="dxa"/>
          </w:tblCellMar>
        </w:tblPrEx>
        <w:trPr>
          <w:jc w:val="left"/>
        </w:trPr>
        <w:tc>
          <w:tcPr>
            <w:tcW w:w="269"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bookmarkStart w:id="20" w:name="dieu_6"/>
            <w:r>
              <w:rPr>
                <w:b/>
                <w:bCs/>
                <w:color w:val="000000"/>
                <w:rtl w:val="0"/>
                <w:lang w:val="vi-VN" w:eastAsia="vi-VN"/>
              </w:rPr>
              <w:t>6</w:t>
            </w:r>
            <w:bookmarkEnd w:id="20"/>
          </w:p>
        </w:tc>
        <w:tc>
          <w:tcPr>
            <w:tcW w:w="1428"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bookmarkStart w:id="21" w:name="dieu_6_name"/>
            <w:r>
              <w:rPr>
                <w:b/>
                <w:bCs/>
                <w:color w:val="000000"/>
                <w:rtl w:val="0"/>
                <w:lang w:val="vi-VN" w:eastAsia="vi-VN"/>
              </w:rPr>
              <w:t>Phát triển các hoạt động hỗ trợ về sở hữu trí tuệ</w:t>
            </w:r>
            <w:bookmarkEnd w:id="21"/>
          </w:p>
        </w:tc>
        <w:tc>
          <w:tcPr>
            <w:tcW w:w="1089"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color w:val="000000"/>
                <w:rtl w:val="0"/>
                <w:lang w:val="vi-VN" w:eastAsia="vi-VN"/>
              </w:rPr>
              <w:t> </w:t>
            </w:r>
          </w:p>
        </w:tc>
        <w:tc>
          <w:tcPr>
            <w:tcW w:w="574"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color w:val="000000"/>
                <w:rtl w:val="0"/>
                <w:lang w:val="vi-VN" w:eastAsia="vi-VN"/>
              </w:rPr>
              <w:t> </w:t>
            </w:r>
          </w:p>
        </w:tc>
        <w:tc>
          <w:tcPr>
            <w:tcW w:w="576"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color w:val="000000"/>
                <w:rtl w:val="0"/>
                <w:lang w:val="vi-VN" w:eastAsia="vi-VN"/>
              </w:rPr>
              <w:t> </w:t>
            </w:r>
          </w:p>
        </w:tc>
        <w:tc>
          <w:tcPr>
            <w:tcW w:w="509"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color w:val="000000"/>
                <w:rtl w:val="0"/>
                <w:lang w:val="vi-VN" w:eastAsia="vi-VN"/>
              </w:rPr>
              <w:t> </w:t>
            </w:r>
          </w:p>
        </w:tc>
        <w:tc>
          <w:tcPr>
            <w:tcW w:w="554"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jc w:val="center"/>
            </w:pPr>
            <w:r>
              <w:rPr>
                <w:color w:val="000000"/>
                <w:rtl w:val="0"/>
                <w:lang w:val="vi-VN" w:eastAsia="vi-VN"/>
              </w:rPr>
              <w:t> </w:t>
            </w:r>
          </w:p>
        </w:tc>
      </w:tr>
      <w:tr>
        <w:tblPrEx>
          <w:tblW w:w="5055" w:type="pct"/>
          <w:jc w:val="left"/>
          <w:tblCellMar>
            <w:top w:w="0" w:type="dxa"/>
            <w:left w:w="0" w:type="dxa"/>
            <w:bottom w:w="0" w:type="dxa"/>
            <w:right w:w="0" w:type="dxa"/>
          </w:tblCellMar>
        </w:tblPrEx>
        <w:trPr>
          <w:jc w:val="left"/>
        </w:trPr>
        <w:tc>
          <w:tcPr>
            <w:tcW w:w="269"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color w:val="000000"/>
                <w:rtl w:val="0"/>
                <w:lang w:val="vi-VN" w:eastAsia="vi-VN"/>
              </w:rPr>
              <w:t>6.1</w:t>
            </w:r>
          </w:p>
        </w:tc>
        <w:tc>
          <w:tcPr>
            <w:tcW w:w="1428"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color w:val="000000"/>
                <w:rtl w:val="0"/>
                <w:lang w:val="vi-VN" w:eastAsia="vi-VN"/>
              </w:rPr>
              <w:t>Xây dựng các tiêu chí để chuẩn hóa hoạt động dịch vụ trong lĩnh vực sở hữu công nghiệp; hoàn thiện hệ thống quản lý, giám sát các dịch vụ về sở hữu công nghiệp, đặc biệt là các dịch vụ trung gian</w:t>
            </w:r>
          </w:p>
        </w:tc>
        <w:tc>
          <w:tcPr>
            <w:tcW w:w="1089"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color w:val="000000"/>
                <w:rtl w:val="0"/>
                <w:lang w:val="vi-VN" w:eastAsia="vi-VN"/>
              </w:rPr>
              <w:t>Phân loại, xác định các dịch vụ trong lĩnh vực sở hữu công nghiệp; xây dựng các điều kiện, tiêu chí hoạt động; đề xuất biện pháp hoàn thiện hệ thống quản lý hoạt động dịch vụ về sở hữu công nghiệp.</w:t>
            </w:r>
          </w:p>
        </w:tc>
        <w:tc>
          <w:tcPr>
            <w:tcW w:w="574"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color w:val="000000"/>
                <w:rtl w:val="0"/>
                <w:lang w:val="vi-VN" w:eastAsia="vi-VN"/>
              </w:rPr>
              <w:t>Cục SHTT</w:t>
            </w:r>
          </w:p>
        </w:tc>
        <w:tc>
          <w:tcPr>
            <w:tcW w:w="576"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color w:val="000000"/>
                <w:rtl w:val="0"/>
                <w:lang w:val="vi-VN" w:eastAsia="vi-VN"/>
              </w:rPr>
              <w:t>Viện KHSHTT, các đơn vị liên quan</w:t>
            </w:r>
          </w:p>
        </w:tc>
        <w:tc>
          <w:tcPr>
            <w:tcW w:w="509"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color w:val="000000"/>
                <w:rtl w:val="0"/>
                <w:lang w:val="vi-VN" w:eastAsia="vi-VN"/>
              </w:rPr>
              <w:t> </w:t>
            </w:r>
          </w:p>
        </w:tc>
        <w:tc>
          <w:tcPr>
            <w:tcW w:w="554"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jc w:val="center"/>
            </w:pPr>
            <w:r>
              <w:rPr>
                <w:color w:val="000000"/>
                <w:rtl w:val="0"/>
                <w:lang w:val="vi-VN" w:eastAsia="vi-VN"/>
              </w:rPr>
              <w:t>2025</w:t>
            </w:r>
          </w:p>
        </w:tc>
      </w:tr>
      <w:tr>
        <w:tblPrEx>
          <w:tblW w:w="5055" w:type="pct"/>
          <w:jc w:val="left"/>
          <w:tblCellMar>
            <w:top w:w="0" w:type="dxa"/>
            <w:left w:w="0" w:type="dxa"/>
            <w:bottom w:w="0" w:type="dxa"/>
            <w:right w:w="0" w:type="dxa"/>
          </w:tblCellMar>
        </w:tblPrEx>
        <w:trPr>
          <w:jc w:val="left"/>
        </w:trPr>
        <w:tc>
          <w:tcPr>
            <w:tcW w:w="269"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color w:val="000000"/>
                <w:rtl w:val="0"/>
                <w:lang w:val="vi-VN" w:eastAsia="vi-VN"/>
              </w:rPr>
              <w:t>6.2</w:t>
            </w:r>
          </w:p>
        </w:tc>
        <w:tc>
          <w:tcPr>
            <w:tcW w:w="1428"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color w:val="000000"/>
                <w:rtl w:val="0"/>
                <w:lang w:val="vi-VN" w:eastAsia="vi-VN"/>
              </w:rPr>
              <w:t>Rà so</w:t>
            </w:r>
            <w:r>
              <w:rPr>
                <w:color w:val="000000"/>
                <w:rtl w:val="0"/>
              </w:rPr>
              <w:t>á</w:t>
            </w:r>
            <w:r>
              <w:rPr>
                <w:color w:val="000000"/>
                <w:rtl w:val="0"/>
                <w:lang w:val="vi-VN" w:eastAsia="vi-VN"/>
              </w:rPr>
              <w:t>t, bổ sung và củng cố đội ngũ giám định viên về SHTT</w:t>
            </w:r>
          </w:p>
        </w:tc>
        <w:tc>
          <w:tcPr>
            <w:tcW w:w="1089"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color w:val="000000"/>
                <w:rtl w:val="0"/>
                <w:lang w:val="vi-VN" w:eastAsia="vi-VN"/>
              </w:rPr>
              <w:t>Phát triển về số lượng và chất lượng đội ngũ giám định viên về SHTT, qua đó nâng cao chất lượng dịch vụ giám định SHTT</w:t>
            </w:r>
          </w:p>
        </w:tc>
        <w:tc>
          <w:tcPr>
            <w:tcW w:w="574"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color w:val="000000"/>
                <w:rtl w:val="0"/>
                <w:lang w:val="vi-VN" w:eastAsia="vi-VN"/>
              </w:rPr>
              <w:t>Cục SHTT</w:t>
            </w:r>
          </w:p>
        </w:tc>
        <w:tc>
          <w:tcPr>
            <w:tcW w:w="576"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color w:val="000000"/>
                <w:rtl w:val="0"/>
                <w:lang w:val="vi-VN" w:eastAsia="vi-VN"/>
              </w:rPr>
              <w:t>Viện KHSHTT</w:t>
            </w:r>
          </w:p>
        </w:tc>
        <w:tc>
          <w:tcPr>
            <w:tcW w:w="509"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color w:val="000000"/>
                <w:rtl w:val="0"/>
                <w:lang w:val="vi-VN" w:eastAsia="vi-VN"/>
              </w:rPr>
              <w:t> </w:t>
            </w:r>
          </w:p>
        </w:tc>
        <w:tc>
          <w:tcPr>
            <w:tcW w:w="554"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jc w:val="center"/>
            </w:pPr>
            <w:r>
              <w:rPr>
                <w:color w:val="000000"/>
                <w:rtl w:val="0"/>
                <w:lang w:val="vi-VN" w:eastAsia="vi-VN"/>
              </w:rPr>
              <w:t>2025</w:t>
            </w:r>
          </w:p>
        </w:tc>
      </w:tr>
      <w:tr>
        <w:tblPrEx>
          <w:tblW w:w="5055" w:type="pct"/>
          <w:jc w:val="left"/>
          <w:tblCellMar>
            <w:top w:w="0" w:type="dxa"/>
            <w:left w:w="0" w:type="dxa"/>
            <w:bottom w:w="0" w:type="dxa"/>
            <w:right w:w="0" w:type="dxa"/>
          </w:tblCellMar>
        </w:tblPrEx>
        <w:trPr>
          <w:jc w:val="left"/>
        </w:trPr>
        <w:tc>
          <w:tcPr>
            <w:tcW w:w="269"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bookmarkStart w:id="22" w:name="dieu_7"/>
            <w:r>
              <w:rPr>
                <w:b/>
                <w:bCs/>
                <w:color w:val="000000"/>
                <w:rtl w:val="0"/>
                <w:lang w:val="vi-VN" w:eastAsia="vi-VN"/>
              </w:rPr>
              <w:t>7</w:t>
            </w:r>
            <w:bookmarkEnd w:id="22"/>
          </w:p>
        </w:tc>
        <w:tc>
          <w:tcPr>
            <w:tcW w:w="1428"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bookmarkStart w:id="23" w:name="dieu_7_name"/>
            <w:r>
              <w:rPr>
                <w:b/>
                <w:bCs/>
                <w:color w:val="000000"/>
                <w:rtl w:val="0"/>
                <w:lang w:val="vi-VN" w:eastAsia="vi-VN"/>
              </w:rPr>
              <w:t>Tăng cường nguồn nhân lực cho hoạt động sở hữu trí tuệ</w:t>
            </w:r>
            <w:bookmarkEnd w:id="23"/>
          </w:p>
        </w:tc>
        <w:tc>
          <w:tcPr>
            <w:tcW w:w="1089"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color w:val="000000"/>
                <w:rtl w:val="0"/>
                <w:lang w:val="vi-VN" w:eastAsia="vi-VN"/>
              </w:rPr>
              <w:t> </w:t>
            </w:r>
          </w:p>
        </w:tc>
        <w:tc>
          <w:tcPr>
            <w:tcW w:w="574"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color w:val="000000"/>
                <w:rtl w:val="0"/>
                <w:lang w:val="vi-VN" w:eastAsia="vi-VN"/>
              </w:rPr>
              <w:t> </w:t>
            </w:r>
          </w:p>
        </w:tc>
        <w:tc>
          <w:tcPr>
            <w:tcW w:w="576"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color w:val="000000"/>
                <w:rtl w:val="0"/>
                <w:lang w:val="vi-VN" w:eastAsia="vi-VN"/>
              </w:rPr>
              <w:t> </w:t>
            </w:r>
          </w:p>
        </w:tc>
        <w:tc>
          <w:tcPr>
            <w:tcW w:w="509"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color w:val="000000"/>
                <w:rtl w:val="0"/>
                <w:lang w:val="vi-VN" w:eastAsia="vi-VN"/>
              </w:rPr>
              <w:t> </w:t>
            </w:r>
          </w:p>
        </w:tc>
        <w:tc>
          <w:tcPr>
            <w:tcW w:w="554"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jc w:val="center"/>
            </w:pPr>
            <w:r>
              <w:rPr>
                <w:color w:val="000000"/>
                <w:rtl w:val="0"/>
                <w:lang w:val="vi-VN" w:eastAsia="vi-VN"/>
              </w:rPr>
              <w:t> </w:t>
            </w:r>
          </w:p>
        </w:tc>
      </w:tr>
      <w:tr>
        <w:tblPrEx>
          <w:tblW w:w="5055" w:type="pct"/>
          <w:jc w:val="left"/>
          <w:tblCellMar>
            <w:top w:w="0" w:type="dxa"/>
            <w:left w:w="0" w:type="dxa"/>
            <w:bottom w:w="0" w:type="dxa"/>
            <w:right w:w="0" w:type="dxa"/>
          </w:tblCellMar>
        </w:tblPrEx>
        <w:trPr>
          <w:jc w:val="left"/>
        </w:trPr>
        <w:tc>
          <w:tcPr>
            <w:tcW w:w="269"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color w:val="000000"/>
                <w:rtl w:val="0"/>
                <w:lang w:val="vi-VN" w:eastAsia="vi-VN"/>
              </w:rPr>
              <w:t>7.1</w:t>
            </w:r>
          </w:p>
        </w:tc>
        <w:tc>
          <w:tcPr>
            <w:tcW w:w="1428"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color w:val="000000"/>
                <w:rtl w:val="0"/>
                <w:lang w:val="vi-VN" w:eastAsia="vi-VN"/>
              </w:rPr>
              <w:t>Xây dựng Đề án Phát triển nguồn nhân lực chuyên nghiệp về SHTT</w:t>
            </w:r>
          </w:p>
        </w:tc>
        <w:tc>
          <w:tcPr>
            <w:tcW w:w="1089"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280" w:afterAutospacing="1"/>
            </w:pPr>
            <w:r>
              <w:rPr>
                <w:color w:val="000000"/>
                <w:rtl w:val="0"/>
                <w:lang w:val="vi-VN" w:eastAsia="vi-VN"/>
              </w:rPr>
              <w:t>- Xây dựng chương trình đào tạo, bồi dưỡng nhân lực phù hợp với từng nhóm chủ thể; nâng cao số lượng và chất lượng nguồn nhân lực chuyên nghiệp về SHTT ở các cơ quan quản lý nhà nước, các viện, trường, hiệp hội về SHTT;</w:t>
            </w:r>
          </w:p>
          <w:p>
            <w:pPr>
              <w:bidi w:val="0"/>
              <w:spacing w:before="120" w:beforeAutospacing="0" w:after="0" w:afterAutospacing="0"/>
              <w:rPr>
                <w:rtl w:val="0"/>
              </w:rPr>
            </w:pPr>
            <w:r>
              <w:rPr>
                <w:color w:val="000000"/>
                <w:rtl w:val="0"/>
                <w:lang w:val="vi-VN" w:eastAsia="vi-VN"/>
              </w:rPr>
              <w:t>- Dự thảo Đề án trình Bộ trưởng phê duyệt.</w:t>
            </w:r>
          </w:p>
        </w:tc>
        <w:tc>
          <w:tcPr>
            <w:tcW w:w="574"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color w:val="000000"/>
                <w:rtl w:val="0"/>
                <w:lang w:val="vi-VN" w:eastAsia="vi-VN"/>
              </w:rPr>
              <w:t>Cục SHTT</w:t>
            </w:r>
          </w:p>
        </w:tc>
        <w:tc>
          <w:tcPr>
            <w:tcW w:w="576"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color w:val="000000"/>
                <w:rtl w:val="0"/>
                <w:lang w:val="vi-VN" w:eastAsia="vi-VN"/>
              </w:rPr>
              <w:t>Vụ TCCB, Thanh tra Bộ, Viện KHSHTT, các cơ quan, đơn vị liên quan</w:t>
            </w:r>
          </w:p>
        </w:tc>
        <w:tc>
          <w:tcPr>
            <w:tcW w:w="509"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color w:val="000000"/>
                <w:rtl w:val="0"/>
                <w:lang w:val="vi-VN" w:eastAsia="vi-VN"/>
              </w:rPr>
              <w:t>Bộ trưởng</w:t>
            </w:r>
          </w:p>
        </w:tc>
        <w:tc>
          <w:tcPr>
            <w:tcW w:w="554"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jc w:val="center"/>
            </w:pPr>
            <w:r>
              <w:rPr>
                <w:color w:val="000000"/>
                <w:rtl w:val="0"/>
                <w:lang w:val="vi-VN" w:eastAsia="vi-VN"/>
              </w:rPr>
              <w:t>2022</w:t>
            </w:r>
          </w:p>
        </w:tc>
      </w:tr>
      <w:tr>
        <w:tblPrEx>
          <w:tblW w:w="5055" w:type="pct"/>
          <w:jc w:val="left"/>
          <w:tblCellMar>
            <w:top w:w="0" w:type="dxa"/>
            <w:left w:w="0" w:type="dxa"/>
            <w:bottom w:w="0" w:type="dxa"/>
            <w:right w:w="0" w:type="dxa"/>
          </w:tblCellMar>
        </w:tblPrEx>
        <w:trPr>
          <w:jc w:val="left"/>
        </w:trPr>
        <w:tc>
          <w:tcPr>
            <w:tcW w:w="269"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color w:val="000000"/>
                <w:rtl w:val="0"/>
                <w:lang w:val="vi-VN" w:eastAsia="vi-VN"/>
              </w:rPr>
              <w:t>7.2</w:t>
            </w:r>
          </w:p>
        </w:tc>
        <w:tc>
          <w:tcPr>
            <w:tcW w:w="1428"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color w:val="000000"/>
                <w:rtl w:val="0"/>
                <w:lang w:val="vi-VN" w:eastAsia="vi-VN"/>
              </w:rPr>
              <w:t>Tăng cường đào tạo quản trị viên tài sản trí tuệ cho các trường đại học, viện nghiên cứu và doanh nghiệp ở Việt Nam</w:t>
            </w:r>
          </w:p>
        </w:tc>
        <w:tc>
          <w:tcPr>
            <w:tcW w:w="1089"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280" w:afterAutospacing="1"/>
            </w:pPr>
            <w:r>
              <w:rPr>
                <w:color w:val="000000"/>
                <w:rtl w:val="0"/>
                <w:lang w:val="vi-VN" w:eastAsia="vi-VN"/>
              </w:rPr>
              <w:t>- Cập nhật và chuẩn hóa chương trình đào tạo quản trị viên tài sản trí tuệ; ứng dụng và phát triển các hình thức mới trong đào tạo quản trị viên tài sản trí tuệ; phát triển về số lượng và chất lượng quản trị viên tài sản trí tuệ nhằm nâng cao năng lực quản lý tài sản trí tuệ của doanh nghiệp;</w:t>
            </w:r>
          </w:p>
          <w:p>
            <w:pPr>
              <w:bidi w:val="0"/>
              <w:spacing w:before="120" w:beforeAutospacing="0" w:after="0" w:afterAutospacing="0"/>
              <w:rPr>
                <w:rtl w:val="0"/>
              </w:rPr>
            </w:pPr>
            <w:r>
              <w:rPr>
                <w:color w:val="000000"/>
                <w:rtl w:val="0"/>
                <w:lang w:val="vi-VN" w:eastAsia="vi-VN"/>
              </w:rPr>
              <w:t>- Sản phẩm: các chương trình, tài liệu đào tạo được phê duyệt; các khóa đào tạo được triển khai.</w:t>
            </w:r>
          </w:p>
        </w:tc>
        <w:tc>
          <w:tcPr>
            <w:tcW w:w="574"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color w:val="000000"/>
                <w:rtl w:val="0"/>
                <w:lang w:val="vi-VN" w:eastAsia="vi-VN"/>
              </w:rPr>
              <w:t>Viện KHSHTT</w:t>
            </w:r>
          </w:p>
        </w:tc>
        <w:tc>
          <w:tcPr>
            <w:tcW w:w="576"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color w:val="000000"/>
                <w:rtl w:val="0"/>
                <w:lang w:val="vi-VN" w:eastAsia="vi-VN"/>
              </w:rPr>
              <w:t>Cục SHTT, các đơn vị liên quan</w:t>
            </w:r>
          </w:p>
        </w:tc>
        <w:tc>
          <w:tcPr>
            <w:tcW w:w="509"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color w:val="000000"/>
                <w:rtl w:val="0"/>
                <w:lang w:val="vi-VN" w:eastAsia="vi-VN"/>
              </w:rPr>
              <w:t>Bộ trưởng</w:t>
            </w:r>
          </w:p>
        </w:tc>
        <w:tc>
          <w:tcPr>
            <w:tcW w:w="554"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jc w:val="center"/>
            </w:pPr>
            <w:r>
              <w:rPr>
                <w:color w:val="000000"/>
                <w:rtl w:val="0"/>
                <w:lang w:val="vi-VN" w:eastAsia="vi-VN"/>
              </w:rPr>
              <w:t>2025</w:t>
            </w:r>
          </w:p>
        </w:tc>
      </w:tr>
      <w:tr>
        <w:tblPrEx>
          <w:tblW w:w="5055" w:type="pct"/>
          <w:jc w:val="left"/>
          <w:tblCellMar>
            <w:top w:w="0" w:type="dxa"/>
            <w:left w:w="0" w:type="dxa"/>
            <w:bottom w:w="0" w:type="dxa"/>
            <w:right w:w="0" w:type="dxa"/>
          </w:tblCellMar>
        </w:tblPrEx>
        <w:trPr>
          <w:jc w:val="left"/>
        </w:trPr>
        <w:tc>
          <w:tcPr>
            <w:tcW w:w="269"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bookmarkStart w:id="24" w:name="dieu_8"/>
            <w:r>
              <w:rPr>
                <w:b/>
                <w:bCs/>
                <w:color w:val="000000"/>
                <w:rtl w:val="0"/>
                <w:lang w:val="vi-VN" w:eastAsia="vi-VN"/>
              </w:rPr>
              <w:t>8</w:t>
            </w:r>
            <w:bookmarkEnd w:id="24"/>
          </w:p>
        </w:tc>
        <w:tc>
          <w:tcPr>
            <w:tcW w:w="1428"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bookmarkStart w:id="25" w:name="dieu_8_name"/>
            <w:r>
              <w:rPr>
                <w:b/>
                <w:bCs/>
                <w:color w:val="000000"/>
                <w:rtl w:val="0"/>
                <w:lang w:val="vi-VN" w:eastAsia="vi-VN"/>
              </w:rPr>
              <w:t>Hình thành văn hóa sở hữu trí tuệ trong xã hội</w:t>
            </w:r>
            <w:bookmarkEnd w:id="25"/>
          </w:p>
        </w:tc>
        <w:tc>
          <w:tcPr>
            <w:tcW w:w="1089"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after="0" w:afterAutospacing="0"/>
            </w:pPr>
            <w:r>
              <w:rPr>
                <w:color w:val="000000"/>
                <w:rtl w:val="0"/>
              </w:rPr>
              <w:t> </w:t>
            </w:r>
          </w:p>
        </w:tc>
        <w:tc>
          <w:tcPr>
            <w:tcW w:w="574"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color w:val="000000"/>
                <w:rtl w:val="0"/>
                <w:lang w:val="vi-VN" w:eastAsia="vi-VN"/>
              </w:rPr>
              <w:t> </w:t>
            </w:r>
          </w:p>
        </w:tc>
        <w:tc>
          <w:tcPr>
            <w:tcW w:w="576"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color w:val="000000"/>
                <w:rtl w:val="0"/>
                <w:lang w:val="vi-VN" w:eastAsia="vi-VN"/>
              </w:rPr>
              <w:t> </w:t>
            </w:r>
          </w:p>
        </w:tc>
        <w:tc>
          <w:tcPr>
            <w:tcW w:w="509"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color w:val="000000"/>
                <w:rtl w:val="0"/>
                <w:lang w:val="vi-VN" w:eastAsia="vi-VN"/>
              </w:rPr>
              <w:t> </w:t>
            </w:r>
          </w:p>
        </w:tc>
        <w:tc>
          <w:tcPr>
            <w:tcW w:w="554"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color w:val="000000"/>
                <w:rtl w:val="0"/>
                <w:lang w:val="vi-VN" w:eastAsia="vi-VN"/>
              </w:rPr>
              <w:t> </w:t>
            </w:r>
          </w:p>
        </w:tc>
      </w:tr>
      <w:tr>
        <w:tblPrEx>
          <w:tblW w:w="5055" w:type="pct"/>
          <w:jc w:val="left"/>
          <w:tblCellMar>
            <w:top w:w="0" w:type="dxa"/>
            <w:left w:w="0" w:type="dxa"/>
            <w:bottom w:w="0" w:type="dxa"/>
            <w:right w:w="0" w:type="dxa"/>
          </w:tblCellMar>
        </w:tblPrEx>
        <w:trPr>
          <w:jc w:val="left"/>
        </w:trPr>
        <w:tc>
          <w:tcPr>
            <w:tcW w:w="269"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color w:val="000000"/>
                <w:rtl w:val="0"/>
                <w:lang w:val="vi-VN" w:eastAsia="vi-VN"/>
              </w:rPr>
              <w:t> </w:t>
            </w:r>
          </w:p>
        </w:tc>
        <w:tc>
          <w:tcPr>
            <w:tcW w:w="1428"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color w:val="000000"/>
                <w:rtl w:val="0"/>
                <w:lang w:val="vi-VN" w:eastAsia="vi-VN"/>
              </w:rPr>
              <w:t>Xây dựng Đề án Tuyên truyền, nâng cao nhận thức về SHTT.</w:t>
            </w:r>
          </w:p>
        </w:tc>
        <w:tc>
          <w:tcPr>
            <w:tcW w:w="1089"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280" w:afterAutospacing="1"/>
            </w:pPr>
            <w:r>
              <w:rPr>
                <w:color w:val="000000"/>
                <w:rtl w:val="0"/>
                <w:lang w:val="vi-VN" w:eastAsia="vi-VN"/>
              </w:rPr>
              <w:t>- Xây dựng Chương trình tuyên truyền, nâng cao nhận thức với các hình thức, nội dung phù hợp cho từng nhóm chủ thể: xây dựng kế hoạch, lộ trình, dự kiến nguồn lực triển khai thực hiện trên phạm vi cả nước;</w:t>
            </w:r>
          </w:p>
          <w:p>
            <w:pPr>
              <w:bidi w:val="0"/>
              <w:spacing w:before="120" w:beforeAutospacing="0" w:after="0" w:afterAutospacing="0"/>
              <w:rPr>
                <w:rtl w:val="0"/>
              </w:rPr>
            </w:pPr>
            <w:r>
              <w:rPr>
                <w:color w:val="000000"/>
                <w:rtl w:val="0"/>
                <w:lang w:val="vi-VN" w:eastAsia="vi-VN"/>
              </w:rPr>
              <w:t>- Dự thảo Đề án trình Bộ trưởng phê duyệt.</w:t>
            </w:r>
          </w:p>
        </w:tc>
        <w:tc>
          <w:tcPr>
            <w:tcW w:w="574"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color w:val="000000"/>
                <w:rtl w:val="0"/>
                <w:lang w:val="vi-VN" w:eastAsia="vi-VN"/>
              </w:rPr>
              <w:t>TT NCPTTT</w:t>
            </w:r>
          </w:p>
        </w:tc>
        <w:tc>
          <w:tcPr>
            <w:tcW w:w="576"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color w:val="000000"/>
                <w:rtl w:val="0"/>
                <w:lang w:val="vi-VN" w:eastAsia="vi-VN"/>
              </w:rPr>
              <w:t>Cục SHTT, Thanh tra Bộ, Viện KHSHTT, các đơn vị liên quan</w:t>
            </w:r>
          </w:p>
        </w:tc>
        <w:tc>
          <w:tcPr>
            <w:tcW w:w="509"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color w:val="000000"/>
                <w:rtl w:val="0"/>
                <w:lang w:val="vi-VN" w:eastAsia="vi-VN"/>
              </w:rPr>
              <w:t>Bộ trưởng</w:t>
            </w:r>
          </w:p>
        </w:tc>
        <w:tc>
          <w:tcPr>
            <w:tcW w:w="554"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jc w:val="center"/>
            </w:pPr>
            <w:r>
              <w:rPr>
                <w:color w:val="000000"/>
                <w:rtl w:val="0"/>
                <w:lang w:val="vi-VN" w:eastAsia="vi-VN"/>
              </w:rPr>
              <w:t>2021</w:t>
            </w:r>
          </w:p>
        </w:tc>
      </w:tr>
    </w:tbl>
    <w:p>
      <w:pPr>
        <w:bidi w:val="0"/>
        <w:spacing w:before="120" w:beforeAutospacing="0" w:after="280" w:afterAutospacing="1"/>
      </w:pPr>
      <w:r>
        <w:rPr>
          <w:color w:val="FFFFFF"/>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