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0" w:before="0"/>
        <w:ind w:firstLine="0"/>
        <w:jc w:val="center"/>
        <w:rPr>
          <w:szCs w:val="26"/>
        </w:rPr>
      </w:pPr>
      <w:r w:rsidRPr="000F7C87">
        <w:rPr>
          <w:b w:val="0"/>
          <w:i w:val="0"/>
          <w:sz w:val="26"/>
          <w:szCs w:val="26"/>
        </w:rPr>
        <w:t>BỘ GIÁO DỤC VÀ ĐÀO TẠO</w:t>
      </w:r>
    </w:p>
    <w:p w14:paraId="07734D5E" w14:textId="77777777" w:rsidR="005B561C" w:rsidRPr="000F7C87" w:rsidRDefault="00000000">
      <w:pPr>
        <w:spacing w:after="0" w:before="0"/>
        <w:ind w:firstLine="0"/>
        <w:jc w:val="center"/>
        <w:rPr>
          <w:szCs w:val="26"/>
        </w:rPr>
      </w:pPr>
      <w:r w:rsidRPr="000F7C87">
        <w:rPr>
          <w:b/>
          <w:i w:val="0"/>
          <w:sz w:val="26"/>
          <w:szCs w:val="26"/>
        </w:rPr>
        <w:t>TRƯỜNG ĐẠI HỌC THÀNH ĐÔ</w:t>
      </w:r>
    </w:p>
    <w:p w14:paraId="07734D5E" w14:textId="77777777" w:rsidR="005B561C" w:rsidRPr="000F7C87" w:rsidRDefault="00000000">
      <w:pPr>
        <w:spacing w:after="1800" w:before="0"/>
        <w:ind w:firstLine="0"/>
        <w:jc w:val="center"/>
        <w:rPr>
          <w:szCs w:val="26"/>
        </w:rPr>
      </w:pPr>
      <w:r w:rsidRPr="000F7C87">
        <w:rPr>
          <w:b w:val="0"/>
          <w:i w:val="0"/>
          <w:sz w:val="26"/>
          <w:szCs w:val="26"/>
        </w:rPr>
        <w:t>--------------------</w:t>
      </w:r>
    </w:p>
    <w:p w14:paraId="07734D5E" w14:textId="77777777" w:rsidR="005B561C" w:rsidRPr="000F7C87" w:rsidRDefault="00000000">
      <w:pPr>
        <w:spacing w:after="120" w:before="0"/>
        <w:ind w:firstLine="0"/>
        <w:jc w:val="center"/>
        <w:rPr>
          <w:szCs w:val="26"/>
        </w:rPr>
      </w:pPr>
      <w:r w:rsidRPr="000F7C87">
        <w:rPr>
          <w:b/>
          <w:i w:val="0"/>
          <w:sz w:val="36"/>
          <w:szCs w:val="26"/>
        </w:rPr>
        <w:t>BÁO CÁO TỔNG KẾT</w:t>
      </w:r>
    </w:p>
    <w:p w14:paraId="07734D5E" w14:textId="77777777" w:rsidR="005B561C" w:rsidRPr="000F7C87" w:rsidRDefault="00000000">
      <w:pPr>
        <w:spacing w:after="1200" w:before="0"/>
        <w:ind w:firstLine="0"/>
        <w:jc w:val="center"/>
        <w:rPr>
          <w:szCs w:val="26"/>
        </w:rPr>
      </w:pPr>
      <w:r w:rsidRPr="000F7C87">
        <w:rPr>
          <w:b/>
          <w:i w:val="0"/>
          <w:sz w:val="28"/>
          <w:szCs w:val="26"/>
        </w:rPr>
        <w:t>ĐỀ TÀI KHOA HỌC VÀ CÔNG NGHỆ CẤP CƠ SỞ NĂM 2026</w:t>
      </w:r>
    </w:p>
    <w:p w14:paraId="07734D5E" w14:textId="77777777" w:rsidR="005B561C" w:rsidRPr="000F7C87" w:rsidRDefault="00000000">
      <w:pPr>
        <w:spacing w:after="120" w:before="0"/>
        <w:ind w:firstLine="0"/>
        <w:jc w:val="center"/>
        <w:rPr>
          <w:szCs w:val="26"/>
        </w:rPr>
      </w:pPr>
      <w:r w:rsidRPr="000F7C87">
        <w:rPr>
          <w:b w:val="0"/>
          <w:i/>
          <w:sz w:val="26"/>
          <w:szCs w:val="26"/>
        </w:rPr>
        <w:t>Tên đề tài:</w:t>
      </w:r>
    </w:p>
    <w:p w14:paraId="07734D5E" w14:textId="77777777" w:rsidR="005B561C" w:rsidRPr="000F7C87" w:rsidRDefault="00000000">
      <w:pPr>
        <w:spacing w:after="2200" w:before="0"/>
        <w:ind w:firstLine="0"/>
        <w:jc w:val="center"/>
        <w:rPr>
          <w:szCs w:val="26"/>
        </w:rPr>
      </w:pPr>
      <w:r w:rsidRPr="000F7C87">
        <w:rPr>
          <w:b/>
          <w:i w:val="0"/>
          <w:sz w:val="34"/>
          <w:szCs w:val="26"/>
        </w:rPr>
        <w:t>NGHIÊN CỨU GIẢI PHÁP NÂNG CAO HIỆU QUẢ QUẢN LÝ QUYỀN SỞ HỮU TRÍ TUỆ TẠI TRƯỜNG ĐẠI HỌC THÀNH ĐÔ</w:t>
      </w:r>
    </w:p>
    <w:p w14:paraId="07734D5E" w14:textId="77777777" w:rsidR="005B561C" w:rsidRPr="000F7C87" w:rsidRDefault="00000000">
      <w:pPr>
        <w:spacing w:after="0" w:before="0"/>
        <w:ind w:firstLine="0" w:left="2000"/>
        <w:jc w:val="left"/>
        <w:rPr>
          <w:szCs w:val="26"/>
        </w:rPr>
      </w:pPr>
      <w:r w:rsidRPr="000F7C87">
        <w:rPr>
          <w:b/>
          <w:i w:val="0"/>
          <w:sz w:val="28"/>
          <w:szCs w:val="26"/>
        </w:rPr>
        <w:t>Chủ nhiệm đề tài: Nguyễn Thị Tố Uyên</w:t>
      </w:r>
    </w:p>
    <w:p w14:paraId="07734D5E" w14:textId="77777777" w:rsidR="005B561C" w:rsidRPr="000F7C87" w:rsidRDefault="00000000">
      <w:pPr>
        <w:spacing w:after="3000" w:before="0"/>
        <w:ind w:firstLine="0" w:left="2000"/>
        <w:jc w:val="left"/>
        <w:rPr>
          <w:szCs w:val="26"/>
        </w:rPr>
      </w:pPr>
      <w:r w:rsidRPr="000F7C87">
        <w:rPr>
          <w:b w:val="0"/>
          <w:i w:val="0"/>
          <w:sz w:val="28"/>
          <w:szCs w:val="26"/>
        </w:rPr>
        <w:t>Thành viên tham gia: Trần Đăng Bộ</w:t>
      </w:r>
    </w:p>
    <w:p w14:paraId="07734D5E" w14:textId="77777777" w:rsidR="005B561C" w:rsidRPr="000F7C87" w:rsidRDefault="00000000">
      <w:pPr>
        <w:spacing w:after="0" w:before="0"/>
        <w:ind w:firstLine="0"/>
        <w:jc w:val="center"/>
        <w:rPr>
          <w:szCs w:val="26"/>
        </w:rPr>
      </w:pPr>
      <w:r w:rsidRPr="000F7C87">
        <w:rPr>
          <w:b/>
          <w:i w:val="0"/>
          <w:sz w:val="28"/>
          <w:szCs w:val="26"/>
        </w:rPr>
        <w:t>Hà Nội, năm 2026</w:t>
      </w:r>
    </w:p>
    <w:p w14:paraId="07734D5E" w14:textId="77777777" w:rsidR="005B561C" w:rsidRPr="000F7C87" w:rsidRDefault="00000000">
      <w:pPr>
        <w:pageBreakBefore/>
        <w:spacing w:after="240"/>
        <w:ind w:firstLine="0"/>
        <w:jc w:val="center"/>
        <w:rPr>
          <w:szCs w:val="26"/>
        </w:rPr>
      </w:pPr>
      <w:r w:rsidRPr="000F7C87">
        <w:rPr>
          <w:b/>
          <w:sz w:val="28"/>
          <w:szCs w:val="26"/>
        </w:rPr>
        <w:t>MỤC LỤC</w:t>
      </w:r>
    </w:p>
    <w:p w14:paraId="48E95726" w14:textId="77777777" w:rsidR="005B561C" w:rsidRPr="000F7C87" w:rsidRDefault="00000000">
      <w:pPr>
        <w:tabs>
          <w:tab w:val="right" w:leader="dot" w:pos="9070"/>
        </w:tabs>
        <w:spacing w:before="0" w:after="60" w:line="276" w:lineRule="auto"/>
        <w:ind w:firstLine="0" w:left="0"/>
        <w:jc w:val="left"/>
        <w:rPr>
          <w:szCs w:val="26"/>
        </w:rPr>
      </w:pPr>
      <w:r>
        <w:fldChar w:fldCharType="begin"/>
      </w:r>
      <w:r>
        <w:instrText xml:space="preserve">TOC \o "1-3" \h \z \u</w:instrText>
      </w:r>
      <w:r>
        <w:fldChar w:fldCharType="separate"/>
      </w:r>
      <w:r>
        <w:rPr>
          <w:b/>
        </w:rPr>
        <w:t xml:space="preserve">MỞ ĐẦU</w:t>
      </w:r>
      <w:r>
        <w:tab/>
      </w:r>
      <w:r>
        <w:rPr>
          <w:b/>
        </w:rPr>
        <w:t xml:space="preserve">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 Tính cấp thiết của đề tài</w:t>
      </w:r>
      <w:r>
        <w:tab/>
      </w:r>
      <w:r>
        <w:rPr/>
        <w:t xml:space="preserve">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 Tổng quan tình hình nghiên cứu</w:t>
      </w:r>
      <w:r>
        <w:tab/>
      </w:r>
      <w:r>
        <w:rPr/>
        <w:t xml:space="preserve">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 Mục tiêu và câu hỏi nghiên cứu</w:t>
      </w:r>
      <w:r>
        <w:tab/>
      </w:r>
      <w:r>
        <w:rPr/>
        <w:t xml:space="preserve">2</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4. Đối tượng và phạm vi nghiên cứu</w:t>
      </w:r>
      <w:r>
        <w:tab/>
      </w:r>
      <w:r>
        <w:rPr/>
        <w:t xml:space="preserve">2</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5. Cách tiếp cận và phương pháp nghiên cứu</w:t>
      </w:r>
      <w:r>
        <w:tab/>
      </w:r>
      <w:r>
        <w:rPr/>
        <w:t xml:space="preserve">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6. Ý nghĩa khoa học và thực tiễn</w:t>
      </w:r>
      <w:r>
        <w:tab/>
      </w:r>
      <w:r>
        <w:rPr/>
        <w:t xml:space="preserve">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7. Kết cấu của báo cáo</w:t>
      </w:r>
      <w:r>
        <w:tab/>
      </w:r>
      <w:r>
        <w:rPr/>
        <w:t xml:space="preserve">4</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CHƯƠNG 1. CƠ SỞ LÝ LUẬN VÀ PHÁP LÝ VỀ QUẢN LÝ QUYỀN SỞ HỮU TRÍ TUỆ TRONG CƠ SỞ GIÁO DỤC ĐẠI HỌC</w:t>
      </w:r>
      <w:r>
        <w:tab/>
      </w:r>
      <w:r>
        <w:rPr>
          <w:b/>
        </w:rPr>
        <w:t xml:space="preserve">5</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1.1. Một số vấn đề lý luận về quyền sở hữu trí tuệ và quản lý quyền sở hữu trí tuệ trong cơ sở giáo dục đại học</w:t>
      </w:r>
      <w:r>
        <w:tab/>
      </w:r>
      <w:r>
        <w:rPr/>
        <w:t xml:space="preserve">5</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1.1.1. Khái niệm tài sản trí tuệ, quyền sở hữu trí tuệ và quản lý quyền sở hữu trí tuệ</w:t>
      </w:r>
      <w:r>
        <w:tab/>
      </w:r>
      <w:r>
        <w:rPr/>
        <w:t xml:space="preserve">5</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1.1.2. Đặc điểm của tài sản trí tuệ trong môi trường đại học</w:t>
      </w:r>
      <w:r>
        <w:tab/>
      </w:r>
      <w:r>
        <w:rPr/>
        <w:t xml:space="preserve">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1.1.3. Phân biệt xác lập quyền, bảo vệ quyền, khai thác quyền và thương mại hóa</w:t>
      </w:r>
      <w:r>
        <w:tab/>
      </w:r>
      <w:r>
        <w:rPr/>
        <w:t xml:space="preserve">8</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1.2. Vai trò của quản lý quyền sở hữu trí tuệ đối với đào tạo, nghiên cứu và phát triển cơ sở giáo dục đại học</w:t>
      </w:r>
      <w:r>
        <w:tab/>
      </w:r>
      <w:r>
        <w:rPr/>
        <w:t xml:space="preserve">10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1.2.1. Nâng cao chất lượng đào tạo và năng lực nghiên cứu khoa học</w:t>
      </w:r>
      <w:r>
        <w:tab/>
      </w:r>
      <w:r>
        <w:rPr/>
        <w:t xml:space="preserve">10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1.2.2. Đa dạng hóa nguồn tài chính ngoài học phí và thúc đẩy tự chủ đại học</w:t>
      </w:r>
      <w:r>
        <w:tab/>
      </w:r>
      <w:r>
        <w:rPr/>
        <w:t xml:space="preserve">10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1.2.3. Vị trí của chỉ số sở hữu trí tuệ trong kiểm định chất lượng và xếp hạng đại học</w:t>
      </w:r>
      <w:r>
        <w:tab/>
      </w:r>
      <w:r>
        <w:rPr/>
        <w:t xml:space="preserve">11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1.3. Khung pháp lý về quản lý quyền sở hữu trí tuệ trong cơ sở giáo dục đại học</w:t>
      </w:r>
      <w:r>
        <w:tab/>
      </w:r>
      <w:r>
        <w:rPr/>
        <w:t xml:space="preserve">12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1.3.1. Luật Sở hữu trí tuệ và các văn bản hướng dẫn thi hành</w:t>
      </w:r>
      <w:r>
        <w:tab/>
      </w:r>
      <w:r>
        <w:rPr/>
        <w:t xml:space="preserve">12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1.3.2. Luật Khoa học, công nghệ và đổi mới sáng tạo năm 2025 và quy định mới về quyền sở hữu kết quả nghiên cứu</w:t>
      </w:r>
      <w:r>
        <w:tab/>
      </w:r>
      <w:r>
        <w:rPr/>
        <w:t xml:space="preserve">15</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1.3.3. Chiến lược sở hữu trí tuệ đến năm 2030 và các yêu cầu mới đối với cơ sở giáo dục đại học</w:t>
      </w:r>
      <w:r>
        <w:tab/>
      </w:r>
      <w:r>
        <w:rPr/>
        <w:t xml:space="preserve">17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1.3.4. Yêu cầu đặt ra đối với việc xây dựng và hoàn thiện quy chế nội bộ của nhà trường</w:t>
      </w:r>
      <w:r>
        <w:tab/>
      </w:r>
      <w:r>
        <w:rPr/>
        <w:t xml:space="preserve">18</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1.4. Nội dung, tiêu chí đánh giá và các yếu tố ảnh hưởng đến hiệu quả quản lý quyền sở hữu trí tuệ</w:t>
      </w:r>
      <w:r>
        <w:tab/>
      </w:r>
      <w:r>
        <w:rPr/>
        <w:t xml:space="preserve">19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1.4.1. Bốn chức năng quản lý và chu trình quản lý quyền sở hữu trí tuệ trong cơ sở giáo dục đại học</w:t>
      </w:r>
      <w:r>
        <w:tab/>
      </w:r>
      <w:r>
        <w:rPr/>
        <w:t xml:space="preserve">19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1.4.2. Tiêu chí đánh giá hiệu quả theo chuỗi: đầu vào, quá trình, đầu ra và kết quả</w:t>
      </w:r>
      <w:r>
        <w:tab/>
      </w:r>
      <w:r>
        <w:rPr/>
        <w:t xml:space="preserve">20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1.4.3. Các yếu tố ảnh hưởng đến hiệu quả quản lý quyền sở hữu trí tuệ trong trường đại học</w:t>
      </w:r>
      <w:r>
        <w:tab/>
      </w:r>
      <w:r>
        <w:rPr/>
        <w:t xml:space="preserve">21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1.5. Kinh nghiệm quản lý quyền sở hữu trí tuệ, cách tiếp cận Không gian sáng tạo mở thử nghiệm và khung phân tích của đề tài</w:t>
      </w:r>
      <w:r>
        <w:tab/>
      </w:r>
      <w:r>
        <w:rPr/>
        <w:t xml:space="preserve">22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1.5.1. Kinh nghiệm quản lý, chuyển giao và khai thác quyền sở hữu trí tuệ tại một số trường đại học trong và ngoài nước</w:t>
      </w:r>
      <w:r>
        <w:tab/>
      </w:r>
      <w:r>
        <w:rPr/>
        <w:t xml:space="preserve">22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1.5.2. Cách tiếp cận Không gian sáng tạo mở thử nghiệm hỗ trợ đồng sáng tạo, thử nghiệm và hoàn thiện kết quả nghiên cứu trước khi mở rộng khai thác</w:t>
      </w:r>
      <w:r>
        <w:tab/>
      </w:r>
      <w:r>
        <w:rPr/>
        <w:t xml:space="preserve">24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1.5.3. Khung phân tích thống nhất của đề tài</w:t>
      </w:r>
      <w:r>
        <w:tab/>
      </w:r>
      <w:r>
        <w:rPr/>
        <w:t xml:space="preserve">25</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TIỂU KẾT CHƯƠNG 1</w:t>
      </w:r>
      <w:r>
        <w:tab/>
      </w:r>
      <w:r>
        <w:rPr/>
        <w:t xml:space="preserve">26</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CHƯƠNG 2. THỰC TRẠNG QUẢN LÝ QUYỀN SỞ HỮU TRÍ TUỆ TẠI TRƯỜNG ĐẠI HỌC THÀNH ĐÔ</w:t>
      </w:r>
      <w:r>
        <w:tab/>
      </w:r>
      <w:r>
        <w:rPr>
          <w:b/>
        </w:rPr>
        <w:t xml:space="preserve">28</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2.1. Khái quát về Nhà trường và nguồn hình thành tài sản trí tuệ</w:t>
      </w:r>
      <w:r>
        <w:tab/>
      </w:r>
      <w:r>
        <w:rPr/>
        <w:t xml:space="preserve">28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2.1.1. Tổ chức và nhân lực</w:t>
      </w:r>
      <w:r>
        <w:tab/>
      </w:r>
      <w:r>
        <w:rPr/>
        <w:t xml:space="preserve">28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2.1.2. Sản phẩm khoa học giai đoạn 2021 - 2025</w:t>
      </w:r>
      <w:r>
        <w:tab/>
      </w:r>
      <w:r>
        <w:rPr/>
        <w:t xml:space="preserve">29</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2.2. Thực trạng thể chế, tổ chức và nguồn lực quản lý quyền sở hữu trí tuệ</w:t>
      </w:r>
      <w:r>
        <w:tab/>
      </w:r>
      <w:r>
        <w:rPr/>
        <w:t xml:space="preserve">32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2.2.1. Hệ thống quy định nội bộ</w:t>
      </w:r>
      <w:r>
        <w:tab/>
      </w:r>
      <w:r>
        <w:rPr/>
        <w:t xml:space="preserve">32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2.2.2. Tổ chức bộ máy và đầu mối quản lý</w:t>
      </w:r>
      <w:r>
        <w:tab/>
      </w:r>
      <w:r>
        <w:rPr/>
        <w:t xml:space="preserve">37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2.2.3. Nguồn lực tài chính và cơ chế khuyến khích</w:t>
      </w:r>
      <w:r>
        <w:tab/>
      </w:r>
      <w:r>
        <w:rPr/>
        <w:t xml:space="preserve">38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2.2.4. Hệ thống dữ liệu phục vụ quản lý</w:t>
      </w:r>
      <w:r>
        <w:tab/>
      </w:r>
      <w:r>
        <w:rPr/>
        <w:t xml:space="preserve">41</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2.3. Thực trạng tạo lập, xác lập và bảo vệ quyền sở hữu trí tuệ</w:t>
      </w:r>
      <w:r>
        <w:tab/>
      </w:r>
      <w:r>
        <w:rPr/>
        <w:t xml:space="preserve">42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2.3.1. Đối sánh giữa quy định pháp luật, quy chế nội bộ và thực tế phát sinh</w:t>
      </w:r>
      <w:r>
        <w:tab/>
      </w:r>
      <w:r>
        <w:rPr/>
        <w:t xml:space="preserve">42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2.3.2. Tài sản trí tuệ đã được xác lập quyền và đang xử lý</w:t>
      </w:r>
      <w:r>
        <w:tab/>
      </w:r>
      <w:r>
        <w:rPr/>
        <w:t xml:space="preserve">43</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2.3.3. Sản phẩm đề tài có tiềm năng tạo lập tài sản trí tuệ</w:t>
      </w:r>
      <w:r>
        <w:tab/>
      </w:r>
      <w:r>
        <w:rPr/>
        <w:t xml:space="preserve">46</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2.4. Thực trạng sử dụng, chuyển giao và khai thác tài sản trí tuệ</w:t>
      </w:r>
      <w:r>
        <w:tab/>
      </w:r>
      <w:r>
        <w:rPr/>
        <w:t xml:space="preserve">49</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2.5. Đánh giá chung về công tác quản lý quyền sở hữu trí tuệ tại Trường Đại học Thành Đô</w:t>
      </w:r>
      <w:r>
        <w:tab/>
      </w:r>
      <w:r>
        <w:rPr/>
        <w:t xml:space="preserve">50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2.5.1. Kết quả đạt được</w:t>
      </w:r>
      <w:r>
        <w:tab/>
      </w:r>
      <w:r>
        <w:rPr/>
        <w:t xml:space="preserve">51</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2.5.2. Hạn chế</w:t>
      </w:r>
      <w:r>
        <w:tab/>
      </w:r>
      <w:r>
        <w:rPr/>
        <w:t xml:space="preserve">52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2.5.3. Nguyên nhân của hạn chế</w:t>
      </w:r>
      <w:r>
        <w:tab/>
      </w:r>
      <w:r>
        <w:rPr/>
        <w:t xml:space="preserve">53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TIỂU KẾT CHƯƠNG 2</w:t>
      </w:r>
      <w:r>
        <w:tab/>
      </w:r>
      <w:r>
        <w:rPr/>
        <w:t xml:space="preserve">55</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CHƯƠNG 3. HỆ THỐNG GIẢI PHÁP NÂNG CAO HIỆU QUẢ QUẢN LÝ QUYỀN SỞ HỮU TRÍ TUỆ TẠI TRƯỜNG ĐẠI HỌC THÀNH ĐÔ ĐÁP ỨNG KHUNG PHÁP LÝ MỚI</w:t>
      </w:r>
      <w:r>
        <w:tab/>
      </w:r>
      <w:r>
        <w:rPr>
          <w:b/>
        </w:rPr>
        <w:t xml:space="preserve">57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3.1. Định hướng và nguyên tắc xây dựng hệ thống giải pháp</w:t>
      </w:r>
      <w:r>
        <w:tab/>
      </w:r>
      <w:r>
        <w:rPr/>
        <w:t xml:space="preserve">57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3.1.1. Căn cứ quy phạm pháp luật và thể chế vĩ mô mới điều chỉnh công tác quản lý sở hữu trí tuệ</w:t>
      </w:r>
      <w:r>
        <w:tab/>
      </w:r>
      <w:r>
        <w:rPr/>
        <w:t xml:space="preserve">57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3.1.2. Phân tích điểm mạnh, điểm yếu, thời cơ và thách thức</w:t>
      </w:r>
      <w:r>
        <w:tab/>
      </w:r>
      <w:r>
        <w:rPr/>
        <w:t xml:space="preserve">60</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3.1.3. Các nguyên tắc xây dựng giải pháp</w:t>
      </w:r>
      <w:r>
        <w:tab/>
      </w:r>
      <w:r>
        <w:rPr/>
        <w:t xml:space="preserve">63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3.2. Hệ thống giải pháp cụ thể</w:t>
      </w:r>
      <w:r>
        <w:tab/>
      </w:r>
      <w:r>
        <w:rPr/>
        <w:t xml:space="preserve">64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3.2.1. Giải pháp 1: Hoàn thiện cơ chế, chính sách và hệ thống quy chế nội bộ về quản lý quyền sở hữu trí tuệ</w:t>
      </w:r>
      <w:r>
        <w:tab/>
      </w:r>
      <w:r>
        <w:rPr/>
        <w:t xml:space="preserve">64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3.2.2. Giải pháp 2: Kiện toàn mô hình tổ chức bộ máy, thiết lập cơ chế phối hợp liên phòng ban và nâng cao năng lực chuyên trách</w:t>
      </w:r>
      <w:r>
        <w:tab/>
      </w:r>
      <w:r>
        <w:rPr/>
        <w:t xml:space="preserve">67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3.2.3. Giải pháp 3: Chuẩn hóa quy trình 8 khâu quản lý tài sản trí tuệ gắn với khâu rà soát nghiệm thu bắt buộc và mô hình Không gian sáng tạo mở thử nghiệm</w:t>
      </w:r>
      <w:r>
        <w:tab/>
      </w:r>
      <w:r>
        <w:rPr/>
        <w:t xml:space="preserve">69</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3.2.4. Giải pháp 4: Hoàn thiện cơ chế tài chính cho bước xác lập quyền và phương án tổ chức khai thác tài sản trí tuệ theo giai đoạn</w:t>
      </w:r>
      <w:r>
        <w:tab/>
      </w:r>
      <w:r>
        <w:rPr/>
        <w:t xml:space="preserve">72</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3.2.5. Giải pháp 5: Phát triển chương trình đào tạo định hướng ban đầu cho giảng viên và sinh viên, kích hoạt phong trào đăng ký và phát triển văn hóa sở hữu trí tuệ</w:t>
      </w:r>
      <w:r>
        <w:tab/>
      </w:r>
      <w:r>
        <w:rPr/>
        <w:t xml:space="preserve">74</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3.2.6. Tổ chức thực hiện các giải pháp</w:t>
      </w:r>
      <w:r>
        <w:tab/>
      </w:r>
      <w:r>
        <w:rPr/>
        <w:t xml:space="preserve">75</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3.3. Kế hoạch thí điểm mô hình sàng lọc tại nghiệm thu</w:t>
      </w:r>
      <w:r>
        <w:tab/>
      </w:r>
      <w:r>
        <w:rPr/>
        <w:t xml:space="preserve">77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3.3.1. Mục đích và phạm vi thí điểm dự kiến</w:t>
      </w:r>
      <w:r>
        <w:tab/>
      </w:r>
      <w:r>
        <w:rPr/>
        <w:t xml:space="preserve">77</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3.3.2. Kịch bản thí điểm và các giả định cần kiểm chứng</w:t>
      </w:r>
      <w:r>
        <w:tab/>
      </w:r>
      <w:r>
        <w:rPr/>
        <w:t xml:space="preserve">77</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3.4. Lộ trình triển khai và Bộ chỉ số theo dõi đánh giá hiệu quả</w:t>
      </w:r>
      <w:r>
        <w:tab/>
      </w:r>
      <w:r>
        <w:rPr/>
        <w:t xml:space="preserve">78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3.4.1. Lộ trình triển khai theo các mốc chiến lược</w:t>
      </w:r>
      <w:r>
        <w:tab/>
      </w:r>
      <w:r>
        <w:rPr/>
        <w:t xml:space="preserve">78</w:t>
      </w:r>
    </w:p>
    <w:p w14:paraId="48E95726" w14:textId="77777777" w:rsidR="005B561C" w:rsidRPr="000F7C87" w:rsidRDefault="00000000">
      <w:pPr>
        <w:tabs>
          <w:tab w:val="right" w:leader="dot" w:pos="9070"/>
        </w:tabs>
        <w:spacing w:before="0" w:after="60" w:line="276" w:lineRule="auto"/>
        <w:ind w:firstLine="0" w:left="560"/>
        <w:jc w:val="left"/>
        <w:rPr>
          <w:szCs w:val="26"/>
        </w:rPr>
      </w:pPr>
      <w:r>
        <w:rPr/>
        <w:t xml:space="preserve">3.4.2. Bộ chỉ số theo dõi đánh giá hiệu quả</w:t>
      </w:r>
      <w:r>
        <w:tab/>
      </w:r>
      <w:r>
        <w:rPr/>
        <w:t xml:space="preserve">80</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TIỂU KẾT CHƯƠNG 3</w:t>
      </w:r>
      <w:r>
        <w:tab/>
      </w:r>
      <w:r>
        <w:rPr/>
        <w:t xml:space="preserve">82</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KẾT LUẬN VÀ KIẾN NGHỊ</w:t>
      </w:r>
      <w:r>
        <w:tab/>
      </w:r>
      <w:r>
        <w:rPr>
          <w:b/>
        </w:rPr>
        <w:t xml:space="preserve">83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1. Kết luận</w:t>
      </w:r>
      <w:r>
        <w:tab/>
      </w:r>
      <w:r>
        <w:rPr/>
        <w:t xml:space="preserve">83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2. Kiến nghị với cơ quan quản lý nhà nước</w:t>
      </w:r>
      <w:r>
        <w:tab/>
      </w:r>
      <w:r>
        <w:rPr/>
        <w:t xml:space="preserve">83</w:t>
      </w:r>
    </w:p>
    <w:p w14:paraId="48E95726" w14:textId="77777777" w:rsidR="005B561C" w:rsidRPr="000F7C87" w:rsidRDefault="00000000">
      <w:pPr>
        <w:tabs>
          <w:tab w:val="right" w:leader="dot" w:pos="9070"/>
        </w:tabs>
        <w:spacing w:before="0" w:after="60" w:line="276" w:lineRule="auto"/>
        <w:ind w:firstLine="0" w:left="280"/>
        <w:jc w:val="left"/>
        <w:rPr>
          <w:szCs w:val="26"/>
        </w:rPr>
      </w:pPr>
      <w:r>
        <w:rPr/>
        <w:t xml:space="preserve">3. Kiến nghị với Hội đồng trường và Ban Giám hiệu Trường Đại học Thành Đô</w:t>
      </w:r>
      <w:r>
        <w:tab/>
      </w:r>
      <w:r>
        <w:rPr/>
        <w:t xml:space="preserve">84</w:t>
      </w:r>
    </w:p>
    <w:p w14:paraId="48E95726" w14:textId="77777777" w:rsidR="005B561C" w:rsidRPr="000F7C87" w:rsidRDefault="00000000">
      <w:pPr>
        <w:tabs>
          <w:tab w:val="right" w:leader="dot" w:pos="9070"/>
        </w:tabs>
        <w:spacing w:before="0" w:after="60" w:line="276" w:lineRule="auto"/>
        <w:ind w:firstLine="0" w:left="0"/>
        <w:jc w:val="left"/>
        <w:rPr>
          <w:szCs w:val="26"/>
        </w:rPr>
      </w:pPr>
      <w:r>
        <w:rPr>
          <w:b/>
        </w:rPr>
        <w:t xml:space="preserve">TÀI LIỆU THAM KHẢO</w:t>
      </w:r>
      <w:r>
        <w:tab/>
      </w:r>
      <w:r>
        <w:rPr>
          <w:b/>
        </w:rPr>
        <w:t xml:space="preserve">85</w:t>
      </w:r>
      <w:r>
        <w:fldChar w:fldCharType="end"/>
      </w:r>
    </w:p>
    <w:p w14:paraId="07734D5E" w14:textId="77777777" w:rsidR="005B561C" w:rsidRPr="000F7C87" w:rsidRDefault="00000000">
      <w:pPr>
        <w:pageBreakBefore/>
        <w:spacing w:after="240"/>
        <w:ind w:firstLine="0"/>
        <w:jc w:val="center"/>
        <w:rPr>
          <w:szCs w:val="26"/>
        </w:rPr>
      </w:pPr>
      <w:r w:rsidRPr="000F7C87">
        <w:rPr>
          <w:b/>
          <w:sz w:val="28"/>
          <w:szCs w:val="26"/>
        </w:rPr>
        <w:t>DANH MỤC BẢNG</w:t>
      </w:r>
    </w:p>
    <w:p w14:paraId="48E95726" w14:textId="77777777" w:rsidR="005B561C" w:rsidRPr="000F7C87" w:rsidRDefault="00000000">
      <w:pPr>
        <w:tabs>
          <w:tab w:val="right" w:leader="dot" w:pos="9070"/>
        </w:tabs>
        <w:spacing w:before="0" w:after="60" w:line="276" w:lineRule="auto"/>
        <w:ind w:firstLine="0" w:left="0"/>
        <w:jc w:val="left"/>
        <w:rPr>
          <w:szCs w:val="26"/>
        </w:rPr>
      </w:pPr>
      <w:r>
        <w:fldChar w:fldCharType="begin"/>
      </w:r>
      <w:r>
        <w:instrText xml:space="preserve">TOC \h \z \t "Chu thich bang,1"</w:instrText>
      </w:r>
      <w:r>
        <w:fldChar w:fldCharType="separate"/>
      </w:r>
      <w:r>
        <w:rPr/>
        <w:t xml:space="preserve">Bảng 1.1. Bộ tiêu chí đánh giá hiệu quả quản lý quyền sở hữu trí tuệ theo chuỗi</w:t>
      </w:r>
      <w:r>
        <w:tab/>
      </w:r>
      <w:r>
        <w:rPr/>
        <w:t xml:space="preserve">21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2.1. Nhân lực Trường Đại học Thành Đô theo đơn vị và trình độ, năm 2026</w:t>
      </w:r>
      <w:r>
        <w:tab/>
      </w:r>
      <w:r>
        <w:rPr/>
        <w:t xml:space="preserve">28</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2.2. Sản phẩm khoa học của Trường Đại học Thành Đô, giai đoạn 2021 - 2025</w:t>
      </w:r>
      <w:r>
        <w:tab/>
      </w:r>
      <w:r>
        <w:rPr/>
        <w:t xml:space="preserve">29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2.3. Các quy định về lợi ích của tác giả và phân chia nguồn thu từ tài sản trí tuệ</w:t>
      </w:r>
      <w:r>
        <w:tab/>
      </w:r>
      <w:r>
        <w:rPr/>
        <w:t xml:space="preserve">33</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2.4. Ba kênh tài trợ nghiên cứu và cơ chế chi cho xác lập quyền</w:t>
      </w:r>
      <w:r>
        <w:tab/>
      </w:r>
      <w:r>
        <w:rPr/>
        <w:t xml:space="preserve">38</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2.5. Đối sánh đối tượng quyền theo Luật, theo quy chế nội bộ và theo thực tế phát sinh</w:t>
      </w:r>
      <w:r>
        <w:tab/>
      </w:r>
      <w:r>
        <w:rPr/>
        <w:t xml:space="preserve">42</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2.6. Hồ sơ tài sản trí tuệ thuộc sở hữu hoặc đồng sở hữu của Trường Đại học Thành Đô</w:t>
      </w:r>
      <w:r>
        <w:tab/>
      </w:r>
      <w:r>
        <w:rPr/>
        <w:t xml:space="preserve">43</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2.7. Đề tài cấp cơ sở có sản phẩm tiềm năng tạo lập tài sản trí tuệ, giai đoạn 2021 - 2025</w:t>
      </w:r>
      <w:r>
        <w:tab/>
      </w:r>
      <w:r>
        <w:rPr/>
        <w:t xml:space="preserve">46</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3.1. Ma trận điểm mạnh, điểm yếu, thời cơ và thách thức trong quản lý quyền sở hữu trí tuệ tại Trường Đại học Thành Đô</w:t>
      </w:r>
      <w:r>
        <w:tab/>
      </w:r>
      <w:r>
        <w:rPr/>
        <w:t xml:space="preserve">60</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3.2. Các phương án kết hợp từ ma trận và giải pháp tương ứng</w:t>
      </w:r>
      <w:r>
        <w:tab/>
      </w:r>
      <w:r>
        <w:rPr/>
        <w:t xml:space="preserve">62</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3.3. Tổ chức thực hiện các giải pháp theo hạn chế được xử lý</w:t>
      </w:r>
      <w:r>
        <w:tab/>
      </w:r>
      <w:r>
        <w:rPr/>
        <w:t xml:space="preserve">76</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Bảng 3.4. Bộ chỉ số theo dõi đánh giá hiệu quả triển khai hệ thống giải pháp, phân tầng theo chuỗi kết quả</w:t>
      </w:r>
      <w:r>
        <w:tab/>
      </w:r>
      <w:r>
        <w:rPr/>
        <w:t xml:space="preserve">80</w:t>
      </w:r>
      <w:r>
        <w:fldChar w:fldCharType="end"/>
      </w:r>
    </w:p>
    <w:p w14:paraId="07734D5E" w14:textId="77777777" w:rsidR="005B561C" w:rsidRPr="000F7C87" w:rsidRDefault="00000000">
      <w:pPr>
        <w:pageBreakBefore/>
        <w:spacing w:after="240"/>
        <w:ind w:firstLine="0"/>
        <w:jc w:val="center"/>
        <w:rPr>
          <w:szCs w:val="26"/>
        </w:rPr>
      </w:pPr>
      <w:r w:rsidRPr="000F7C87">
        <w:rPr>
          <w:b/>
          <w:sz w:val="28"/>
          <w:szCs w:val="26"/>
        </w:rPr>
        <w:t>DANH MỤC HÌNH</w:t>
      </w:r>
    </w:p>
    <w:p w14:paraId="48E95726" w14:textId="77777777" w:rsidR="005B561C" w:rsidRPr="000F7C87" w:rsidRDefault="00000000">
      <w:pPr>
        <w:tabs>
          <w:tab w:val="right" w:leader="dot" w:pos="9070"/>
        </w:tabs>
        <w:spacing w:before="0" w:after="60" w:line="276" w:lineRule="auto"/>
        <w:ind w:firstLine="0" w:left="0"/>
        <w:jc w:val="left"/>
        <w:rPr>
          <w:szCs w:val="26"/>
        </w:rPr>
      </w:pPr>
      <w:r>
        <w:fldChar w:fldCharType="begin"/>
      </w:r>
      <w:r>
        <w:instrText xml:space="preserve">TOC \h \z \t "Chu thich hinh,1"</w:instrText>
      </w:r>
      <w:r>
        <w:fldChar w:fldCharType="separate"/>
      </w:r>
      <w:r>
        <w:rPr/>
        <w:t xml:space="preserve">Hình 1.1. Chu trình bốn giai đoạn quản lý quyền sở hữu trí tuệ trong trường đại học</w:t>
      </w:r>
      <w:r>
        <w:tab/>
      </w:r>
      <w:r>
        <w:rPr/>
        <w:t xml:space="preserve">20</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1.2. Sáu nhóm yếu tố ảnh hưởng đến hiệu quả quản lý quyền sở hữu trí tuệ</w:t>
      </w:r>
      <w:r>
        <w:tab/>
      </w:r>
      <w:r>
        <w:rPr/>
        <w:t xml:space="preserve">22</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1.3. Khung phân tích của đề tài</w:t>
      </w:r>
      <w:r>
        <w:tab/>
      </w:r>
      <w:r>
        <w:rPr/>
        <w:t xml:space="preserve">26</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2.1. Cơ cấu và diễn biến sản phẩm khoa học theo năm, giai đoạn 2021 - 2025</w:t>
      </w:r>
      <w:r>
        <w:tab/>
      </w:r>
      <w:r>
        <w:rPr/>
        <w:t xml:space="preserve">31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2.2. Mô phỏng phần dành cho tác giả theo điểm a và điểm b khoản 4 Điều 36 Quyết định 213 trên cùng cơ sở tính</w:t>
      </w:r>
      <w:r>
        <w:tab/>
      </w:r>
      <w:r>
        <w:rPr/>
        <w:t xml:space="preserve">35</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2.3. Phân công đầu mối quản lý quyền sở hữu trí tuệ tại Trường Đại học Thành Đô</w:t>
      </w:r>
      <w:r>
        <w:tab/>
      </w:r>
      <w:r>
        <w:rPr/>
        <w:t xml:space="preserve">37</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2.4. Số đề tài cấp cơ sở theo hình thức kinh phí và kinh phí Nhà trường cấp, giai đoạn 2021 - 2025</w:t>
      </w:r>
      <w:r>
        <w:tab/>
      </w:r>
      <w:r>
        <w:rPr/>
        <w:t xml:space="preserve">39</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2.5. Giờ nghiên cứu quy đổi và mức thưởng bằng tiền theo loại sản phẩm khoa học</w:t>
      </w:r>
      <w:r>
        <w:tab/>
      </w:r>
      <w:r>
        <w:rPr/>
        <w:t xml:space="preserve">40</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2.6. Khả năng tính toán bộ tiêu chí đánh giá hiệu quả quản lý quyền sở hữu trí tuệ từ dữ liệu hiện có</w:t>
      </w:r>
      <w:r>
        <w:tab/>
      </w:r>
      <w:r>
        <w:rPr/>
        <w:t xml:space="preserve">41</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2.7. Hồ sơ tài sản trí tuệ của Nhà trường trong kỳ 2021 - 2025 theo loại hình và tình trạng pháp lý</w:t>
      </w:r>
      <w:r>
        <w:tab/>
      </w:r>
      <w:r>
        <w:rPr/>
        <w:t xml:space="preserve">45</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2.8. Sản phẩm đề tài cấp cơ sở có tiềm năng tạo lập tài sản trí tuệ theo nhóm quyền dự kiến</w:t>
      </w:r>
      <w:r>
        <w:tab/>
      </w:r>
      <w:r>
        <w:rPr/>
        <w:t xml:space="preserve">47</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2.9. Chuỗi chuyển hóa từ đề tài cấp cơ sở sang đơn đăng ký sở hữu công nghiệp</w:t>
      </w:r>
      <w:r>
        <w:tab/>
      </w:r>
      <w:r>
        <w:rPr/>
        <w:t xml:space="preserve">48</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2.10. Tỷ lệ thực hiện so với chỉ tiêu Kế hoạch 07/KH-ĐHTĐ, cộng dồn hai năm 2024 - 2025</w:t>
      </w:r>
      <w:r>
        <w:tab/>
      </w:r>
      <w:r>
        <w:rPr/>
        <w:t xml:space="preserve">50</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2.11. Giả thuyết về chuỗi nguyên nhân dẫn đến việc sản phẩm có tiềm năng chưa được đăng ký bảo hộ</w:t>
      </w:r>
      <w:r>
        <w:tab/>
      </w:r>
      <w:r>
        <w:rPr/>
        <w:t xml:space="preserve">55</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3.1. Mô hình phối hợp liên phòng ban trong quản lý quyền sở hữu trí tuệ</w:t>
      </w:r>
      <w:r>
        <w:tab/>
      </w:r>
      <w:r>
        <w:rPr/>
        <w:t xml:space="preserve">68</w:t>
      </w:r>
    </w:p>
    <w:p w14:paraId="48E95726" w14:textId="77777777" w:rsidR="005B561C" w:rsidRPr="000F7C87" w:rsidRDefault="00000000">
      <w:pPr>
        <w:tabs>
          <w:tab w:val="right" w:leader="dot" w:pos="9070"/>
        </w:tabs>
        <w:spacing w:before="0" w:after="60" w:line="276" w:lineRule="auto"/>
        <w:ind w:firstLine="0" w:left="0"/>
        <w:jc w:val="left"/>
        <w:rPr>
          <w:szCs w:val="26"/>
        </w:rPr>
      </w:pPr>
      <w:r>
        <w:rPr/>
        <w:t xml:space="preserve">Hình 3.2. Quy trình 8 khâu quản lý tài sản trí tuệ từ khai báo đến khai thác, kèm phân nhánh theo loại đối tượng</w:t>
      </w:r>
      <w:r>
        <w:tab/>
      </w:r>
      <w:r>
        <w:rPr/>
        <w:t xml:space="preserve">70</w:t>
      </w:r>
    </w:p>
    <w:p w14:paraId="48E95726" w14:textId="77777777" w:rsidR="005B561C" w:rsidRPr="000F7C87" w:rsidRDefault="00000000">
      <w:pPr>
        <w:tabs>
          <w:tab w:val="right" w:leader="dot" w:pos="9070"/>
        </w:tabs>
        <w:spacing w:before="0" w:after="60" w:line="276" w:lineRule="auto"/>
        <w:ind w:firstLine="0" w:left="0"/>
        <w:jc w:val="left"/>
        <w:rPr>
          <w:szCs w:val="26"/>
        </w:rPr>
        <w:sectPr w:rsidR="005B561C" w:rsidRPr="000F7C87" w:rsidSect="00034616">
          <w:footerReference w:type="default" r:id="rId25"/>
          <w:footerReference w:type="first" r:id="rId26"/>
          <w:pgSz w:w="11906" w:h="16838"/>
          <w:pgMar w:top="1134" w:right="1134" w:bottom="1134" w:left="1701" w:header="720" w:footer="720" w:gutter="0"/>
          <w:pgNumType w:fmt="lowerRoman"/>
          <w:cols w:space="720"/>
          <w:titlePg/>
          <w:docGrid w:linePitch="360"/>
        </w:sectPr>
      </w:pPr>
      <w:r>
        <w:rPr/>
        <w:t xml:space="preserve">Hình 3.3. Lộ trình triển khai hệ thống giải pháp giai đoạn 2026 - 2030</w:t>
      </w:r>
      <w:r>
        <w:tab/>
      </w:r>
      <w:r>
        <w:rPr/>
        <w:t xml:space="preserve">78</w:t>
      </w:r>
      <w:r>
        <w:fldChar w:fldCharType="end"/>
      </w:r>
    </w:p>
    <w:p w14:paraId="07734D5E" w14:textId="77777777" w:rsidR="005B561C" w:rsidRPr="000F7C87" w:rsidRDefault="00000000">
      <w:pPr>
        <w:pageBreakBefore/>
        <w:spacing w:after="240"/>
        <w:ind w:firstLine="0"/>
        <w:jc w:val="center"/>
        <w:outlineLvl w:val="0"/>
        <w:rPr>
          <w:szCs w:val="26"/>
        </w:rPr>
      </w:pPr>
      <w:r w:rsidRPr="000F7C87">
        <w:rPr>
          <w:b/>
          <w:sz w:val="28"/>
          <w:szCs w:val="26"/>
        </w:rPr>
        <w:t>MỞ ĐẦU</w:t>
      </w:r>
    </w:p>
    <w:p w14:paraId="6067EC56" w14:textId="77777777" w:rsidR="005B561C" w:rsidRPr="000F7C87" w:rsidRDefault="00000000">
      <w:pPr>
        <w:spacing w:before="280" w:after="160"/>
        <w:ind w:firstLine="0"/>
        <w:outlineLvl w:val="1"/>
        <w:rPr>
          <w:szCs w:val="26"/>
        </w:rPr>
      </w:pPr>
      <w:r w:rsidRPr="000F7C87">
        <w:rPr>
          <w:b/>
          <w:szCs w:val="26"/>
        </w:rPr>
        <w:t>1. Tính cấp thiết của đề tài</w:t>
      </w:r>
    </w:p>
    <w:p w14:paraId="48E95726" w14:textId="77777777" w:rsidR="005B561C" w:rsidRPr="000F7C87" w:rsidRDefault="00000000">
      <w:pPr>
        <w:rPr>
          <w:szCs w:val="26"/>
        </w:rPr>
      </w:pPr>
      <w:r w:rsidRPr="000F7C87">
        <w:rPr>
          <w:szCs w:val="26"/>
        </w:rPr>
        <w:t xml:space="preserve">Tài sản trí tuệ là nguồn lực vô hình quyết định năng lực cạnh tranh, uy tín học thuật và khả năng tự chủ tài chính của cơ sở giáo dục đại học. Giai đoạn 2025 - 2026 chứng kiến sự thay đổi dồn dập của pháp luật quốc gia về lĩnh vực này: Luật Khoa học, công nghệ và đổi mới sáng tạo số 93/2025/QH15 có hiệu lực từ ngày 01 tháng 10 năm 2025 trao cho tổ chức chủ trì quyền tự quyết về thương mại hóa và giá, đồng thời quy định mức thưởng tối thiểu cho tác giả đối với phần kết quả sử dụng ngân sách nhà nước; Luật số 131/2025/QH15 sửa đổi Luật Sở hữu trí tuệ; Luật Giáo dục đại học số 125/2025/QH15 và Quyết định số 1624/QĐ-TTg điều chỉnh Chiến lược sở hữu trí tuệ đến năm 2030 đều đặt yêu cầu mới đối với quản trị tài sản trí tuệ trong nhà trường. Bộ Chính trị, tại Kết luận số 51-KL/TW, xác định sở hữu trí tuệ là yếu tố cốt lõi để tự chủ chiến lược và cạnh tranh quốc tế.</w:t>
      </w:r>
    </w:p>
    <w:p w14:paraId="48E95726" w14:textId="77777777" w:rsidR="005B561C" w:rsidRPr="000F7C87" w:rsidRDefault="00000000">
      <w:pPr>
        <w:rPr>
          <w:szCs w:val="26"/>
        </w:rPr>
      </w:pPr>
      <w:r w:rsidRPr="000F7C87">
        <w:rPr>
          <w:szCs w:val="26"/>
        </w:rPr>
        <w:t xml:space="preserve">Trường Đại học Thành Đô đã sớm có tầm nhìn thể chế khi ban hành Quy chế hoạt động khoa học công nghệ kèm Quyết định số 213/QĐ-ĐHTĐ năm 2021 và Quy chế quản trị tài sản trí tuệ kèm Quyết định số 217/QĐ-ĐHTĐ năm 2024. Năng lực công bố của Nhà trường tăng nhanh trong giai đoạn 2021 - 2025, và 11 trên 38 đề tài cấp cơ sở đã tạo ra sản phẩm có tiềm năng tạo lập tài sản trí tuệ, nhất là ở khối ngành Y - Dược. Tuy vậy, kênh chuyển hóa từ kết quả nghiên cứu sang quyền sở hữu trí tuệ mới vận hành ở quy mô nhỏ, và các quy chế ban hành trước năm 2025 cần được cập nhật theo phạm vi áp dụng của luật mới. Việc nghiên cứu giải pháp nâng cao hiệu quả quản lý quyền sở hữu trí tuệ vì vậy vừa là yêu cầu tuân thủ pháp luật, vừa là cơ hội để Nhà trường đi tiên phong đón đầu khung pháp lý mới.</w:t>
      </w:r>
    </w:p>
    <w:p w14:paraId="6067EC56" w14:textId="77777777" w:rsidR="005B561C" w:rsidRPr="000F7C87" w:rsidRDefault="00000000">
      <w:pPr>
        <w:spacing w:before="280" w:after="160"/>
        <w:ind w:firstLine="0"/>
        <w:outlineLvl w:val="1"/>
        <w:rPr>
          <w:szCs w:val="26"/>
        </w:rPr>
      </w:pPr>
      <w:r w:rsidRPr="000F7C87">
        <w:rPr>
          <w:b/>
          <w:szCs w:val="26"/>
        </w:rPr>
        <w:t>2. Tổng quan tình hình nghiên cứu</w:t>
      </w:r>
    </w:p>
    <w:p w14:paraId="48E95726" w14:textId="77777777" w:rsidR="005B561C" w:rsidRPr="000F7C87" w:rsidRDefault="00000000">
      <w:pPr>
        <w:rPr>
          <w:szCs w:val="26"/>
        </w:rPr>
      </w:pPr>
      <w:r w:rsidRPr="000F7C87">
        <w:rPr>
          <w:szCs w:val="26"/>
          <w:b/>
        </w:rPr>
        <w:t xml:space="preserve">Nghiên cứu quốc tế.</w:t>
      </w:r>
      <w:r w:rsidRPr="000F7C87">
        <w:rPr>
          <w:szCs w:val="26"/>
        </w:rPr>
        <w:t xml:space="preserve"> Các công trình nền tảng đã chỉ ra rằng trường đại học có thể vận hành như một chủ thể khởi nghiệp, trong đó nhóm nghiên cứu mang đặc tính của doanh nghiệp (Etzkowitz, 2003). Hiệu quả thương mại hóa phụ thuộc vào thể chế phân bổ quyền và lợi ích, vào năng lực của đơn vị chuyển giao công nghệ và vào cơ chế khuyến khích nhà khoa học (Goldfarb &amp; Henrekson, 2003; Siegel et al., 2007; Thursby &amp; Kemp, 2002). Các tổng quan hệ thống gần đây nhấn mạnh sự dịch chuyển từ tư duy chiếm hữu sang tư duy khai thác tài sản trí tuệ và vai trò của quy trình tiếp nhận, đánh giá bản khai báo sáng chế tại đơn vị chuyển giao (Holgersson &amp; Aaboen, 2019; Maresova et al., 2019; Rocha et al., 2023). Hợp tác đại học với doanh nghiệp được xác định là kênh quan trọng để hình thành và khai thác tài sản trí tuệ, với điều kiện có cơ chế tin cậy và phân định quyền rõ ràng (O’Dwyer et al., 2023; Perkmann et al., 2013).</w:t>
      </w:r>
    </w:p>
    <w:p w14:paraId="48E95726" w14:textId="77777777" w:rsidR="005B561C" w:rsidRPr="000F7C87" w:rsidRDefault="00000000">
      <w:pPr>
        <w:rPr>
          <w:szCs w:val="26"/>
        </w:rPr>
      </w:pPr>
      <w:r w:rsidRPr="000F7C87">
        <w:rPr>
          <w:szCs w:val="26"/>
          <w:b/>
        </w:rPr>
        <w:t xml:space="preserve">Nghiên cứu trong nước.</w:t>
      </w:r>
      <w:r w:rsidRPr="000F7C87">
        <w:rPr>
          <w:szCs w:val="26"/>
        </w:rPr>
        <w:t xml:space="preserve"> Các nghiên cứu năm 2025 tập trung vào cơ hội, thách thức của quản trị tài sản trí tuệ trong cơ sở giáo dục đại học và vấn đề quyền của chủ thể tạo ra tác phẩm trong nhà trường (Nguyễn, 2025; Võ, 2025). Tài liệu tập huấn của Cục Sở hữu trí tuệ (n.d.) cung cấp khung nghiệp vụ cho cán bộ quản lý tại trường đại học và viện nghiên cứu.</w:t>
      </w:r>
    </w:p>
    <w:p w14:paraId="48E95726" w14:textId="77777777" w:rsidR="005B561C" w:rsidRPr="000F7C87" w:rsidRDefault="00000000">
      <w:pPr>
        <w:rPr>
          <w:szCs w:val="26"/>
        </w:rPr>
      </w:pPr>
      <w:r w:rsidRPr="000F7C87">
        <w:rPr>
          <w:szCs w:val="26"/>
          <w:b/>
        </w:rPr>
        <w:t xml:space="preserve">Khoảng trống nghiên cứu.</w:t>
      </w:r>
      <w:r w:rsidRPr="000F7C87">
        <w:rPr>
          <w:szCs w:val="26"/>
        </w:rPr>
        <w:t xml:space="preserve"> Phần lớn nghiên cứu trong nước dừng ở mức phân tích quy định hoặc đánh giá định tính, ít công trình đo lường thực trạng tại một trường cụ thể bằng dữ liệu hành chính đầy đủ theo chuỗi từ đề tài đến văn bằng. Chưa có nghiên cứu nào đối chiếu quy chế nội bộ của trường đại học tư thục với khung pháp lý mới giai đoạn 2025 - 2026. Đề tài hướng tới lấp khoảng trống này tại Trường Đại học Thành Đô.</w:t>
      </w:r>
    </w:p>
    <w:p w14:paraId="6067EC56" w14:textId="77777777" w:rsidR="005B561C" w:rsidRPr="000F7C87" w:rsidRDefault="00000000">
      <w:pPr>
        <w:spacing w:before="280" w:after="160"/>
        <w:ind w:firstLine="0"/>
        <w:outlineLvl w:val="1"/>
        <w:rPr>
          <w:szCs w:val="26"/>
        </w:rPr>
      </w:pPr>
      <w:r w:rsidRPr="000F7C87">
        <w:rPr>
          <w:b/>
          <w:szCs w:val="26"/>
        </w:rPr>
        <w:t>3. Mục tiêu và câu hỏi nghiên cứu</w:t>
      </w:r>
    </w:p>
    <w:p w14:paraId="48E95726" w14:textId="77777777" w:rsidR="005B561C" w:rsidRPr="000F7C87" w:rsidRDefault="00000000">
      <w:pPr>
        <w:rPr>
          <w:szCs w:val="26"/>
        </w:rPr>
      </w:pPr>
      <w:r w:rsidRPr="000F7C87">
        <w:rPr>
          <w:szCs w:val="26"/>
          <w:b/>
        </w:rPr>
        <w:t xml:space="preserve">Mục tiêu tổng quát:</w:t>
      </w:r>
      <w:r w:rsidRPr="000F7C87">
        <w:rPr>
          <w:szCs w:val="26"/>
        </w:rPr>
        <w:t xml:space="preserve"> đề xuất hệ thống giải pháp khả thi nhằm nâng cao hiệu quả quản lý quyền sở hữu trí tuệ tại Trường Đại học Thành Đô, đáp ứng khung pháp lý mới và yêu cầu của Chuẩn cơ sở giáo dục đại học.</w:t>
      </w:r>
    </w:p>
    <w:p w14:paraId="48E95726" w14:textId="77777777" w:rsidR="005B561C" w:rsidRPr="000F7C87" w:rsidRDefault="00000000">
      <w:pPr>
        <w:rPr>
          <w:szCs w:val="26"/>
        </w:rPr>
      </w:pPr>
      <w:r w:rsidRPr="000F7C87">
        <w:rPr>
          <w:szCs w:val="26"/>
          <w:b/>
        </w:rPr>
        <w:t xml:space="preserve">Mục tiêu cụ thể:</w:t>
      </w:r>
      <w:r w:rsidRPr="000F7C87">
        <w:rPr>
          <w:szCs w:val="26"/>
        </w:rPr>
        <w:t xml:space="preserve"> thứ nhất, hệ thống hóa cơ sở lý luận và pháp lý về quản lý quyền sở hữu trí tuệ trong cơ sở giáo dục đại học, xây dựng khung phân tích và bộ tiêu chí đánh giá; thứ hai, đánh giá thực trạng quản lý quyền sở hữu trí tuệ tại Nhà trường giai đoạn 2021 - 2025, chỉ ra kết quả, hạn chế và nguyên nhân; thứ ba, đề xuất hệ thống giải pháp kèm lộ trình, phương án thí điểm và bộ chỉ số theo dõi.</w:t>
      </w:r>
    </w:p>
    <w:p w14:paraId="48E95726" w14:textId="77777777" w:rsidR="005B561C" w:rsidRPr="000F7C87" w:rsidRDefault="00000000">
      <w:pPr>
        <w:rPr>
          <w:szCs w:val="26"/>
        </w:rPr>
      </w:pPr>
      <w:r w:rsidRPr="000F7C87">
        <w:rPr>
          <w:szCs w:val="26"/>
          <w:b/>
        </w:rPr>
        <w:t xml:space="preserve">Câu hỏi nghiên cứu:</w:t>
      </w:r>
      <w:r w:rsidRPr="000F7C87">
        <w:rPr>
          <w:szCs w:val="26"/>
        </w:rPr>
        <w:t xml:space="preserve"> (1) Khung pháp lý mới đặt ra những yêu cầu gì đối với quản lý quyền sở hữu trí tuệ của cơ sở giáo dục đại học tư thục? (2) Nguồn tài sản trí tuệ tiềm năng của Nhà trường lớn đến đâu và đã được chuyển hóa thành quyền đến mức nào? (3) Điểm nghẽn nào quyết định khoảng cách giữa tiềm năng và kết quả? (4) Giải pháp nào khả thi để thu hẹp khoảng cách đó trong giai đoạn 2026 - 2030?</w:t>
      </w:r>
    </w:p>
    <w:p w14:paraId="6067EC56" w14:textId="77777777" w:rsidR="005B561C" w:rsidRPr="000F7C87" w:rsidRDefault="00000000">
      <w:pPr>
        <w:spacing w:before="280" w:after="160"/>
        <w:ind w:firstLine="0"/>
        <w:outlineLvl w:val="1"/>
        <w:rPr>
          <w:szCs w:val="26"/>
        </w:rPr>
      </w:pPr>
      <w:r w:rsidRPr="000F7C87">
        <w:rPr>
          <w:b/>
          <w:szCs w:val="26"/>
        </w:rPr>
        <w:t>4. Đối tượng và phạm vi nghiên cứu</w:t>
      </w:r>
    </w:p>
    <w:p w14:paraId="48E95726" w14:textId="77777777" w:rsidR="005B561C" w:rsidRPr="000F7C87" w:rsidRDefault="00000000">
      <w:pPr>
        <w:rPr>
          <w:szCs w:val="26"/>
        </w:rPr>
      </w:pPr>
      <w:r w:rsidRPr="000F7C87">
        <w:rPr>
          <w:szCs w:val="26"/>
          <w:b/>
        </w:rPr>
        <w:t xml:space="preserve">Đối tượng nghiên cứu:</w:t>
      </w:r>
      <w:r w:rsidRPr="000F7C87">
        <w:rPr>
          <w:szCs w:val="26"/>
        </w:rPr>
        <w:t xml:space="preserve"> hoạt động quản lý quyền sở hữu trí tuệ tại Trường Đại học Thành Đô, gồm thể chế, tổ chức, nguồn lực và chu trình tạo lập, xác lập, bảo vệ, khai thác tài sản trí tuệ.</w:t>
      </w:r>
    </w:p>
    <w:p w14:paraId="48E95726" w14:textId="77777777" w:rsidR="005B561C" w:rsidRPr="000F7C87" w:rsidRDefault="00000000">
      <w:pPr>
        <w:rPr>
          <w:szCs w:val="26"/>
        </w:rPr>
      </w:pPr>
      <w:r w:rsidRPr="000F7C87">
        <w:rPr>
          <w:szCs w:val="26"/>
          <w:b/>
        </w:rPr>
        <w:t xml:space="preserve">Phạm vi nội dung:</w:t>
      </w:r>
      <w:r w:rsidRPr="000F7C87">
        <w:rPr>
          <w:szCs w:val="26"/>
        </w:rPr>
        <w:t xml:space="preserve"> tài sản trí tuệ phát sinh từ hoạt động khoa học công nghệ và đào tạo của giảng viên, người lao động và người học; không nghiên cứu tài sản trí tuệ của các đơn vị ngoài hệ thống Nhà trường.</w:t>
      </w:r>
    </w:p>
    <w:p w14:paraId="48E95726" w14:textId="77777777" w:rsidR="005B561C" w:rsidRPr="000F7C87" w:rsidRDefault="00000000">
      <w:pPr>
        <w:rPr>
          <w:szCs w:val="26"/>
        </w:rPr>
      </w:pPr>
      <w:r w:rsidRPr="000F7C87">
        <w:rPr>
          <w:szCs w:val="26"/>
          <w:b/>
        </w:rPr>
        <w:t xml:space="preserve">Phạm vi không gian và thời gian:</w:t>
      </w:r>
      <w:r w:rsidRPr="000F7C87">
        <w:rPr>
          <w:szCs w:val="26"/>
        </w:rPr>
        <w:t xml:space="preserve"> Trường Đại học Thành Đô; số liệu thực trạng giai đoạn 2021 - 2025, danh sách nhân sự năm 2026; văn bản pháp luật được đối chiếu theo bản hiện hành đến tháng 9 năm 2026; giải pháp hướng tới giai đoạn 2026 - 2030.</w:t>
      </w:r>
    </w:p>
    <w:p w14:paraId="6067EC56" w14:textId="77777777" w:rsidR="005B561C" w:rsidRPr="000F7C87" w:rsidRDefault="00000000">
      <w:pPr>
        <w:spacing w:before="280" w:after="160"/>
        <w:ind w:firstLine="0"/>
        <w:outlineLvl w:val="1"/>
        <w:rPr>
          <w:szCs w:val="26"/>
        </w:rPr>
      </w:pPr>
      <w:r w:rsidRPr="000F7C87">
        <w:rPr>
          <w:b/>
          <w:szCs w:val="26"/>
        </w:rPr>
        <w:t>5. Cách tiếp cận và phương pháp nghiên cứu</w:t>
      </w:r>
    </w:p>
    <w:p w14:paraId="48E95726" w14:textId="77777777" w:rsidR="005B561C" w:rsidRPr="000F7C87" w:rsidRDefault="00000000">
      <w:pPr>
        <w:rPr>
          <w:szCs w:val="26"/>
        </w:rPr>
      </w:pPr>
      <w:r w:rsidRPr="000F7C87">
        <w:rPr>
          <w:szCs w:val="26"/>
        </w:rPr>
        <w:t xml:space="preserve">Đề tài tiếp cận theo chu trình quản lý bốn giai đoạn tạo lập, xác lập, bảo vệ và khai thác, kết hợp với bộ tiêu chí đánh giá theo chuỗi đầu vào, quá trình, đầu ra và kết quả được xây dựng tại Chương 1.</w:t>
      </w:r>
    </w:p>
    <w:p w14:paraId="48E95726" w14:textId="77777777" w:rsidR="005B561C" w:rsidRPr="000F7C87" w:rsidRDefault="00000000">
      <w:pPr>
        <w:rPr>
          <w:szCs w:val="26"/>
        </w:rPr>
      </w:pPr>
      <w:r w:rsidRPr="000F7C87">
        <w:rPr>
          <w:szCs w:val="26"/>
        </w:rPr>
        <w:t xml:space="preserve">Phương pháp phân tích văn bản được dùng để đối chiếu từng điều khoản của Quy chế ban hành kèm Quyết định 213, Quy chế ban hành kèm Quyết định 217, Quy chế chi tiêu nội bộ và Kế hoạch số 07/KH-ĐHTĐ với Luật Sở hữu trí tuệ hợp nhất, Luật số 93/2025/QH15 và các văn bản hướng dẫn. Dữ liệu định lượng gồm 582 bản ghi sản phẩm khoa học giai đoạn 2021 - 2025 từ các danh mục thống kê của Phòng Khoa học Công nghệ, hồ sơ 38 đề tài cấp cơ sở, danh mục theo dõi đơn và văn bằng của Nhà trường và danh sách 252 nhân sự năm 2026; dữ liệu cá nhân chỉ được sử dụng ở dạng tổng hợp.</w:t>
      </w:r>
    </w:p>
    <w:p w14:paraId="48E95726" w14:textId="77777777" w:rsidR="005B561C" w:rsidRPr="000F7C87" w:rsidRDefault="00000000">
      <w:pPr>
        <w:rPr>
          <w:szCs w:val="26"/>
        </w:rPr>
      </w:pPr>
      <w:r w:rsidRPr="000F7C87">
        <w:rPr>
          <w:szCs w:val="26"/>
        </w:rPr>
        <w:t xml:space="preserve">Các danh mục được làm sạch và chuẩn hóa tên đơn vị; năm của mỗi số liệu được xác định rõ theo mã số, năm phê duyệt, năm nghiệm thu, năm nộp đơn hoặc năm cấp văn bằng. Do các danh mục dùng đơn vị thống kê khác nhau và không có trường liên kết, 582 bản ghi được giữ là tổng số bản ghi, không quy đổi thành số sản phẩm độc lập. Tên tác giả bài báo được so khớp với danh sách nhân sự theo quy tắc giữ dấu, kèm phân tích độ nhạy với quy tắc bỏ dấu. Hồ sơ tài sản trí tuệ được phân loại theo bốn nhóm trạng thái pháp lý: đã nộp đơn, đã chấp nhận đơn hợp lệ, đã cấp văn bằng hoặc giấy chứng nhận, chưa xác minh. Sản phẩm của từng đề tài được đánh giá sơ bộ theo đối tượng quyền dự kiến; các quy định về lợi ích của tác giả được đối chiếu theo phạm vi, đối tượng hưởng, cơ sở tính và điều kiện áp dụng. Mức độ tập trung công bố được đo bằng hệ số Gini; mức độ hoàn thành kế hoạch được tính theo tỷ lệ thực hiện so với chỉ tiêu. Kết quả phân tích được tổng hợp bằng ma trận điểm mạnh, điểm yếu, thời cơ và thách thức làm căn cứ đề xuất giải pháp.</w:t>
      </w:r>
    </w:p>
    <w:p w14:paraId="6067EC56" w14:textId="77777777" w:rsidR="005B561C" w:rsidRPr="000F7C87" w:rsidRDefault="00000000">
      <w:pPr>
        <w:spacing w:before="280" w:after="160"/>
        <w:ind w:firstLine="0"/>
        <w:outlineLvl w:val="1"/>
        <w:rPr>
          <w:szCs w:val="26"/>
        </w:rPr>
      </w:pPr>
      <w:r w:rsidRPr="000F7C87">
        <w:rPr>
          <w:b/>
          <w:szCs w:val="26"/>
        </w:rPr>
        <w:t>6. Ý nghĩa khoa học và thực tiễn</w:t>
      </w:r>
    </w:p>
    <w:p w14:paraId="48E95726" w14:textId="77777777" w:rsidR="005B561C" w:rsidRPr="000F7C87" w:rsidRDefault="00000000">
      <w:pPr>
        <w:rPr>
          <w:szCs w:val="26"/>
        </w:rPr>
      </w:pPr>
      <w:r w:rsidRPr="000F7C87">
        <w:rPr>
          <w:szCs w:val="26"/>
          <w:b/>
        </w:rPr>
        <w:t xml:space="preserve">Về khoa học:</w:t>
      </w:r>
      <w:r w:rsidRPr="000F7C87">
        <w:rPr>
          <w:szCs w:val="26"/>
        </w:rPr>
        <w:t xml:space="preserve"> Đề tài cung cấp một khung phân tích và bộ tiêu chí đánh giá hiệu quả quản lý quyền sở hữu trí tuệ có thể tính toán từ dữ liệu hành chính của trường đại học, đồng thời chỉ ra vai trò của khâu rà soát tại thời điểm nghiệm thu trong chuỗi chuyển hóa từ đề tài sang văn bằng.</w:t>
      </w:r>
    </w:p>
    <w:p w14:paraId="48E95726" w14:textId="77777777" w:rsidR="005B561C" w:rsidRPr="000F7C87" w:rsidRDefault="00000000">
      <w:pPr>
        <w:rPr>
          <w:szCs w:val="26"/>
        </w:rPr>
      </w:pPr>
      <w:r w:rsidRPr="000F7C87">
        <w:rPr>
          <w:szCs w:val="26"/>
          <w:b/>
        </w:rPr>
        <w:t xml:space="preserve">Về thực tiễn:</w:t>
      </w:r>
      <w:r w:rsidRPr="000F7C87">
        <w:rPr>
          <w:szCs w:val="26"/>
        </w:rPr>
        <w:t xml:space="preserve"> Đề tài cung cấp luận cứ để Nhà trường hợp nhất quy chế theo luật mới, chuẩn hóa quy trình, bố trí nguồn lực và theo dõi hiệu quả bằng bộ chỉ số; kết quả có thể tham khảo cho các cơ sở giáo dục đại học tư thục có điều kiện tương tự.</w:t>
      </w:r>
    </w:p>
    <w:p w14:paraId="6067EC56" w14:textId="77777777" w:rsidR="005B561C" w:rsidRPr="000F7C87" w:rsidRDefault="00000000">
      <w:pPr>
        <w:spacing w:before="280" w:after="160"/>
        <w:ind w:firstLine="0"/>
        <w:outlineLvl w:val="1"/>
        <w:rPr>
          <w:szCs w:val="26"/>
        </w:rPr>
      </w:pPr>
      <w:r w:rsidRPr="000F7C87">
        <w:rPr>
          <w:b/>
          <w:szCs w:val="26"/>
        </w:rPr>
        <w:t>7. Kết cấu của báo cáo</w:t>
      </w:r>
    </w:p>
    <w:p w14:paraId="48E95726" w14:textId="77777777" w:rsidR="005B561C" w:rsidRPr="000F7C87" w:rsidRDefault="00000000">
      <w:pPr>
        <w:rPr>
          <w:szCs w:val="26"/>
        </w:rPr>
      </w:pPr>
      <w:r w:rsidRPr="000F7C87">
        <w:rPr>
          <w:szCs w:val="26"/>
        </w:rPr>
        <w:t xml:space="preserve">Ngoài phần Mở đầu, Kết luận và kiến nghị, Tài liệu tham khảo, báo cáo gồm ba chương: Chương 1. Cơ sở lý luận và pháp lý về quản lý quyền sở hữu trí tuệ trong cơ sở giáo dục đại học; Chương 2. Thực trạng quản lý quyền sở hữu trí tuệ tại Trường Đại học Thành Đô; Chương 3. Hệ thống giải pháp nâng cao hiệu quả quản lý quyền sở hữu trí tuệ tại Trường Đại học Thành Đô đáp ứng khung pháp lý mới.</w:t>
      </w:r>
    </w:p>
    <w:p w14:paraId="07734D5E" w14:textId="77777777" w:rsidR="005B561C" w:rsidRPr="000F7C87" w:rsidRDefault="00000000">
      <w:pPr>
        <w:keepNext/>
        <w:pageBreakBefore/>
        <w:spacing w:after="80"/>
        <w:ind w:firstLine="0"/>
        <w:jc w:val="center"/>
        <w:outlineLvl w:val="0"/>
        <w:rPr>
          <w:szCs w:val="26"/>
        </w:rPr>
      </w:pPr>
      <w:r w:rsidRPr="000F7C87">
        <w:rPr>
          <w:b/>
          <w:szCs w:val="26"/>
        </w:rPr>
        <w:t>CHƯƠNG 1</w:t>
      </w:r>
      <w:r>
        <w:br/>
      </w:r>
      <w:r w:rsidRPr="000F7C87">
        <w:rPr>
          <w:b/>
          <w:szCs w:val="26"/>
        </w:rPr>
        <w:t>CƠ SỞ LÝ LUẬN VÀ PHÁP LÝ VỀ QUẢN LÝ QUYỀN SỞ HỮU TRÍ TUỆ</w:t>
      </w:r>
      <w:r>
        <w:br/>
      </w:r>
      <w:r w:rsidRPr="000F7C87">
        <w:rPr>
          <w:b/>
          <w:szCs w:val="26"/>
        </w:rPr>
        <w:t>TRONG CƠ SỞ GIÁO DỤC ĐẠI HỌC</w:t>
      </w:r>
    </w:p>
    <w:p w14:paraId="48E95726" w14:textId="77777777" w:rsidR="005B561C" w:rsidRPr="000F7C87" w:rsidRDefault="00000000">
      <w:pPr>
        <w:rPr>
          <w:szCs w:val="26"/>
        </w:rPr>
      </w:pPr>
      <w:r w:rsidRPr="000F7C87">
        <w:rPr>
          <w:szCs w:val="26"/>
        </w:rPr>
        <w:t xml:space="preserve">Công tác quản lý quyền sở hữu trí tuệ trong các cơ sở giáo dục đại học là một lĩnh vực quản trị mang tính đặc thù cao, nằm ở giao thoa giữa pháp luật sở hữu trí tuệ, pháp luật giáo dục đại học và cơ chế tự chủ tài chính. Để xây dựng cơ sở khoa học vững chắc cho việc khảo sát, đánh giá thực trạng và đề xuất hệ thống giải pháp nâng cao hiệu quả quản lý quyền sở hữu trí tuệ tại Trường Đại học Thành Đô, Chương 1 tập trung hệ thống hóa những vấn đề lý luận cốt lõi, phân tích khung khổ pháp lý hiện hành, đúc rút bài học kinh nghiệm thực tiễn và thiết lập khung phân tích toàn diện cho toàn bộ công trình nghiên cứu.</w:t>
      </w:r>
    </w:p>
    <w:p w14:paraId="6067EC56" w14:textId="77777777" w:rsidR="005B561C" w:rsidRPr="000F7C87" w:rsidRDefault="00000000">
      <w:pPr>
        <w:keepNext/>
        <w:spacing w:before="280" w:after="160"/>
        <w:ind w:firstLine="0"/>
        <w:outlineLvl w:val="1"/>
        <w:rPr>
          <w:szCs w:val="26"/>
        </w:rPr>
      </w:pPr>
      <w:r w:rsidRPr="000F7C87">
        <w:rPr>
          <w:b/>
          <w:szCs w:val="26"/>
        </w:rPr>
        <w:t>1.1. Một số vấn đề lý luận về quyền sở hữu trí tuệ và quản lý quyền sở hữu trí tuệ trong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1.1.1. Khái niệm tài sản trí tuệ, quyền sở hữu trí tuệ và quản lý quyền sở hữu trí tuệ</w:t>
      </w:r>
    </w:p>
    <w:p w14:paraId="48E95726" w14:textId="77777777" w:rsidR="005B561C" w:rsidRPr="000F7C87" w:rsidRDefault="00000000">
      <w:pPr>
        <w:rPr>
          <w:szCs w:val="26"/>
        </w:rPr>
      </w:pPr>
      <w:r w:rsidRPr="000F7C87">
        <w:rPr>
          <w:szCs w:val="26"/>
          <w:i/>
        </w:rPr>
        <w:t xml:space="preserve">Thứ nhất, về khái niệm tài sản trí tuệ trong môi trường học thuật:</w:t>
      </w:r>
    </w:p>
    <w:p w14:paraId="48E95726" w14:textId="77777777" w:rsidR="005B561C" w:rsidRPr="000F7C87" w:rsidRDefault="00000000">
      <w:pPr>
        <w:rPr>
          <w:szCs w:val="26"/>
        </w:rPr>
      </w:pPr>
      <w:r w:rsidRPr="000F7C87">
        <w:rPr>
          <w:szCs w:val="26"/>
        </w:rPr>
        <w:t xml:space="preserve">Trong nền kinh tế tri thức và cuộc cách mạng công nghiệp lần thứ tư, tài sản trí tuệ được xác định là nguồn vốn vô hình chiến lược cốt lõi, quyết định trực tiếp năng lực sáng tạo, uy tín khoa học và sức cạnh tranh của mỗi cơ sở giáo dục đại học. Dưới góc độ chuẩn mực quốc tế, Tổ chức Sở hữu trí tuệ thế giới (2020) định nghĩa tài sản trí tuệ bao gồm mọi kết quả sáng tạo của tư duy con người, từ các tác phẩm văn học nghệ thuật, bài giảng, giáo trình cho đến các sáng chế công nghệ, giải pháp kỹ thuật, kiểu dáng công nghiệp, nhãn hiệu và chương trình máy tính. Điểm chung của các sản phẩm này là các sản phẩm độc đáo sở hữu giá trị kinh tế tiềm năng và mang lại lợi thế cạnh tranh rõ nét cho chủ thể sở hữu.</w:t>
      </w:r>
    </w:p>
    <w:p w14:paraId="48E95726" w14:textId="77777777" w:rsidR="005B561C" w:rsidRPr="000F7C87" w:rsidRDefault="00000000">
      <w:pPr>
        <w:rPr>
          <w:szCs w:val="26"/>
        </w:rPr>
      </w:pPr>
      <w:r w:rsidRPr="000F7C87">
        <w:rPr>
          <w:szCs w:val="26"/>
        </w:rPr>
        <w:t xml:space="preserve">Từ lăng kính lý luận học thuật, Fisher (2001) và Guan (2014) chỉ ra rằng tài sản trí tuệ là sự kết hợp hữu cơ giữa tính trí tuệ (sản phẩm kết tinh từ sự đầu tư lao động tư duy nghiêm túc) và tính tài sản (khả năng sinh lời kinh tế hoặc mang lại lợi ích pháp lý), được điều chỉnh và điều tiết bởi hệ thống các định chế pháp luật chuyên biệt. Để luận giải căn nguyên và bản chất pháp lý của việc bảo hộ tài sản trí tuệ, lý luận quốc tế xác lập bốn trường phái lý thuyết nền tảng:</w:t>
      </w:r>
    </w:p>
    <w:p w14:paraId="48E95726" w14:textId="77777777" w:rsidR="005B561C" w:rsidRPr="000F7C87" w:rsidRDefault="00000000">
      <w:pPr>
        <w:rPr>
          <w:szCs w:val="26"/>
        </w:rPr>
      </w:pPr>
      <w:r w:rsidRPr="000F7C87">
        <w:rPr>
          <w:szCs w:val="26"/>
        </w:rPr>
        <w:t xml:space="preserve">- Lý thuyết công cụ và phúc lợi xã hội: Xác định quyền độc quyền có thời hạn là đòn bẩy kinh tế thiết yếu nhằm kích thích cơ sở đào tạo và nhà khoa học đầu tư thời gian, chi phí nghiên cứu tạo ra tri thức mới phục vụ xã hội.</w:t>
      </w:r>
    </w:p>
    <w:p w14:paraId="48E95726" w14:textId="77777777" w:rsidR="005B561C" w:rsidRPr="000F7C87" w:rsidRDefault="00000000">
      <w:pPr>
        <w:rPr>
          <w:szCs w:val="26"/>
        </w:rPr>
      </w:pPr>
      <w:r w:rsidRPr="000F7C87">
        <w:rPr>
          <w:szCs w:val="26"/>
        </w:rPr>
        <w:t xml:space="preserve">- Lý thuyết lao động: Khẳng định nhà khoa học có quyền tự nhiên đối với các thành quả sáng tạo do chính sức lao động trí óc của mình kết tinh tạo thành.</w:t>
      </w:r>
    </w:p>
    <w:p w14:paraId="48E95726" w14:textId="77777777" w:rsidR="005B561C" w:rsidRPr="000F7C87" w:rsidRDefault="00000000">
      <w:pPr>
        <w:rPr>
          <w:szCs w:val="26"/>
        </w:rPr>
      </w:pPr>
      <w:r w:rsidRPr="000F7C87">
        <w:rPr>
          <w:szCs w:val="26"/>
        </w:rPr>
        <w:t xml:space="preserve">- Lý thuyết tính cách: Coi sản phẩm sáng tạo học thuật là sự mở rộng tư duy và nhân cách của tác giả, đòi hỏi pháp luật phải bảo hộ tuyệt đối các quyền nhân thân không thể chuyển giao.</w:t>
      </w:r>
    </w:p>
    <w:p w14:paraId="48E95726" w14:textId="77777777" w:rsidR="005B561C" w:rsidRPr="000F7C87" w:rsidRDefault="00000000">
      <w:pPr>
        <w:rPr>
          <w:szCs w:val="26"/>
        </w:rPr>
      </w:pPr>
      <w:r w:rsidRPr="000F7C87">
        <w:rPr>
          <w:szCs w:val="26"/>
        </w:rPr>
        <w:t xml:space="preserve">- Lý thuyết hoạch định xã hội: Vận dụng quyền sở hữu trí tuệ như một công cụ thể chế nhằm thúc đẩy một xã hội dân chủ, đa dạng văn hóa và nuôi dưỡng môi trường đổi mới sáng tạo bền vững (Fisher, 2001).</w:t>
      </w:r>
    </w:p>
    <w:p w14:paraId="48E95726" w14:textId="77777777" w:rsidR="005B561C" w:rsidRPr="000F7C87" w:rsidRDefault="00000000">
      <w:pPr>
        <w:rPr>
          <w:szCs w:val="26"/>
        </w:rPr>
      </w:pPr>
      <w:r w:rsidRPr="000F7C87">
        <w:rPr>
          <w:szCs w:val="26"/>
        </w:rPr>
        <w:t xml:space="preserve">Đáng chú ý, tài liệu tập huấn của Cục Sở hữu trí tuệ (n.d.) dành cho cán bộ trường đại học, viện nghiên cứu đã phân nhánh rõ rệt khái niệm này: nếu đối với cơ quan quản lý và doanh nghiệp, tài sản trí tuệ gắn liền với đầu tư và thương mại, thì đối với các trường đại học và viện nghiên cứu, tài sản trí tuệ được khu biệt thành các kết quả học thuật cốt lõi như ý tưởng khoa học, công trình nghiên cứu, bài báo chuyên ngành, giáo trình, sáng chế công nghệ và phần mềm ứng dụng.</w:t>
      </w:r>
    </w:p>
    <w:p w14:paraId="48E95726" w14:textId="77777777" w:rsidR="005B561C" w:rsidRPr="000F7C87" w:rsidRDefault="00000000">
      <w:pPr>
        <w:rPr>
          <w:szCs w:val="26"/>
        </w:rPr>
      </w:pPr>
      <w:r w:rsidRPr="000F7C87">
        <w:rPr>
          <w:szCs w:val="26"/>
          <w:i/>
        </w:rPr>
        <w:t xml:space="preserve">Thứ hai, về quyền sở hữu trí tuệ trong trường đại học:</w:t>
      </w:r>
    </w:p>
    <w:p w14:paraId="48E95726" w14:textId="77777777" w:rsidR="005B561C" w:rsidRPr="000F7C87" w:rsidRDefault="00000000">
      <w:pPr>
        <w:rPr>
          <w:szCs w:val="26"/>
        </w:rPr>
      </w:pPr>
      <w:r w:rsidRPr="000F7C87">
        <w:rPr>
          <w:szCs w:val="26"/>
        </w:rPr>
        <w:t xml:space="preserve">Để xác lập cơ chế bảo hộ cho các khối tài sản vô hình đó, quyền sở hữu trí tuệ được thiết lập như một khung pháp lý chuyên biệt. Các điều ước quốc tế như Công ước Stockholm năm 1967 về thành lập Tổ chức Sở hữu trí tuệ thế giới hay Hiệp định về các khía cạnh liên quan tới thương mại của quyền sở hữu trí tuệ đều xác định quyền sở hữu trí tuệ là quyền độc quyền có thời hạn trao cho chủ thể sáng tạo nhằm khai thác, sử dụng, định đoạt và ngăn chặn hành vi sao chép trái phép. Tại Việt Nam, Điều 4 Luật Sở hữu trí tuệ quy định quyền sở hữu trí tuệ là quyền của tổ chức, cá nhân đối với tài sản trí tuệ, bao gồm quyền tác giả và quyền liên quan, quyền sở hữu công nghiệp và quyền đối với giống cây trồng (Văn phòng Quốc hội, 2026).</w:t>
      </w:r>
    </w:p>
    <w:p w14:paraId="48E95726" w14:textId="77777777" w:rsidR="005B561C" w:rsidRPr="000F7C87" w:rsidRDefault="00000000">
      <w:pPr>
        <w:rPr>
          <w:szCs w:val="26"/>
        </w:rPr>
      </w:pPr>
      <w:r w:rsidRPr="000F7C87">
        <w:rPr>
          <w:szCs w:val="26"/>
        </w:rPr>
        <w:t xml:space="preserve">Trong cơ sở giáo dục đại học, quyền sở hữu trí tuệ được phân thành ba nhóm cấu thành chủ yếu:</w:t>
      </w:r>
    </w:p>
    <w:p w14:paraId="48E95726" w14:textId="77777777" w:rsidR="005B561C" w:rsidRPr="000F7C87" w:rsidRDefault="00000000">
      <w:pPr>
        <w:rPr>
          <w:szCs w:val="26"/>
        </w:rPr>
      </w:pPr>
      <w:r w:rsidRPr="000F7C87">
        <w:rPr>
          <w:szCs w:val="26"/>
        </w:rPr>
        <w:t xml:space="preserve">- Nhóm quyền tác giả và quyền liên quan: Gắn với giáo trình, bài giảng, tài liệu học tập, bài báo khoa học, báo cáo nghiên cứu, luận văn, luận án, phần mềm máy tính và hệ thống cơ sở dữ liệu học liệu số.</w:t>
      </w:r>
    </w:p>
    <w:p w14:paraId="48E95726" w14:textId="77777777" w:rsidR="005B561C" w:rsidRPr="000F7C87" w:rsidRDefault="00000000">
      <w:pPr>
        <w:rPr>
          <w:szCs w:val="26"/>
        </w:rPr>
      </w:pPr>
      <w:r w:rsidRPr="000F7C87">
        <w:rPr>
          <w:szCs w:val="26"/>
        </w:rPr>
        <w:t xml:space="preserve">- Nhóm quyền sở hữu công nghiệp: Gắn với sáng chế, giải pháp hữu ích, kiểu dáng công nghiệp, thiết kế bố trí và bí mật kinh doanh phát sinh từ các đề tài nghiên cứu khoa học và dự án phát triển công nghệ.</w:t>
      </w:r>
    </w:p>
    <w:p w14:paraId="48E95726" w14:textId="77777777" w:rsidR="005B561C" w:rsidRPr="000F7C87" w:rsidRDefault="00000000">
      <w:pPr>
        <w:rPr>
          <w:szCs w:val="26"/>
        </w:rPr>
      </w:pPr>
      <w:r w:rsidRPr="000F7C87">
        <w:rPr>
          <w:szCs w:val="26"/>
        </w:rPr>
        <w:t xml:space="preserve">- Nhóm nhãn hiệu và chỉ dẫn thương mại: Gắn với tên trường, biểu trưng, khẩu hiệu và các dấu hiệu nhận diện thương hiệu gắn liền với uy tín đào tạo và nghiên cứu của nhà trường.</w:t>
      </w:r>
    </w:p>
    <w:p w14:paraId="48E95726" w14:textId="77777777" w:rsidR="005B561C" w:rsidRPr="000F7C87" w:rsidRDefault="00000000">
      <w:pPr>
        <w:rPr>
          <w:szCs w:val="26"/>
        </w:rPr>
      </w:pPr>
      <w:r w:rsidRPr="000F7C87">
        <w:rPr>
          <w:szCs w:val="26"/>
          <w:i/>
        </w:rPr>
        <w:t xml:space="preserve">Thứ ba,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Quản lý quyền sở hữu trí tuệ trong cơ sở giáo dục đại học là hệ thống các hoạt động có chủ đích nhằm hoạch định chính sách thể chế, ban hành quy chế nội bộ, thiết lập bộ máy chuyên trách và vận hành các quy trình nghiệp vụ để điều tiết toàn bộ chu trình sống của tài sản trí tuệ, bao gồm toàn bộ tiến trình từ khâu hình thành ý tưởng nghiên cứu, thẩm định tính mới, bảo mật thông tin, đăng ký xác lập quyền bảo hộ, cho đến khai thác thương mại hóa, chuyển giao công nghệ và bảo vệ quyền sở hữu trí tuệ trước các hành vi xâm phạm (Bradley et al., 2013; Goldfarb &amp; Henrekson, 2003).</w:t>
      </w:r>
    </w:p>
    <w:p w14:paraId="48E95726" w14:textId="77777777" w:rsidR="005B561C" w:rsidRPr="000F7C87" w:rsidRDefault="00000000">
      <w:pPr>
        <w:rPr>
          <w:szCs w:val="26"/>
        </w:rPr>
      </w:pPr>
      <w:r w:rsidRPr="000F7C87">
        <w:rPr>
          <w:szCs w:val="26"/>
        </w:rPr>
        <w:t xml:space="preserve">Khác biệt căn bản với khu vực doanh nghiệp thương mại vốn ưu tiên mục tiêu duy nhất là tối đa hóa lợi nhuận tài chính và bảo vệ thị phần độc quyền (Teece, 2018), quản lý sở hữu trí tuệ trong trường đại học mang bản chất lưỡng dụng và đa mục tiêu phức tạp (Nguyễn, 2025). Một mặt, nhà trường phải kiên định sứ mệnh học thuật cốt lõi là lưu giữ, sáng tạo và lan tỏa tự do tri thức khoa học phụng sự cộng đồng; mặt khác, nhà trường phải thiết lập cơ chế bảo hộ độc quyền để thu hồi chi phí nghiên cứu, tái đầu tư cơ sở vật chất và tạo nguồn thu hợp pháp cho nhà khoa học (Etzkowitz, 2003; Perkmann et al., 2013; Shane, 2004). Do đó, quản lý sở hữu trí tuệ đại học không thể áp dụng máy móc mô hình doanh nghiệp, mà đòi hỏi một khung quản trị cân bằng giữa sứ mệnh công ích học thuật và hiệu quả kinh tế.</w:t>
      </w:r>
    </w:p>
    <w:p w14:paraId="0DE297E1" w14:textId="77777777" w:rsidR="005B561C" w:rsidRPr="000F7C87" w:rsidRDefault="00000000">
      <w:pPr>
        <w:keepNext/>
        <w:spacing w:before="200" w:after="100"/>
        <w:ind w:firstLine="0"/>
        <w:outlineLvl w:val="2"/>
        <w:rPr>
          <w:szCs w:val="26"/>
        </w:rPr>
      </w:pPr>
      <w:r w:rsidRPr="000F7C87">
        <w:rPr>
          <w:b/>
          <w:szCs w:val="26"/>
        </w:rPr>
        <w:t>1.1.2. Đặc điểm của tài sản trí tuệ trong môi trường đại học</w:t>
      </w:r>
    </w:p>
    <w:p w14:paraId="48E95726" w14:textId="77777777" w:rsidR="005B561C" w:rsidRPr="000F7C87" w:rsidRDefault="00000000">
      <w:pPr>
        <w:rPr>
          <w:szCs w:val="26"/>
        </w:rPr>
      </w:pPr>
      <w:r w:rsidRPr="000F7C87">
        <w:rPr>
          <w:szCs w:val="26"/>
          <w:i/>
        </w:rPr>
        <w:t xml:space="preserve">Thứ nhất, năm đặc điểm bản chất của tài sản trí tuệ đại học:</w:t>
      </w:r>
    </w:p>
    <w:p w14:paraId="48E95726" w14:textId="77777777" w:rsidR="005B561C" w:rsidRPr="000F7C87" w:rsidRDefault="00000000">
      <w:pPr>
        <w:rPr>
          <w:szCs w:val="26"/>
        </w:rPr>
      </w:pPr>
      <w:r w:rsidRPr="000F7C87">
        <w:rPr>
          <w:szCs w:val="26"/>
        </w:rPr>
        <w:t xml:space="preserve">1. </w:t>
      </w:r>
      <w:r w:rsidRPr="000F7C87">
        <w:rPr>
          <w:szCs w:val="26"/>
          <w:b/>
        </w:rPr>
        <w:t xml:space="preserve">Tính vô hình và tri thức ẩn:</w:t>
      </w:r>
      <w:r w:rsidRPr="000F7C87">
        <w:rPr>
          <w:szCs w:val="26"/>
        </w:rPr>
        <w:t xml:space="preserve"> Tài sản trí tuệ đại học không tồn tại dưới dạng vật chất cố định. Rất nhiều tri thức có giá trị cao như phương pháp nghiên cứu, giải thuật phần mềm hay ý tưởng sáng tạo ban đầu tồn tại dưới dạng tri thức ẩn trong tư duy của giảng viên, gây khó khăn cho công tác kiểm kê, định giá và quản trị của nhà trường.</w:t>
      </w:r>
    </w:p>
    <w:p w14:paraId="48E95726" w14:textId="77777777" w:rsidR="005B561C" w:rsidRPr="000F7C87" w:rsidRDefault="00000000">
      <w:pPr>
        <w:rPr>
          <w:szCs w:val="26"/>
        </w:rPr>
      </w:pPr>
      <w:r w:rsidRPr="000F7C87">
        <w:rPr>
          <w:szCs w:val="26"/>
        </w:rPr>
        <w:t xml:space="preserve">2. </w:t>
      </w:r>
      <w:r w:rsidRPr="000F7C87">
        <w:rPr>
          <w:szCs w:val="26"/>
          <w:b/>
        </w:rPr>
        <w:t xml:space="preserve">Tính lưỡng dụng và bản chất hàng hóa công cộng:</w:t>
      </w:r>
      <w:r w:rsidRPr="000F7C87">
        <w:rPr>
          <w:szCs w:val="26"/>
        </w:rPr>
        <w:t xml:space="preserve"> Việc một người tiếp nhận, sử dụng một tri thức khoa học không làm suy giảm khả năng tiếp cận của người khác (Fisher, 2001; Guan, 2014). Đặc tính này đòi hỏi cơ chế pháp lý chuyên biệt để xác lập ranh giới độc quyền khai thác mà không triệt tiêu tính mở của môi trường học thuật.</w:t>
      </w:r>
    </w:p>
    <w:p w14:paraId="48E95726" w14:textId="77777777" w:rsidR="005B561C" w:rsidRPr="000F7C87" w:rsidRDefault="00000000">
      <w:pPr>
        <w:rPr>
          <w:szCs w:val="26"/>
        </w:rPr>
      </w:pPr>
      <w:r w:rsidRPr="000F7C87">
        <w:rPr>
          <w:szCs w:val="26"/>
        </w:rPr>
        <w:t xml:space="preserve">3. </w:t>
      </w:r>
      <w:r w:rsidRPr="000F7C87">
        <w:rPr>
          <w:szCs w:val="26"/>
          <w:b/>
        </w:rPr>
        <w:t xml:space="preserve">Tính đa dạng về nguồn gốc hình thành:</w:t>
      </w:r>
      <w:r w:rsidRPr="000F7C87">
        <w:rPr>
          <w:szCs w:val="26"/>
        </w:rPr>
        <w:t xml:space="preserve"> Tài sản trí tuệ đại học được tạo ra từ nhiều nguồn lực đan xen, bao gồm nhiệm vụ khoa học sử dụng ngân sách nhà nước, đề tài cấp cơ sở dùng kinh phí của trường, hoạt động đồng sáng tạo giữa giảng viên và người học, hoặc dự án hợp tác nghiên cứu theo đơn đặt hàng của doanh nghiệp (Bradley et al., 2013).</w:t>
      </w:r>
    </w:p>
    <w:p w14:paraId="48E95726" w14:textId="77777777" w:rsidR="005B561C" w:rsidRPr="000F7C87" w:rsidRDefault="00000000">
      <w:pPr>
        <w:rPr>
          <w:szCs w:val="26"/>
        </w:rPr>
      </w:pPr>
      <w:r w:rsidRPr="000F7C87">
        <w:rPr>
          <w:szCs w:val="26"/>
        </w:rPr>
        <w:t xml:space="preserve">4. </w:t>
      </w:r>
      <w:r w:rsidRPr="000F7C87">
        <w:rPr>
          <w:szCs w:val="26"/>
          <w:b/>
        </w:rPr>
        <w:t xml:space="preserve">Yêu cầu khắt khe về tính nguyên gốc và liêm chính học thuật:</w:t>
      </w:r>
      <w:r w:rsidRPr="000F7C87">
        <w:rPr>
          <w:szCs w:val="26"/>
        </w:rPr>
        <w:t xml:space="preserve"> Các sản phẩm trí tuệ trong trường đại học bắt buộc phải trải qua quá trình đánh giá trùng lặp và thẩm định chuẩn mực khoa học nghiêm ngặt để phân định rõ ràng giữa sáng tạo độc lập với các hành vi sao chép, đạo văn hay vi phạm chuẩn mực nghiên cứu (Tổ chức Sở hữu trí tuệ thế giới, 2020).</w:t>
      </w:r>
    </w:p>
    <w:p w14:paraId="48E95726" w14:textId="77777777" w:rsidR="005B561C" w:rsidRPr="000F7C87" w:rsidRDefault="00000000">
      <w:pPr>
        <w:rPr>
          <w:szCs w:val="26"/>
        </w:rPr>
      </w:pPr>
      <w:r w:rsidRPr="000F7C87">
        <w:rPr>
          <w:szCs w:val="26"/>
        </w:rPr>
        <w:t xml:space="preserve">5. </w:t>
      </w:r>
      <w:r w:rsidRPr="000F7C87">
        <w:rPr>
          <w:szCs w:val="26"/>
          <w:b/>
        </w:rPr>
        <w:t xml:space="preserve">Tính giới hạn về thời gian và lãnh thổ bảo hộ:</w:t>
      </w:r>
      <w:r w:rsidRPr="000F7C87">
        <w:rPr>
          <w:szCs w:val="26"/>
        </w:rPr>
        <w:t xml:space="preserve"> Quyền sở hữu công nghiệp chỉ được bảo hộ trong phạm vi quốc gia đăng ký và có thời hạn luật định (sáng chế 20 năm, giải pháp hữu ích 10 năm). Điều này đặt ra yêu cầu nhà trường phải có chiến lược nộp đơn kịp thời và kế hoạch khai thác trong khoảng thời gian công nghệ chưa bị lạc hậu.</w:t>
      </w:r>
    </w:p>
    <w:p w14:paraId="48E95726" w14:textId="77777777" w:rsidR="005B561C" w:rsidRPr="000F7C87" w:rsidRDefault="00000000">
      <w:pPr>
        <w:rPr>
          <w:szCs w:val="26"/>
        </w:rPr>
      </w:pPr>
      <w:r w:rsidRPr="000F7C87">
        <w:rPr>
          <w:szCs w:val="26"/>
          <w:i/>
        </w:rPr>
        <w:t xml:space="preserve">Thứ hai, hai đặc thù quản lý cốt lõi trong trường đại học:</w:t>
      </w:r>
    </w:p>
    <w:p w14:paraId="48E95726" w14:textId="77777777" w:rsidR="005B561C" w:rsidRPr="000F7C87" w:rsidRDefault="00000000">
      <w:pPr>
        <w:rPr>
          <w:szCs w:val="26"/>
        </w:rPr>
      </w:pPr>
      <w:r w:rsidRPr="000F7C87">
        <w:rPr>
          <w:szCs w:val="26"/>
        </w:rPr>
        <w:t xml:space="preserve">- </w:t>
      </w:r>
      <w:r w:rsidRPr="000F7C87">
        <w:rPr>
          <w:szCs w:val="26"/>
          <w:b/>
        </w:rPr>
        <w:t xml:space="preserve">Quản lý môi trường đa chủ thể đồng sáng tạo:</w:t>
      </w:r>
      <w:r w:rsidRPr="000F7C87">
        <w:rPr>
          <w:szCs w:val="26"/>
        </w:rPr>
        <w:t xml:space="preserve"> Quá trình nghiên cứu đại học quy tụ sự tham gia của nhiều nhóm chủ thể: giảng viên, nghiên cứu viên, chuyên gia doanh nghiệp và sinh viên. Việc phân định chính xác tỷ lệ đóng góp trí tuệ và quyền sở hữu đối với sản phẩm đồng sáng tạo là một thách thức quản trị lớn (Perkmann et al., 2013).</w:t>
      </w:r>
    </w:p>
    <w:p w14:paraId="48E95726" w14:textId="77777777" w:rsidR="005B561C" w:rsidRPr="000F7C87" w:rsidRDefault="00000000">
      <w:pPr>
        <w:rPr>
          <w:szCs w:val="26"/>
        </w:rPr>
      </w:pPr>
      <w:r w:rsidRPr="000F7C87">
        <w:rPr>
          <w:szCs w:val="26"/>
        </w:rPr>
        <w:t xml:space="preserve">- Giải quyết xung đột lợi ích giữa nhà trường và nhà nghiên cứu: Nhà trường đóng vai trò là chủ đầu tư cung cấp cơ sở vật chất, phòng thí nghiệm và kinh phí; trong khi giảng viên là người trực tiếp lao động sáng tạo (Shane, 2004; Võ, 2025). Nếu quy chế nội bộ không quy định minh bạch các khoản thưởng, thù lao dành cho tác giả và cách phân chia khoản thu từ chuyển giao, nhà khoa học có thể giữ lại kết quả nghiên cứu để tự khai thác bên ngoài, gây thất thoát tài sản của nhà trường. Đồng thời, nhà quản lý phải giải quyết hài hòa xung đột giữa áp lực công bố bài báo sớm để tính điểm chức danh và yêu cầu giữ bí mật để nộp đơn đăng ký bảo hộ sáng chế.</w:t>
      </w:r>
    </w:p>
    <w:p w14:paraId="0DE297E1" w14:textId="77777777" w:rsidR="005B561C" w:rsidRPr="000F7C87" w:rsidRDefault="00000000">
      <w:pPr>
        <w:keepNext/>
        <w:spacing w:before="200" w:after="100"/>
        <w:ind w:firstLine="0"/>
        <w:outlineLvl w:val="2"/>
        <w:rPr>
          <w:szCs w:val="26"/>
        </w:rPr>
      </w:pPr>
      <w:r w:rsidRPr="000F7C87">
        <w:rPr>
          <w:b/>
          <w:szCs w:val="26"/>
        </w:rPr>
        <w:t>1.1.3. Phân biệt xác lập quyền, bảo vệ quyền, khai thác quyền và thương mại hóa</w:t>
      </w:r>
    </w:p>
    <w:p w14:paraId="48E95726" w14:textId="77777777" w:rsidR="005B561C" w:rsidRPr="000F7C87" w:rsidRDefault="00000000">
      <w:pPr>
        <w:rPr>
          <w:szCs w:val="26"/>
        </w:rPr>
      </w:pPr>
      <w:r w:rsidRPr="000F7C87">
        <w:rPr>
          <w:szCs w:val="26"/>
        </w:rPr>
        <w:t xml:space="preserve">Để xây dựng mô hình vận hành chuẩn mực, việc phân định ranh giới lý luận giữa bốn khái niệm cốt lõi này giữ vai trò quyết định, tránh tình trạng mô tả lẫn lộn ở thực trạng và đề xuất dàn trải ở giải pháp:</w:t>
      </w:r>
    </w:p>
    <w:p w14:paraId="48E95726" w14:textId="77777777" w:rsidR="005B561C" w:rsidRPr="000F7C87" w:rsidRDefault="00000000">
      <w:pPr>
        <w:rPr>
          <w:szCs w:val="26"/>
        </w:rPr>
      </w:pPr>
      <w:r w:rsidRPr="000F7C87">
        <w:rPr>
          <w:szCs w:val="26"/>
          <w:i/>
        </w:rPr>
        <w:t xml:space="preserve">Thứ nhất, về xác lập quyền sở hữu trí tuệ:</w:t>
      </w:r>
    </w:p>
    <w:p w14:paraId="48E95726" w14:textId="77777777" w:rsidR="005B561C" w:rsidRPr="000F7C87" w:rsidRDefault="00000000">
      <w:pPr>
        <w:rPr>
          <w:szCs w:val="26"/>
        </w:rPr>
      </w:pPr>
      <w:r w:rsidRPr="000F7C87">
        <w:rPr>
          <w:szCs w:val="26"/>
        </w:rPr>
        <w:t xml:space="preserve">Xác lập quyền là quá trình thực hiện các trình tự, thủ tục pháp lý tại cơ quan nhà nước có thẩm quyền nhằm xác nhận quyền sở hữu hợp pháp đối với tài sản trí tuệ. Đối với quyền sở hữu công nghiệp (sáng chế, giải pháp hữu ích, kiểu dáng, nhãn hiệu), quyền chỉ phát sinh trên cơ sở quyết định cấp văn bằng bảo hộ sau khi trải qua các giai đoạn thẩm định hình thức, công bố đơn và thẩm định nội dung. Đối với quyền tác giả (giáo trình, bài giảng, phần mềm), quyền phát sinh tự động ngay khi tác phẩm được định hình dưới hình thức vật chất nhất định; tuy nhiên, thủ tục đăng ký để được cấp Giấy chứng nhận đăng ký quyền tác giả giữ vai trò là bằng chứng pháp lý vững chắc phục vụ việc quản lý, chuyển giao và chứng minh quyền khi có tranh chấp.</w:t>
      </w:r>
    </w:p>
    <w:p w14:paraId="48E95726" w14:textId="77777777" w:rsidR="005B561C" w:rsidRPr="000F7C87" w:rsidRDefault="00000000">
      <w:pPr>
        <w:rPr>
          <w:szCs w:val="26"/>
        </w:rPr>
      </w:pPr>
      <w:r w:rsidRPr="000F7C87">
        <w:rPr>
          <w:szCs w:val="26"/>
          <w:i/>
        </w:rPr>
        <w:t xml:space="preserve">Thứ hai, về bảo vệ quyền sở hữu trí tuệ:</w:t>
      </w:r>
    </w:p>
    <w:p w14:paraId="48E95726" w14:textId="77777777" w:rsidR="005B561C" w:rsidRPr="000F7C87" w:rsidRDefault="00000000">
      <w:pPr>
        <w:rPr>
          <w:szCs w:val="26"/>
        </w:rPr>
      </w:pPr>
      <w:r w:rsidRPr="000F7C87">
        <w:rPr>
          <w:szCs w:val="26"/>
        </w:rPr>
        <w:t xml:space="preserve">Bảo vệ quyền là hệ thống các biện pháp pháp lý, kỹ thuật và quản trị nội bộ nhằm ngăn ngừa, phát hiện và xử lý các hành vi xâm phạm quyền sở hữu trí tuệ của nhà trường; đồng thời kiểm soát việc tuân thủ pháp luật và giữ gìn liêm chính học thuật. Hoạt động này bao gồm việc thiết lập cơ chế bảo mật thông tin kỹ thuật, sử dụng các phần mềm chuyên dụng kiểm tra chống đạo văn, giám sát sao chép học liệu số trái phép, và áp dụng các biện pháp tự bảo vệ hoặc yêu cầu cơ quan chức năng can thiệp xử lý hành vi xâm phạm quyền.</w:t>
      </w:r>
    </w:p>
    <w:p w14:paraId="48E95726" w14:textId="77777777" w:rsidR="005B561C" w:rsidRPr="000F7C87" w:rsidRDefault="00000000">
      <w:pPr>
        <w:rPr>
          <w:szCs w:val="26"/>
        </w:rPr>
      </w:pPr>
      <w:r w:rsidRPr="000F7C87">
        <w:rPr>
          <w:szCs w:val="26"/>
          <w:i/>
        </w:rPr>
        <w:t xml:space="preserve">Thứ ba, về khai thác quyền sở hữu trí tuệ:</w:t>
      </w:r>
    </w:p>
    <w:p w14:paraId="48E95726" w14:textId="77777777" w:rsidR="005B561C" w:rsidRPr="000F7C87" w:rsidRDefault="00000000">
      <w:pPr>
        <w:rPr>
          <w:szCs w:val="26"/>
        </w:rPr>
      </w:pPr>
      <w:r w:rsidRPr="000F7C87">
        <w:rPr>
          <w:szCs w:val="26"/>
        </w:rPr>
        <w:t xml:space="preserve">Khai thác quyền là việc chủ sở hữu quyền đưa tài sản trí tuệ vào áp dụng trong thực tiễn nhằm hiện thực hóa các giá trị của tài sản. Trong trường đại học, khai thác quyền mang phạm vi rộng lớn, bao gồm cả hai phương thức:</w:t>
      </w:r>
    </w:p>
    <w:p w14:paraId="48E95726" w14:textId="77777777" w:rsidR="005B561C" w:rsidRPr="000F7C87" w:rsidRDefault="00000000">
      <w:pPr>
        <w:rPr>
          <w:szCs w:val="26"/>
        </w:rPr>
      </w:pPr>
      <w:r w:rsidRPr="000F7C87">
        <w:rPr>
          <w:szCs w:val="26"/>
        </w:rPr>
        <w:t xml:space="preserve">- Khai thác phi thương mại: Đưa giáo trình, bài giảng vào phục vụ trực tiếp công tác đào tạo; cung cấp học liệu mở cho người học; áp dụng kết quả nghiên cứu vào cải tiến quy trình quản trị nội bộ của trường.</w:t>
      </w:r>
    </w:p>
    <w:p w14:paraId="48E95726" w14:textId="77777777" w:rsidR="005B561C" w:rsidRPr="000F7C87" w:rsidRDefault="00000000">
      <w:pPr>
        <w:rPr>
          <w:szCs w:val="26"/>
        </w:rPr>
      </w:pPr>
      <w:r w:rsidRPr="000F7C87">
        <w:rPr>
          <w:szCs w:val="26"/>
        </w:rPr>
        <w:t xml:space="preserve">- Khai thác vì mục đích thương mại: Áp dụng tài sản trí tuệ vào các hoạt động có phát sinh doanh thu và giá trị kinh tế.</w:t>
      </w:r>
    </w:p>
    <w:p w14:paraId="48E95726" w14:textId="77777777" w:rsidR="005B561C" w:rsidRPr="000F7C87" w:rsidRDefault="00000000">
      <w:pPr>
        <w:rPr>
          <w:szCs w:val="26"/>
        </w:rPr>
      </w:pPr>
      <w:r w:rsidRPr="000F7C87">
        <w:rPr>
          <w:szCs w:val="26"/>
          <w:i/>
        </w:rPr>
        <w:t xml:space="preserve">Thứ tư, về thương mại hóa tài sản trí tuệ:</w:t>
      </w:r>
    </w:p>
    <w:p w14:paraId="48E95726" w14:textId="77777777" w:rsidR="005B561C" w:rsidRPr="000F7C87" w:rsidRDefault="00000000">
      <w:pPr>
        <w:rPr>
          <w:szCs w:val="26"/>
        </w:rPr>
      </w:pPr>
      <w:r w:rsidRPr="000F7C87">
        <w:rPr>
          <w:szCs w:val="26"/>
        </w:rPr>
        <w:t xml:space="preserve">Thương mại hóa là một phương thức khai thác quyền chuyên biệt mang tính thị trường, tập trung vào việc biến các kết quả nghiên cứu khoa học và tài sản trí tuệ thành hàng hóa hoặc dịch vụ lưu thông trên thị trường nhằm thu về lợi nhuận tài chính. Thương mại hóa trong trường đại học được thực hiện qua bốn hình thức chủ yếu:</w:t>
      </w:r>
    </w:p>
    <w:p w14:paraId="48E95726" w14:textId="77777777" w:rsidR="005B561C" w:rsidRPr="000F7C87" w:rsidRDefault="00000000">
      <w:pPr>
        <w:rPr>
          <w:szCs w:val="26"/>
        </w:rPr>
      </w:pPr>
      <w:r w:rsidRPr="000F7C87">
        <w:rPr>
          <w:szCs w:val="26"/>
        </w:rPr>
        <w:t xml:space="preserve">1. Chuyển nhượng toàn bộ quyền sở hữu trí tuệ cho doanh nghiệp để thu về khoản tiền trọn gói một lần.</w:t>
      </w:r>
    </w:p>
    <w:p w14:paraId="48E95726" w14:textId="77777777" w:rsidR="005B561C" w:rsidRPr="000F7C87" w:rsidRDefault="00000000">
      <w:pPr>
        <w:rPr>
          <w:szCs w:val="26"/>
        </w:rPr>
      </w:pPr>
      <w:r w:rsidRPr="000F7C87">
        <w:rPr>
          <w:szCs w:val="26"/>
        </w:rPr>
        <w:t xml:space="preserve">2. Cấp phép quyền sử dụng (độc quyền hoặc không độc quyền) để thu tiền bản quyền định kỳ tính theo tỷ lệ phần trăm doanh thu sản phẩm.</w:t>
      </w:r>
    </w:p>
    <w:p w14:paraId="48E95726" w14:textId="77777777" w:rsidR="005B561C" w:rsidRPr="000F7C87" w:rsidRDefault="00000000">
      <w:pPr>
        <w:rPr>
          <w:szCs w:val="26"/>
        </w:rPr>
      </w:pPr>
      <w:r w:rsidRPr="000F7C87">
        <w:rPr>
          <w:szCs w:val="26"/>
        </w:rPr>
        <w:t xml:space="preserve">3. Góp vốn bằng quyền sở hữu trí tuệ để liên kết thành lập doanh nghiệp khởi nguồn tri thức ngay trong trường đại học.</w:t>
      </w:r>
    </w:p>
    <w:p w14:paraId="48E95726" w14:textId="77777777" w:rsidR="005B561C" w:rsidRPr="000F7C87" w:rsidRDefault="00000000">
      <w:pPr>
        <w:rPr>
          <w:szCs w:val="26"/>
        </w:rPr>
      </w:pPr>
      <w:r w:rsidRPr="000F7C87">
        <w:rPr>
          <w:szCs w:val="26"/>
        </w:rPr>
        <w:t xml:space="preserve">4. Trực tiếp sản xuất thử nghiệm và thương mại hóa sản phẩm thông qua các đơn vị dịch vụ khoa học công nghệ trực thuộc trường.</w:t>
      </w:r>
    </w:p>
    <w:p w14:paraId="48E95726" w14:textId="77777777" w:rsidR="005B561C" w:rsidRPr="000F7C87" w:rsidRDefault="00000000">
      <w:pPr>
        <w:rPr>
          <w:szCs w:val="26"/>
        </w:rPr>
      </w:pPr>
      <w:r w:rsidRPr="000F7C87">
        <w:rPr>
          <w:szCs w:val="26"/>
        </w:rPr>
        <w:t xml:space="preserve">Như vậy, bốn nội dung trên phản ánh bốn nhóm hoạt động nghiệp vụ được phân biệt rõ ràng về mặt lý luận và pháp lý, không phải là các khâu nối tiếp cơ học. Trong đó, bảo vệ quyền sở hữu trí tuệ là một hoạt động quản trị mang tính xuyên suốt, đồng hành cùng toàn bộ vòng đời của tài sản trí tuệ: từ việc bảo mật thông tin trong quá trình nghiên cứu hình thành ý tưởng, bảo đảm quyền ưu tiên khi đăng ký xác lập, kiểm soát rủi ro trong các hợp đồng chuyển giao, cho đến việc xử lý các hành vi xâm phạm và giải quyết tranh chấp quyền. Bốn nội dung này là cơ sở nền tảng để xây dựng chu trình quản lý quyền sở hữu trí tuệ của trường đại học được trình bày tại Mục 1.4.1.</w:t>
      </w:r>
    </w:p>
    <w:p w14:paraId="6067EC56" w14:textId="77777777" w:rsidR="005B561C" w:rsidRPr="000F7C87" w:rsidRDefault="00000000">
      <w:pPr>
        <w:keepNext/>
        <w:spacing w:before="280" w:after="160"/>
        <w:ind w:firstLine="0"/>
        <w:outlineLvl w:val="1"/>
        <w:rPr>
          <w:szCs w:val="26"/>
        </w:rPr>
      </w:pPr>
      <w:r w:rsidRPr="000F7C87">
        <w:rPr>
          <w:b/>
          <w:szCs w:val="26"/>
        </w:rPr>
        <w:t>1.2. Vai trò của quản lý quyền sở hữu trí tuệ đối với đào tạo, nghiên cứu và phát triển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1.2.1. Nâng cao chất lượng đào tạo và năng lực nghiên cứu khoa học</w:t>
      </w:r>
    </w:p>
    <w:p w14:paraId="48E95726" w14:textId="77777777" w:rsidR="005B561C" w:rsidRPr="000F7C87" w:rsidRDefault="00000000">
      <w:pPr>
        <w:rPr>
          <w:szCs w:val="26"/>
        </w:rPr>
      </w:pPr>
      <w:r w:rsidRPr="000F7C87">
        <w:rPr>
          <w:szCs w:val="26"/>
        </w:rPr>
        <w:t xml:space="preserve">Quản lý quyền sở hữu trí tuệ hiệu quả tạo ra môi trường kích thích mạnh mẽ hoạt động nghiên cứu khoa học và đổi mới phương pháp giảng dạy trong nhà trường:</w:t>
      </w:r>
    </w:p>
    <w:p w14:paraId="48E95726" w14:textId="77777777" w:rsidR="005B561C" w:rsidRPr="000F7C87" w:rsidRDefault="00000000">
      <w:pPr>
        <w:rPr>
          <w:szCs w:val="26"/>
        </w:rPr>
      </w:pPr>
      <w:r w:rsidRPr="000F7C87">
        <w:rPr>
          <w:szCs w:val="26"/>
        </w:rPr>
        <w:t xml:space="preserve">- Chuyển giao tri thức mới vào bài giảng: Việc quản lý bài bản hệ thống giáo trình, bài giảng số và kết quả nghiên cứu giúp đẩy nhanh tốc độ tích hợp các phát minh, công nghệ mới nhất từ phòng thí nghiệm vào chương trình đào tạo, giúp sinh viên tiếp cận tri thức mang tính thời sự và ứng dụng cao.</w:t>
      </w:r>
    </w:p>
    <w:p w14:paraId="48E95726" w14:textId="77777777" w:rsidR="005B561C" w:rsidRPr="000F7C87" w:rsidRDefault="00000000">
      <w:pPr>
        <w:rPr>
          <w:szCs w:val="26"/>
        </w:rPr>
      </w:pPr>
      <w:r w:rsidRPr="000F7C87">
        <w:rPr>
          <w:szCs w:val="26"/>
        </w:rPr>
        <w:t xml:space="preserve">- Rèn luyện năng lực nghiên cứu thực chiến cho người học: Khi nhà trường có quy chế rõ ràng về quyền sở hữu trí tuệ đối với đồ án, khóa luận tốt nghiệp, sinh viên được khuyến khích giải quyết các bài toán kỹ thuật thực tế từ doanh nghiệp. Quá trình này hình thành tư duy tôn trọng bản quyền, kỹ năng tra cứu sáng chế và năng lực đổi mới sáng tạo cho sinh viên ngay từ khi còn ngồi trên ghế nhà trường.</w:t>
      </w:r>
    </w:p>
    <w:p w14:paraId="48E95726" w14:textId="77777777" w:rsidR="005B561C" w:rsidRPr="000F7C87" w:rsidRDefault="00000000">
      <w:pPr>
        <w:rPr>
          <w:szCs w:val="26"/>
        </w:rPr>
      </w:pPr>
      <w:r w:rsidRPr="000F7C87">
        <w:rPr>
          <w:szCs w:val="26"/>
        </w:rPr>
        <w:t xml:space="preserve">- Định hình các nhóm nghiên cứu mạnh: Cơ chế quản trị sở hữu trí tuệ minh bạch giúp thu hút và giữ chân các nhà khoa học giỏi, tạo nền tảng vững chắc để hình thành các nhóm nghiên cứu chuyên sâu gắn với thế mạnh mũi nhọn của nhà trường.</w:t>
      </w:r>
    </w:p>
    <w:p w14:paraId="0DE297E1" w14:textId="77777777" w:rsidR="005B561C" w:rsidRPr="000F7C87" w:rsidRDefault="00000000">
      <w:pPr>
        <w:keepNext/>
        <w:spacing w:before="200" w:after="100"/>
        <w:ind w:firstLine="0"/>
        <w:outlineLvl w:val="2"/>
        <w:rPr>
          <w:szCs w:val="26"/>
        </w:rPr>
      </w:pPr>
      <w:r w:rsidRPr="000F7C87">
        <w:rPr>
          <w:b/>
          <w:szCs w:val="26"/>
        </w:rPr>
        <w:t>1.2.2. Đa dạng hóa nguồn tài chính ngoài học phí và thúc đẩy tự chủ đại học</w:t>
      </w:r>
    </w:p>
    <w:p w14:paraId="48E95726" w14:textId="77777777" w:rsidR="005B561C" w:rsidRPr="000F7C87" w:rsidRDefault="00000000">
      <w:pPr>
        <w:rPr>
          <w:szCs w:val="26"/>
        </w:rPr>
      </w:pPr>
      <w:r w:rsidRPr="000F7C87">
        <w:rPr>
          <w:szCs w:val="26"/>
        </w:rPr>
        <w:t xml:space="preserve">Trong bối cảnh tự chủ đại học, việc phụ thuộc chủ yếu vào nguồn thu học phí tiềm ẩn nhiều rủi ro tài chính bền vững. Quản lý quyền sở hữu trí tuệ mở ra kênh tạo lập nguồn thu mới quan trọng cho nhà trường:</w:t>
      </w:r>
    </w:p>
    <w:p w14:paraId="48E95726" w14:textId="77777777" w:rsidR="005B561C" w:rsidRPr="000F7C87" w:rsidRDefault="00000000">
      <w:pPr>
        <w:rPr>
          <w:szCs w:val="26"/>
        </w:rPr>
      </w:pPr>
      <w:r w:rsidRPr="000F7C87">
        <w:rPr>
          <w:szCs w:val="26"/>
        </w:rPr>
        <w:t xml:space="preserve">- Thu nhập từ chuyển giao công nghệ và cấp phép quyền sử dụng: Các sáng chế, giải pháp kỹ thuật, phần mềm ứng dụng khi được thương mại hóa thành công sẽ đem lại dòng tiền bản quyền định kỳ, tạo nguồn tài chính hợp pháp ngoài học phí.</w:t>
      </w:r>
    </w:p>
    <w:p w14:paraId="48E95726" w14:textId="77777777" w:rsidR="005B561C" w:rsidRPr="000F7C87" w:rsidRDefault="00000000">
      <w:pPr>
        <w:rPr>
          <w:szCs w:val="26"/>
        </w:rPr>
      </w:pPr>
      <w:r w:rsidRPr="000F7C87">
        <w:rPr>
          <w:szCs w:val="26"/>
        </w:rPr>
        <w:t xml:space="preserve">- Hút nguồn vốn đầu tư từ doanh nghiệp: Nhà trường có năng lực quản trị sở hữu trí tuệ chuyên nghiệp sẽ tạo dựng được lòng tin với các đối tác doanh nghiệp, từ đó thu hút các hợp đồng đặt hàng nghiên cứu phát triển và các nguồn tài trợ phòng thí nghiệm quy mô lớn (O’Dwyer et al., 2023).</w:t>
      </w:r>
    </w:p>
    <w:p w14:paraId="48E95726" w14:textId="77777777" w:rsidR="005B561C" w:rsidRPr="000F7C87" w:rsidRDefault="00000000">
      <w:pPr>
        <w:rPr>
          <w:szCs w:val="26"/>
        </w:rPr>
      </w:pPr>
      <w:r w:rsidRPr="000F7C87">
        <w:rPr>
          <w:szCs w:val="26"/>
        </w:rPr>
        <w:t xml:space="preserve">- Tạo lập chu trình tái đầu tư khép kín: Sau khi thực hiện các nghĩa vụ đối với tác giả theo pháp luật và quy chế nội bộ, gồm thù lao theo Điều 135 Luật Sở hữu trí tuệ đối với sáng chế, kiểu dáng công nghiệp, thiết kế bố trí và tiền thưởng theo Điều 28 Luật Khoa học, công nghệ và đổi mới sáng tạo số 93/2025/QH15 khi kết quả thuộc phạm vi điều chỉnh của điều này, phần còn lại của nguồn thu từ thương mại hóa có thể được trích bổ sung vào quỹ phát triển khoa học và công nghệ của trường để nâng cấp phòng thí nghiệm và tài trợ cho các đề tài nghiên cứu tiếp theo.</w:t>
      </w:r>
    </w:p>
    <w:p w14:paraId="0DE297E1" w14:textId="77777777" w:rsidR="005B561C" w:rsidRPr="000F7C87" w:rsidRDefault="00000000">
      <w:pPr>
        <w:keepNext/>
        <w:spacing w:before="200" w:after="100"/>
        <w:ind w:firstLine="0"/>
        <w:outlineLvl w:val="2"/>
        <w:rPr>
          <w:szCs w:val="26"/>
        </w:rPr>
      </w:pPr>
      <w:r w:rsidRPr="000F7C87">
        <w:rPr>
          <w:b/>
          <w:szCs w:val="26"/>
        </w:rPr>
        <w:t>1.2.3. Vị trí của chỉ số sở hữu trí tuệ trong kiểm định chất lượng và xếp hạng đại học</w:t>
      </w:r>
    </w:p>
    <w:p w14:paraId="48E95726" w14:textId="77777777" w:rsidR="005B561C" w:rsidRPr="000F7C87" w:rsidRDefault="00000000">
      <w:pPr>
        <w:rPr>
          <w:szCs w:val="26"/>
        </w:rPr>
      </w:pPr>
      <w:r w:rsidRPr="000F7C87">
        <w:rPr>
          <w:szCs w:val="26"/>
        </w:rPr>
        <w:t xml:space="preserve">Trong các khung chuẩn mực đánh giá chất lượng và xếp hạng đại học hiện nay, sở hữu trí tuệ giữ vị trí quan trọng thông qua mối liên hệ gián tiếp nhưng thực chất với các chỉ số hiệu quả cốt lõi:</w:t>
      </w:r>
    </w:p>
    <w:p w14:paraId="48E95726" w14:textId="77777777" w:rsidR="005B561C" w:rsidRPr="000F7C87" w:rsidRDefault="00000000">
      <w:pPr>
        <w:rPr>
          <w:szCs w:val="26"/>
        </w:rPr>
      </w:pPr>
      <w:r w:rsidRPr="000F7C87">
        <w:rPr>
          <w:szCs w:val="26"/>
        </w:rPr>
        <w:t xml:space="preserve">- Trong Chuẩn cơ sở giáo dục đại học: Thông tư số 01/2024/TT-BGDĐT ngày 05 tháng 02 năm 2024 của Bộ trưởng Bộ Giáo dục và Đào tạo quy định Tiêu chuẩn 6 về nghiên cứu và đổi mới sáng tạo gồm hai tiêu chí định lượng: tỷ trọng thu từ hoạt động khoa học và công nghệ trên tổng thu đối với cơ sở có đào tạo tiến sĩ, Tiêu chí 6.1, và số công bố khoa học bình quân trên một giảng viên toàn thời gian, Tiêu chí 6.2. Văn bằng sở hữu trí tuệ có mặt trực tiếp trong công thức tính Tiêu chí 6.2: mỗi bằng độc quyền giải pháp hữu ích được tính như một công bố, mỗi bằng độc quyền sáng chế được tính gấp năm lần. Tuy nhiên, quản lý quyền sở hữu trí tuệ giữ vai trò là mắt xích tác động gián tiếp nhưng then chốt: Việc khai thác, thương mại hóa hiệu quả các sáng chế, giải pháp hữu ích, chương trình máy tính và giáo trình sẽ trực tiếp tạo ra nguồn thu từ dịch vụ chuyển giao công nghệ, tư vấn kỹ thuật và hợp tác doanh nghiệp, qua đó nâng cao tỷ trọng thu từ khoa học công nghệ để đáp ứng Tiêu chí 6.1. Thông tư số 83/2026/TT-BGDĐT ngày 30 tháng 9 năm 2026 sẽ thay thế Thông tư số 01/2024/TT-BGDĐT từ ngày 15 tháng 11 năm 2026; những thay đổi liên quan đến sở hữu trí tuệ được phân tích như thời cơ và thách thức của Nhà trường tại Mục 3.1.2.</w:t>
      </w:r>
    </w:p>
    <w:p w14:paraId="48E95726" w14:textId="77777777" w:rsidR="005B561C" w:rsidRPr="000F7C87" w:rsidRDefault="00000000">
      <w:pPr>
        <w:rPr>
          <w:szCs w:val="26"/>
        </w:rPr>
      </w:pPr>
      <w:r w:rsidRPr="000F7C87">
        <w:rPr>
          <w:szCs w:val="26"/>
        </w:rPr>
        <w:t xml:space="preserve">- Trong kiểm định chất lượng giáo dục đại học: Các bộ tiêu chuẩn kiểm định cơ sở giáo dục đại học và chương trình đào tạo hiện hành đều đánh giá cao tính ứng dụng của các kết quả nghiên cứu, hiệu quả khai thác tài nguyên học liệu số và sự gắn kết giữa đào tạo với chuyển giao tri thức phục vụ xã hội.</w:t>
      </w:r>
    </w:p>
    <w:p w14:paraId="48E95726" w14:textId="77777777" w:rsidR="005B561C" w:rsidRPr="000F7C87" w:rsidRDefault="00000000">
      <w:pPr>
        <w:rPr>
          <w:szCs w:val="26"/>
        </w:rPr>
      </w:pPr>
      <w:r w:rsidRPr="000F7C87">
        <w:rPr>
          <w:szCs w:val="26"/>
        </w:rPr>
        <w:t xml:space="preserve">- Trong các bảng xếp hạng đại học: Văn bằng bảo hộ sở hữu trí tuệ và doanh thu từ chuyển giao công nghệ là các chỉ báo thành phần góp phần phản ánh năng lực nghiên cứu ứng dụng, mức độ hợp tác với khu vực doanh nghiệp và uy tín khoa học thực chất của cơ sở giáo dục đại học.</w:t>
      </w:r>
    </w:p>
    <w:p w14:paraId="6067EC56" w14:textId="77777777" w:rsidR="005B561C" w:rsidRPr="000F7C87" w:rsidRDefault="00000000">
      <w:pPr>
        <w:keepNext/>
        <w:spacing w:before="280" w:after="160"/>
        <w:ind w:firstLine="0"/>
        <w:outlineLvl w:val="1"/>
        <w:rPr>
          <w:szCs w:val="26"/>
        </w:rPr>
      </w:pPr>
      <w:r w:rsidRPr="000F7C87">
        <w:rPr>
          <w:b/>
          <w:szCs w:val="26"/>
        </w:rPr>
        <w:t>1.3. Khung pháp lý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Khung pháp lý điều chỉnh hoạt động quản lý quyền sở hữu trí tuệ trong các cơ sở giáo dục đại học tại Việt Nam hiện nay được cấu thành từ hệ thống các quan điểm chỉ đạo chiến lược của Đảng, văn bản quy phạm pháp luật của Nhà nước và hệ thống quy chế quản trị nội bộ của từng cơ sở giáo dục.</w:t>
      </w:r>
    </w:p>
    <w:p w14:paraId="0DE297E1" w14:textId="77777777" w:rsidR="005B561C" w:rsidRPr="000F7C87" w:rsidRDefault="00000000">
      <w:pPr>
        <w:keepNext/>
        <w:spacing w:before="200" w:after="100"/>
        <w:ind w:firstLine="0"/>
        <w:outlineLvl w:val="2"/>
        <w:rPr>
          <w:szCs w:val="26"/>
        </w:rPr>
      </w:pPr>
      <w:r w:rsidRPr="000F7C87">
        <w:rPr>
          <w:b/>
          <w:szCs w:val="26"/>
        </w:rPr>
        <w:t>1.3.1. Luật Sở hữu trí tuệ và các văn bản hướng dẫn thi hành</w:t>
      </w:r>
    </w:p>
    <w:p w14:paraId="48E95726" w14:textId="77777777" w:rsidR="005B561C" w:rsidRPr="000F7C87" w:rsidRDefault="00000000">
      <w:pPr>
        <w:rPr>
          <w:szCs w:val="26"/>
        </w:rPr>
      </w:pPr>
      <w:r w:rsidRPr="000F7C87">
        <w:rPr>
          <w:szCs w:val="26"/>
        </w:rPr>
        <w:t xml:space="preserve">Trụ cột pháp lý cao nhất điều chỉnh trực tiếp quan hệ sở hữu trí tuệ tại Việt Nam là Luật Sở hữu trí tuệ số 50/2005/QH11, được sửa đổi, bổ sung bởi các Luật số 36/2009/QH12, số 42/2019/QH14, số 07/2022/QH15, Luật Khoa học, công nghệ và đổi mới sáng tạo số 93/2025/QH15 và gần nhất là Luật số 131/2025/QH15 có hiệu lực từ ngày 01 tháng 4 năm 2026; nội dung hiện hành được hợp nhất tại Văn bản hợp nhất số 67/VBHN-VPQH ngày 23 tháng 3 năm 2026. Hệ thống quy định hiện hành xác lập các điểm mới đáng chú ý đối với cơ sở giáo dục đại học:</w:t>
      </w:r>
    </w:p>
    <w:p w14:paraId="48E95726" w14:textId="77777777" w:rsidR="005B561C" w:rsidRPr="000F7C87" w:rsidRDefault="00000000">
      <w:pPr>
        <w:rPr>
          <w:szCs w:val="26"/>
        </w:rPr>
      </w:pPr>
      <w:r w:rsidRPr="000F7C87">
        <w:rPr>
          <w:szCs w:val="26"/>
        </w:rPr>
        <w:t xml:space="preserve">Một là, về quyền đăng ký sáng chế, kiểu dáng công nghiệp, thiết kế bố trí là kết quả của nhiệm vụ khoa học và công nghệ sử dụng ngân sách nhà nước: Điều 86a trước đây đã được bãi bỏ theo điểm h khoản 7 Điều 71 Luật số 93/2025/QH15, và nội dung này được quy định thống nhất tại điểm c khoản 1 Điều 86 do khoản 22 Điều 1 Luật số 131/2025/QH15 bổ sung. Theo đó,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 Quy định này dẫn chiếu trực tiếp sang Luật Khoa học, công nghệ và đổi mới sáng tạo số 93/2025/QH15, trao quyền đăng ký cho tổ chức chủ trì là cơ sở giáo dục đại học.</w:t>
      </w:r>
    </w:p>
    <w:p w14:paraId="48E95726" w14:textId="77777777" w:rsidR="005B561C" w:rsidRPr="000F7C87" w:rsidRDefault="00000000">
      <w:pPr>
        <w:rPr>
          <w:szCs w:val="26"/>
        </w:rPr>
      </w:pPr>
      <w:r w:rsidRPr="000F7C87">
        <w:rPr>
          <w:szCs w:val="26"/>
        </w:rPr>
        <w:t xml:space="preserve">Hai là, về cơ chế phân chia lợi ích và nghĩa vụ trả thù lao cho tác giả: Khoản 2 Điều 135 trước đây, quy định riêng về thù lao đối với sáng chế, kiểu dáng công nghiệp, thiết kế bố trí là kết quả của nhiệm vụ sử dụng ngân sách nhà nước, đã bị bãi bỏ theo điểm h khoản 7 Điều 71 Luật Khoa học, công nghệ và đổi mới sáng tạo số 93/2025/QH15. Theo khoản 1 Điều 135 Luật Sở hữu trí tuệ được sửa đổi theo điểm b khoản 7 Điều 71 Luật này, chủ sở hữu có nghĩa vụ trả thù lao cho tác giả theo nguyên tắc thỏa thuận; chỉ trong trường hợp giữa các bên không có thỏa thuận thì mới áp dụng mức thù lao mặc định:</w:t>
      </w:r>
    </w:p>
    <w:p w14:paraId="48E95726" w14:textId="77777777" w:rsidR="005B561C" w:rsidRPr="000F7C87" w:rsidRDefault="00000000">
      <w:pPr>
        <w:rPr>
          <w:szCs w:val="26"/>
        </w:rPr>
      </w:pPr>
      <w:r w:rsidRPr="000F7C87">
        <w:rPr>
          <w:szCs w:val="26"/>
        </w:rPr>
        <w:t xml:space="preserve">- Trường hợp chủ sở hữu tự mình sử dụng đối tượng này trong hoạt động sản xuất, kinh doanh: mức thù lao mặc định là 10% lợi nhuận trước thuế thu được tương ứng với giá trị mà sáng chế, kiểu dáng công nghiệp, thiết kế bố trí đóng góp vào sản phẩm, dịch vụ hoặc hoạt động sản xuất, kinh doanh;</w:t>
      </w:r>
    </w:p>
    <w:p w14:paraId="48E95726" w14:textId="77777777" w:rsidR="005B561C" w:rsidRPr="000F7C87" w:rsidRDefault="00000000">
      <w:pPr>
        <w:rPr>
          <w:szCs w:val="26"/>
        </w:rPr>
      </w:pPr>
      <w:r w:rsidRPr="000F7C87">
        <w:rPr>
          <w:szCs w:val="26"/>
        </w:rPr>
        <w:t xml:space="preserve">- Trường hợp chủ sở hữu chuyển giao quyền sử dụng: mức thù lao mặc định là 15% tổng số tiền mà chủ sở hữu nhận được trong mỗi lần nhận tiền thanh toán từ việc chuyển giao trước khi nộp thuế.</w:t>
      </w:r>
    </w:p>
    <w:p w14:paraId="48E95726" w14:textId="77777777" w:rsidR="005B561C" w:rsidRPr="000F7C87" w:rsidRDefault="00000000">
      <w:pPr>
        <w:rPr>
          <w:szCs w:val="26"/>
        </w:rPr>
      </w:pPr>
      <w:r w:rsidRPr="000F7C87">
        <w:rPr>
          <w:szCs w:val="26"/>
        </w:rPr>
        <w:t xml:space="preserve">Việc bãi bỏ khoản 2 Điều 135 có nghĩa là Luật Sở hữu trí tuệ không còn quy định một khung thù lao riêng cho sáng chế, kiểu dáng công nghiệp, thiết kế bố trí là kết quả của nhiệm vụ sử dụng ngân sách nhà nước, và khoản 1 Điều 135 không đặt mức trần thù lao. Điều này không có nghĩa là nguồn kinh phí không còn ảnh hưởng đến lợi ích của tác giả: đối với kết quả sử dụng ngân sách nhà nước, Điều 28 Luật số 93/2025/QH15 đặt ra yêu cầu riêng về thưởng cho tác giả, được phân tích tại Mục 1.3.2.</w:t>
      </w:r>
    </w:p>
    <w:p w14:paraId="48E95726" w14:textId="77777777" w:rsidR="005B561C" w:rsidRPr="000F7C87" w:rsidRDefault="00000000">
      <w:pPr>
        <w:rPr>
          <w:szCs w:val="26"/>
        </w:rPr>
      </w:pPr>
      <w:r w:rsidRPr="000F7C87">
        <w:rPr>
          <w:szCs w:val="26"/>
        </w:rPr>
        <w:t xml:space="preserve">Để tránh đồng nhất các khoản lợi ích khác nhau, Đề tài sử dụng bốn thuật ngữ theo nghĩa sau. Thù lao của tác giả là khoản chủ sở hữu sáng chế, kiểu dáng công nghiệp, thiết kế bố trí phải trả cho tác giả theo Điều 135 Luật Sở hữu trí tuệ trong suốt thời hạn bảo hộ, theo thỏa thuận hoặc theo mức mặc định tính trên lợi nhuận trước thuế hay trên tổng số tiền nhận được mỗi lần trước thuế. Thưởng cho tác giả là khoản trích từ lợi nhuận thương mại hóa kết quả nghiên cứu theo Điều 28 Luật số 93/2025/QH15, bắt buộc tối thiểu 30% lợi nhuận sau thuế đối với phần kết quả sử dụng ngân sách nhà nước, và do chủ sở hữu tự quyết định đối với phần không sử dụng ngân sách nhà nước. Nhuận bút là khoản chi trả cho tác giả tác phẩm như sách, giáo trình theo pháp luật về quyền tác giả và quy chế chi tiêu của tổ chức. Phân chia lợi nhuận, hay phân chia nguồn thu, là việc chủ sở hữu phân bổ khoản thu cho các bên như tổ chức chủ trì, đơn vị có tác giả, quỹ phát triển khoa học và công nghệ. Bốn khoản này khác nhau về căn cứ pháp lý, đối tượng hưởng và cơ sở tính, nên tỷ lệ của khoản này không thể so sánh trực tiếp với tỷ lệ của khoản khác.</w:t>
      </w:r>
    </w:p>
    <w:p w14:paraId="48E95726" w14:textId="77777777" w:rsidR="005B561C" w:rsidRPr="000F7C87" w:rsidRDefault="00000000">
      <w:pPr>
        <w:rPr>
          <w:szCs w:val="26"/>
        </w:rPr>
      </w:pPr>
      <w:r w:rsidRPr="000F7C87">
        <w:rPr>
          <w:szCs w:val="26"/>
        </w:rPr>
        <w:t xml:space="preserve">Ba là, về bảo hộ quyền tác giả và liêm chính học thuật: Điều 19 và Điều 20 phân định quyền nhân thân của tác giả, như quyền đứng tên và bảo vệ sự toàn vẹn của tác phẩm, với quyền tài sản như sao chép, phân phối, làm tác phẩm phái sinh. Theo khoản 1 Điều 39, tổ chức giao nhiệm vụ sáng tạo tác phẩm cho người thuộc tổ chức mình là chủ sở hữu các quyền tài sản, trừ trường hợp có thỏa thuận khác; vì vậy nhà trường là chủ sở hữu đối với giáo trình, bài giảng, tài liệu điện tử và cơ sở dữ liệu được giao biên soạn. Điều 14 và Điều 22 xác định các loại hình tác phẩm, trong đó có chương trình máy tính và sưu tập dữ liệu; Điều 25 quy định các trường hợp ngoại lệ phục vụ giảng dạy, nghiên cứu phi thương mại; Điều 28 quy định các hành vi xâm phạm quyền tác giả, là căn cứ xử lý hành vi sao chép học thuật trái phép.</w:t>
      </w:r>
    </w:p>
    <w:p w14:paraId="48E95726" w14:textId="77777777" w:rsidR="005B561C" w:rsidRPr="000F7C87" w:rsidRDefault="00000000">
      <w:pPr>
        <w:rPr>
          <w:szCs w:val="26"/>
        </w:rPr>
      </w:pPr>
      <w:r w:rsidRPr="000F7C87">
        <w:rPr>
          <w:szCs w:val="26"/>
        </w:rPr>
        <w:t xml:space="preserve">Bên cạnh đó, hệ thống văn bản hướng dẫn thi hành thời gian gần đây đã có những bước tiến vượt bậc nhằm thích ứng với chuyển đổi số và trí tuệ nhân tạo. Điển hình là Nghị định số 134/2026/NĐ-CP ngày 06 tháng 4 năm 2026 của Chính phủ sửa đổi, bổ sung Nghị định số 17/2023/NĐ-CP hướng dẫn Luật Sở hữu trí tuệ về quyền tác giả, quyền liên quan. Nghị định này đã bổ sung Điều 5a quy định mới về việc bảo hộ quyền tác giả đối với các tác phẩm được tạo ra có sử dụng hệ thống trí tuệ nhân tạo: quyền tác giả chỉ phát sinh khi con người có sự đóng góp đáng kể và mang tính quyết định vào quá trình sáng tạo; khi không có sự đóng góp như vậy, quyền tác giả không phát sinh. Quy định này có ý nghĩa đặc biệt quan trọng đối với các trường đại học trong việc định hình chuẩn mực biên soạn học liệu, công bố khoa học và thẩm định đề tài của giảng viên, sinh viên trong bối cảnh các công cụ trí tuệ nhân tạo phát triển mạnh mẽ.</w:t>
      </w:r>
    </w:p>
    <w:p w14:paraId="48E95726" w14:textId="77777777" w:rsidR="005B561C" w:rsidRPr="000F7C87" w:rsidRDefault="00000000">
      <w:pPr>
        <w:rPr>
          <w:szCs w:val="26"/>
        </w:rPr>
      </w:pPr>
      <w:r w:rsidRPr="000F7C87">
        <w:rPr>
          <w:szCs w:val="26"/>
        </w:rPr>
        <w:t xml:space="preserve">Song hành với Luật Sở hữu trí tuệ, hoạt động khai thác tài sản trí tuệ trong trường đại học còn chịu sự điều chỉnh của Luật Chuyển giao công nghệ năm 2017 (Luật số 07/2017/QH14) về các hình thức chuyển giao quyền sở hữu công nghiệp, định giá công nghệ, góp vốn bằng kết quả nghiên cứu; Luật Giáo dục số 43/2019/QH14 được sửa đổi, bổ sung bởi Luật số 123/2025/QH15; và Luật Giáo dục đại học số 125/2025/QH15 ngày 10 tháng 12 năm 2025, có hiệu lực từ ngày 01 tháng 01 năm 2026 và thay thế Luật Giáo dục đại học năm 2012. Luật Giáo dục đại học mới xác định tại điểm e khoản 3 Điều 27 rằng đăng ký bản quyền hoặc bảo hộ, khai thác và phát triển tài sản trí tuệ là một nội dung của hoạt động khoa học, công nghệ và đổi mới sáng tạo trong cơ sở giáo dục đại học; Điều 28 quy định quyền thành lập doanh nghiệp quản lý tài sản trí tuệ, quyền định giá, xác lập quyền sở hữu, khai thác, góp vốn, phân chia lợi ích từ tài sản trí tuệ và nghĩa vụ công khai kết quả hoạt động khoa học, công nghệ và đổi mới sáng tạo trên Nền tảng số quốc gia.</w:t>
      </w:r>
    </w:p>
    <w:p w14:paraId="0DE297E1" w14:textId="77777777" w:rsidR="005B561C" w:rsidRPr="000F7C87" w:rsidRDefault="00000000">
      <w:pPr>
        <w:keepNext/>
        <w:spacing w:before="200" w:after="100"/>
        <w:ind w:firstLine="0"/>
        <w:outlineLvl w:val="2"/>
        <w:rPr>
          <w:szCs w:val="26"/>
        </w:rPr>
      </w:pPr>
      <w:r w:rsidRPr="000F7C87">
        <w:rPr>
          <w:b/>
          <w:szCs w:val="26"/>
        </w:rPr>
        <w:t>1.3.2. Luật Khoa học, công nghệ và đổi mới sáng tạo năm 2025 và quy định mới về quyền sở hữu kết quả nghiên cứu</w:t>
      </w:r>
    </w:p>
    <w:p w14:paraId="48E95726" w14:textId="77777777" w:rsidR="005B561C" w:rsidRPr="000F7C87" w:rsidRDefault="00000000">
      <w:pPr>
        <w:rPr>
          <w:szCs w:val="26"/>
        </w:rPr>
      </w:pPr>
      <w:r w:rsidRPr="000F7C87">
        <w:rPr>
          <w:szCs w:val="26"/>
        </w:rPr>
        <w:t xml:space="preserve">Bước ngoặt thể chế quan trọng nhất giai đoạn hiện nay là sự ra đời của Luật Khoa học, công nghệ và đổi mới sáng tạo năm 2025 (Luật số 93/2025/QH15, có hiệu lực từ ngày 01 tháng 10 năm 2025). Đạo luật này đã tạo ra hành lang pháp lý tạo điều kiện giải quyết những nút thắt kéo dài trong quản lý tài sản trí tuệ tại các cơ sở giáo dục đại học:</w:t>
      </w:r>
    </w:p>
    <w:p w14:paraId="48E95726" w14:textId="77777777" w:rsidR="005B561C" w:rsidRPr="000F7C87" w:rsidRDefault="00000000">
      <w:pPr>
        <w:rPr>
          <w:szCs w:val="26"/>
        </w:rPr>
      </w:pPr>
      <w:r w:rsidRPr="000F7C87">
        <w:rPr>
          <w:szCs w:val="26"/>
        </w:rPr>
        <w:t xml:space="preserve">Thứ nhất, về quyền đối với kết quả nghiên cứu: khoản 2 Điều 25 Luật số 93/2025/QH15 quy định tổ chức chủ trì nhiệm vụ khoa học, công nghệ và đổi mới sáng tạo được Nhà nước tự động giao quyền quản lý, sử dụng, quyền sở hữu phần kết quả tương ứng với kinh phí từ ngân sách nhà nước, không phải thực hiện thủ tục giao quyền và không phải bồi hoàn chi phí; khoản 1 Điều 25 xác định tổ chức, cá nhân đóng góp tài sản, tài chính là chủ sở hữu kết quả tương ứng với tỷ lệ đóng góp. Điều 27 cho phép chủ sở hữu tự quyết định việc thương mại hóa, lựa chọn hình thức, giá, phương án góp vốn và phân chia lợi nhuận mà không phải thực hiện thủ tục xử lý tài sản công như giai đoạn trước. Điểm b khoản 2 Điều 37 khẳng định tổ chức ngoài công lập cũng được giao quyền sở hữu hoặc quyền sử dụng kết quả nghiên cứu từ nhiệm vụ sử dụng ngân sách nhà nước do mình thực hiện, và điểm d khoản 2 cho hưởng ưu đãi như đối với tổ chức công lập, qua đó mở ra cơ hội trực tiếp cho trường đại học tư thục. Luật Sở hữu trí tuệ dẫn chiếu cơ chế giao quyền này tại điểm c khoản 1 Điều 86 để trao quyền đăng ký sáng chế, kiểu dáng công nghiệp, thiết kế bố trí cho tổ chức được giao quyền.</w:t>
      </w:r>
    </w:p>
    <w:p w14:paraId="48E95726" w14:textId="77777777" w:rsidR="005B561C" w:rsidRPr="000F7C87" w:rsidRDefault="00000000">
      <w:pPr>
        <w:rPr>
          <w:szCs w:val="26"/>
        </w:rPr>
      </w:pPr>
      <w:r w:rsidRPr="000F7C87">
        <w:rPr>
          <w:szCs w:val="26"/>
        </w:rPr>
        <w:t xml:space="preserve">Thứ hai, về phân chia lợi nhuận từ thương mại hóa: Điều 28 phân biệt theo nguồn hình thành kết quả. Theo khoản 2, với phần lợi nhuận tương ứng kết quả không sử dụng ngân sách nhà nước, chủ sở hữu tự quyết định việc xử lý lợi nhuận, bao gồm thưởng cho tác giả. Theo khoản 3, với phần lợi nhuận tương ứng phần kết quả sử dụng ngân sách nhà nước, tổ chức chủ trì sử dụng lợi nhuận sau thuế để: thưởng cho tác giả tối thiểu 30% lợi nhuận thu được từ cho thuê, bán, chuyển nhượng, chuyển giao quyền sử dụng, tự khai thác, sử dụng kết quả, hoặc tối thiểu 30% giá trị kết quả khi góp vốn, hợp tác, liên doanh, liên kết, thành lập doanh nghiệp; thưởng cho cá nhân có đóng góp trực tiếp vào hoạt động tổ chức thương mại hóa; tái đầu tư cho hoạt động khoa học, công nghệ và đổi mới sáng tạo; và mục đích khác. Khoản 4 quy định khi kết quả sử dụng ngân sách nhà nước là sáng chế, thiết kế bố trí, kiểu dáng công nghiệp, giống cây trồng được bảo hộ, tác giả vừa hưởng khoản thưởng nêu trên vừa hưởng các quyền lợi khác theo Luật Sở hữu trí tuệ, trong đó có thù lao theo Điều 135. Khoản 5 xác định phần thưởng là mức dành chung cho các đồng tác giả; khoản 6 giao Chính phủ quy định chi tiết. Cùng với đó, điểm b khoản 2 Điều 66 cho phép quỹ phát triển khoa học và công nghệ của tổ chức chi cho đăng ký, bảo hộ, quản lý, khai thác quyền sở hữu trí tuệ.</w:t>
      </w:r>
    </w:p>
    <w:p w14:paraId="48E95726" w14:textId="77777777" w:rsidR="005B561C" w:rsidRPr="000F7C87" w:rsidRDefault="00000000">
      <w:pPr>
        <w:rPr>
          <w:szCs w:val="26"/>
        </w:rPr>
      </w:pPr>
      <w:r w:rsidRPr="000F7C87">
        <w:rPr>
          <w:szCs w:val="26"/>
        </w:rPr>
        <w:t xml:space="preserve">Về áp dụng theo thời gian, khoản 3 Điều 73 quy định nhiệm vụ khoa học và công nghệ đã được phê duyệt giao chủ trì trước ngày 01 tháng 10 năm 2025 tiếp tục thực hiện theo Luật Khoa học và công nghệ số 29/2013/QH13, Nghị quyết số 193/2025/QH15 và văn bản hướng dẫn có hiệu lực tại thời điểm phê duyệt. Khoản 7 Điều 73 quy định ngoại lệ: Điều 28 được áp dụng đối với lợi nhuận chưa phân chia từ thương mại hóa sáng chế, kiểu dáng công nghiệp, thiết kế bố trí, giống cây trồng là kết quả của nhiệm vụ được giao từ ngày 01 tháng 01 năm 2023 đến trước ngày 01 tháng 10 năm 2025 và đã được cấp văn bằng bảo hộ. Như vậy, để xác định nghĩa vụ đối với tác giả trong một trường hợp cụ thể cần trả lời đồng thời ba câu hỏi: kết quả có sử dụng ngân sách nhà nước hay không và ở phần nào; nhiệm vụ được giao vào thời điểm nào; đối tượng có phải là sáng chế, kiểu dáng công nghiệp, thiết kế bố trí đã được bảo hộ hay không.</w:t>
      </w:r>
    </w:p>
    <w:p w14:paraId="48E95726" w14:textId="77777777" w:rsidR="005B561C" w:rsidRPr="000F7C87" w:rsidRDefault="00000000">
      <w:pPr>
        <w:rPr>
          <w:szCs w:val="26"/>
        </w:rPr>
      </w:pPr>
      <w:r w:rsidRPr="000F7C87">
        <w:rPr>
          <w:szCs w:val="26"/>
        </w:rPr>
        <w:t xml:space="preserve">Thứ ba, cải cách thể chế đồng bộ và cơ sở tháo gỡ rào cản quy chế nội bộ:</w:t>
      </w:r>
    </w:p>
    <w:p w14:paraId="48E95726" w14:textId="77777777" w:rsidR="005B561C" w:rsidRPr="000F7C87" w:rsidRDefault="00000000">
      <w:pPr>
        <w:rPr>
          <w:szCs w:val="26"/>
        </w:rPr>
      </w:pPr>
      <w:r w:rsidRPr="000F7C87">
        <w:rPr>
          <w:szCs w:val="26"/>
        </w:rPr>
        <w:t xml:space="preserve">Luật số 93/2025/QH15 điều chỉnh đồng thời hai cơ chế: cơ chế thưởng cho tác giả khi thương mại hóa kết quả nghiên cứu tại Điều 28, và cơ chế thù lao cho tác giả sáng chế, kiểu dáng công nghiệp, thiết kế bố trí trong Luật Sở hữu trí tuệ thông qua khoản 7 Điều 71: điểm b sửa khoản 1 Điều 135 theo nguyên tắc thỏa thuận với mức mặc định 10% và 15%; điểm h bãi bỏ Điều 86a, Điều 133a và khoản 2 Điều 135. Sau sửa đổi, khung thù lao riêng theo nguồn kinh phí không còn nằm trong Luật Sở hữu trí tuệ, còn yêu cầu riêng đối với kết quả sử dụng ngân sách nhà nước được quy định tại Điều 28 dưới hình thức mức thưởng tối thiểu.</w:t>
      </w:r>
    </w:p>
    <w:p w14:paraId="48E95726" w14:textId="77777777" w:rsidR="005B561C" w:rsidRPr="000F7C87" w:rsidRDefault="00000000">
      <w:pPr>
        <w:rPr>
          <w:szCs w:val="26"/>
        </w:rPr>
      </w:pPr>
      <w:r w:rsidRPr="000F7C87">
        <w:rPr>
          <w:szCs w:val="26"/>
        </w:rPr>
        <w:t xml:space="preserve">Từ các quy định trên, Đề tài rút ra ba nhận định làm căn cứ cho Chương 2 và Chương 3. Một là, nguồn kinh phí vẫn quyết định cơ chế áp dụng: với phần kết quả không sử dụng ngân sách nhà nước, chủ sở hữu tự quyết định việc phân chia lợi nhuận và mức thưởng theo khoản 2 Điều 28; với phần kết quả sử dụng ngân sách nhà nước thuộc phạm vi áp dụng của Điều 28, phần thưởng cho tác giả không thấp hơn 30% lợi nhuận sau thuế, hoặc 30% giá trị kết quả khi góp vốn. Hai là, thù lao theo Điều 135 là nghĩa vụ riêng của chủ sở hữu đối với tác giả sáng chế, kiểu dáng công nghiệp, thiết kế bố trí, có cơ sở tính khác và không bị thay thế bởi khoản thưởng theo khoản 4 Điều 28; Luật không đặt trần đối với thù lao, và mức 10%, 15% chỉ áp dụng khi các bên không có thỏa thuận. Ba là, quy chế nội bộ có thể quy định mức có lợi hơn cho tác giả, nhưng không thể quy định mức thấp hơn mức tối thiểu của Luật đối với các trường hợp thuộc phạm vi bắt buộc; một trường hợp cụ thể thuộc cơ chế nào phụ thuộc vào nguồn kinh phí, thời điểm giao nhiệm vụ và loại đối tượng như đã nêu.</w:t>
      </w:r>
    </w:p>
    <w:p w14:paraId="48E95726" w14:textId="77777777" w:rsidR="005B561C" w:rsidRPr="000F7C87" w:rsidRDefault="00000000">
      <w:pPr>
        <w:rPr>
          <w:szCs w:val="26"/>
        </w:rPr>
      </w:pPr>
      <w:r w:rsidRPr="000F7C87">
        <w:rPr>
          <w:szCs w:val="26"/>
        </w:rPr>
        <w:t xml:space="preserve">Các quy chế nội bộ của Nhà trường, gồm Quy chế hoạt động khoa học công nghệ ban hành kèm Quyết định số 213/QĐ-ĐHTĐ ngày 28 tháng 12 năm 2021 và Quy chế quản trị tài sản trí tuệ ban hành kèm Quyết định số 217/QĐ-ĐHTĐ ngày 21 tháng 11 năm 2024, đều được xây dựng trước khi Luật số 93/2025/QH15 có hiệu lực. Điểm a khoản 4 Điều 36 Quyết định 213 áp dụng cho sản phẩm đề tài sử dụng ngân sách nhà nước do Trường chủ trì, đã nghiệm thu và được thương mại hóa: nguồn thu sau khi trừ các khoản chi phí cần thiết, hợp lệ được chia 40% nộp ngân sách nhà nước, 30% cho Trường và 30% khen thưởng tập thể tác giả, tối đa 100 triệu đồng một đề tài. Đối chiếu với Điều 28 và Điều 73 Luật số 93/2025/QH15, quy định này không mâu thuẫn với Luật trong mọi trường hợp, nhưng cần được rà soát ở ba điểm. Thứ nhất, mức trần có thể làm phần thưởng thấp hơn mức tối thiểu 30% khi kết quả thuộc phạm vi áp dụng Điều 28 và 30% lợi nhuận sau thuế vượt 100 triệu đồng. Thứ hai, cơ sở tính của Quy chế là nguồn thu sau chi phí, còn cơ sở tính của Luật là lợi nhuận sau thuế. Thứ ba, khoản nộp ngân sách nhà nước không thuộc các mục đích sử dụng lợi nhuận liệt kê tại khoản 3 Điều 28. Với nhiệm vụ được phê duyệt trước ngày 01 tháng 10 năm 2025 và không thuộc khoản 7 Điều 73, việc phân chia tiếp tục theo pháp luật và văn bản có hiệu lực tại thời điểm phê duyệt. Đây là căn cứ để Chương 2 xác định phạm vi áp dụng của từng quy định nội bộ và Chương 3 đề xuất hoàn thiện quy chế.</w:t>
      </w:r>
    </w:p>
    <w:p w14:paraId="0DE297E1" w14:textId="77777777" w:rsidR="005B561C" w:rsidRPr="000F7C87" w:rsidRDefault="00000000">
      <w:pPr>
        <w:keepNext/>
        <w:spacing w:before="200" w:after="100"/>
        <w:ind w:firstLine="0"/>
        <w:outlineLvl w:val="2"/>
        <w:rPr>
          <w:szCs w:val="26"/>
        </w:rPr>
      </w:pPr>
      <w:r w:rsidRPr="000F7C87">
        <w:rPr>
          <w:b/>
          <w:szCs w:val="26"/>
        </w:rPr>
        <w:t>1.3.3. Chiến lược sở hữu trí tuệ đến năm 2030 và các yêu cầu mới đối với cơ sở giáo dục đại học</w:t>
      </w:r>
    </w:p>
    <w:p w14:paraId="48E95726" w14:textId="77777777" w:rsidR="005B561C" w:rsidRPr="000F7C87" w:rsidRDefault="00000000">
      <w:pPr>
        <w:rPr>
          <w:szCs w:val="26"/>
        </w:rPr>
      </w:pPr>
      <w:r w:rsidRPr="000F7C87">
        <w:rPr>
          <w:szCs w:val="26"/>
        </w:rPr>
        <w:t xml:space="preserve">Công tác sở hữu trí tuệ đã được Đảng và Nhà nước nâng tầm thành quốc sách chiến lược gắn liền với tự chủ công nghệ quốc gia:</w:t>
      </w:r>
    </w:p>
    <w:p w14:paraId="48E95726" w14:textId="77777777" w:rsidR="005B561C" w:rsidRPr="000F7C87" w:rsidRDefault="00000000">
      <w:pPr>
        <w:rPr>
          <w:szCs w:val="26"/>
        </w:rPr>
      </w:pPr>
      <w:r w:rsidRPr="000F7C87">
        <w:rPr>
          <w:szCs w:val="26"/>
        </w:rPr>
        <w:t xml:space="preserve">- Kết luận số 51-KL/TW ngày 17 tháng 6 năm 2026 của Bộ Chính trị về đẩy mạnh công tác sở hữu trí tuệ phục vụ phát triển kinh tế - xã hội trong tình hình mới đã xác lập bước chuyển căn bản: chuyển mạnh từ tư duy quản lý hành chính sang kiến tạo hệ sinh thái đổi mới sáng tạo; quán triệt quan điểm quyền sở hữu trí tuệ là nguồn lực quan trọng của quốc gia; kiên quyết xử lý nghiêm các hành vi sao chép, đạo văn trong môi trường học thuật; đồng thời đẩy mạnh thương mại hóa, hoàn thiện cơ chế định giá và sử dụng quyền sở hữu trí tuệ như một loại tài sản có giá trị để góp vốn, huy động vốn đầu tư.</w:t>
      </w:r>
    </w:p>
    <w:p w14:paraId="48E95726" w14:textId="77777777" w:rsidR="005B561C" w:rsidRPr="000F7C87" w:rsidRDefault="00000000">
      <w:pPr>
        <w:rPr>
          <w:szCs w:val="26"/>
        </w:rPr>
      </w:pPr>
      <w:r w:rsidRPr="000F7C87">
        <w:rPr>
          <w:szCs w:val="26"/>
        </w:rPr>
        <w:t xml:space="preserve">- Quyết định số 1624/QĐ-TTg ngày 21 tháng 8 năm 2026 của Thủ tướng Chính phủ sửa đổi, bổ sung Chiến lược sở hữu trí tuệ đến năm 2030 (ban hành theo Quyết định số 1068/QĐ-TTg) đặt ra bốn nhóm yêu cầu mới đối với cơ sở giáo dục đại học, được quy định tại Mục II và Mục III Điều 1 Quyết định số 1068/QĐ-TTg đã được sửa đổi:</w:t>
      </w:r>
    </w:p>
    <w:p w14:paraId="48E95726" w14:textId="77777777" w:rsidR="005B561C" w:rsidRPr="000F7C87" w:rsidRDefault="00000000">
      <w:pPr>
        <w:rPr>
          <w:szCs w:val="26"/>
        </w:rPr>
      </w:pPr>
      <w:r w:rsidRPr="000F7C87">
        <w:rPr>
          <w:szCs w:val="26"/>
        </w:rPr>
        <w:t xml:space="preserve">1. Sử dụng các chỉ số đo lường về sở hữu trí tuệ làm căn cứ đánh giá hiệu quả hoạt động của cơ sở giáo dục đại học và xác định các đối tượng quyền sở hữu trí tuệ cần đạt được đối với kết quả nghiên cứu sử dụng ngân sách nhà nước, theo điểm b khoản 4 Mục III.</w:t>
      </w:r>
    </w:p>
    <w:p w14:paraId="48E95726" w14:textId="77777777" w:rsidR="005B561C" w:rsidRPr="000F7C87" w:rsidRDefault="00000000">
      <w:pPr>
        <w:rPr>
          <w:szCs w:val="26"/>
        </w:rPr>
      </w:pPr>
      <w:r w:rsidRPr="000F7C87">
        <w:rPr>
          <w:szCs w:val="26"/>
        </w:rPr>
        <w:t xml:space="preserve">2. Các cơ sở giáo dục khối kỹ thuật, công nghệ tiến hành thủ tục đăng ký bảo hộ sở hữu công nghiệp đồng thời với việc công bố bài báo khoa học về các kết quả nghiên cứu có tính ứng dụng cao, theo điểm b khoản 4 Mục III.</w:t>
      </w:r>
    </w:p>
    <w:p w14:paraId="48E95726" w14:textId="77777777" w:rsidR="005B561C" w:rsidRPr="000F7C87" w:rsidRDefault="00000000">
      <w:pPr>
        <w:rPr>
          <w:szCs w:val="26"/>
        </w:rPr>
      </w:pPr>
      <w:r w:rsidRPr="000F7C87">
        <w:rPr>
          <w:szCs w:val="26"/>
        </w:rPr>
        <w:t xml:space="preserve">3. Thí điểm hỗ trợ xác định giá trị của ít nhất 100 quyền sở hữu trí tuệ của viện nghiên cứu, cơ sở giáo dục đại học, doanh nghiệp khởi nghiệp sáng tạo, theo điểm đ khoản 5 Mục II; phát triển các trung tâm tư vấn, hỗ trợ định giá, khai thác thương mại quyền sở hữu trí tuệ trong cơ sở giáo dục đại học, theo điểm a khoản 6 Mục III.</w:t>
      </w:r>
    </w:p>
    <w:p w14:paraId="48E95726" w14:textId="77777777" w:rsidR="005B561C" w:rsidRPr="000F7C87" w:rsidRDefault="00000000">
      <w:pPr>
        <w:rPr>
          <w:szCs w:val="26"/>
        </w:rPr>
      </w:pPr>
      <w:r w:rsidRPr="000F7C87">
        <w:rPr>
          <w:szCs w:val="26"/>
        </w:rPr>
        <w:t xml:space="preserve">4. Xây dựng chương trình giáo dục, đào tạo về sở hữu trí tuệ và nghiên cứu đưa sở hữu trí tuệ, kỹ năng khai thác thương mại quyền sở hữu trí tuệ thành nội dung học bắt buộc tại cơ sở giáo dục đại học, theo điểm b khoản 8 Mục III.</w:t>
      </w:r>
    </w:p>
    <w:p w14:paraId="48E95726" w14:textId="77777777" w:rsidR="005B561C" w:rsidRPr="000F7C87" w:rsidRDefault="00000000">
      <w:pPr>
        <w:rPr>
          <w:szCs w:val="26"/>
        </w:rPr>
      </w:pPr>
      <w:r w:rsidRPr="000F7C87">
        <w:rPr>
          <w:szCs w:val="26"/>
        </w:rPr>
        <w:t xml:space="preserve">- Chỉ thị số 02/CT-TTg ngày 30 tháng 01 năm 2026 của Thủ tướng Chính phủ về tăng cường thực thi quyền sở hữu trí tuệ đặt ra yêu cầu nâng cao hiệu lực thực thi với phương châm sáu rõ: rõ người, rõ việc, rõ thời gian, rõ trách nhiệm, rõ sản phẩm, rõ thẩm quyền; bảo đảm môi trường học thuật nghiêm túc, tôn trọng bản quyền.</w:t>
      </w:r>
    </w:p>
    <w:p w14:paraId="0DE297E1" w14:textId="77777777" w:rsidR="005B561C" w:rsidRPr="000F7C87" w:rsidRDefault="00000000">
      <w:pPr>
        <w:keepNext/>
        <w:spacing w:before="200" w:after="100"/>
        <w:ind w:firstLine="0"/>
        <w:outlineLvl w:val="2"/>
        <w:rPr>
          <w:szCs w:val="26"/>
        </w:rPr>
      </w:pPr>
      <w:r w:rsidRPr="000F7C87">
        <w:rPr>
          <w:b/>
          <w:szCs w:val="26"/>
        </w:rPr>
        <w:t>1.3.4. Yêu cầu đặt ra đối với việc xây dựng và hoàn thiện quy chế nội bộ của nhà trường</w:t>
      </w:r>
    </w:p>
    <w:p w14:paraId="48E95726" w14:textId="77777777" w:rsidR="005B561C" w:rsidRPr="000F7C87" w:rsidRDefault="00000000">
      <w:pPr>
        <w:rPr>
          <w:szCs w:val="26"/>
        </w:rPr>
      </w:pPr>
      <w:r w:rsidRPr="000F7C87">
        <w:rPr>
          <w:szCs w:val="26"/>
        </w:rPr>
        <w:t xml:space="preserve">Để các quy định pháp luật của Nhà nước đi vào đời sống học thuật, mỗi cơ sở giáo dục đại học bắt buộc phải ban hành và vận hành Quy chế quản lý hoạt động sở hữu trí tuệ nội bộ. Theo khuyến nghị của Cục Sở hữu trí tuệ và Tổ chức Sở hữu trí tuệ thế giới, quy chế nội bộ của nhà trường giữ vai trò là luật riêng điều tiết toàn bộ các mối quan hệ sở hữu trí tuệ phát sinh trong khuôn viên đại học, bao gồm:</w:t>
      </w:r>
    </w:p>
    <w:p w14:paraId="48E95726" w14:textId="77777777" w:rsidR="005B561C" w:rsidRPr="000F7C87" w:rsidRDefault="00000000">
      <w:pPr>
        <w:rPr>
          <w:szCs w:val="26"/>
        </w:rPr>
      </w:pPr>
      <w:r w:rsidRPr="000F7C87">
        <w:rPr>
          <w:szCs w:val="26"/>
        </w:rPr>
        <w:t xml:space="preserve">1. Phân định rõ ràng quyền sở hữu đối với các sản phẩm hình thành từ các nguồn kinh phí khác nhau: nhiệm vụ do trường giao và cấp kinh phí, đề tài sử dụng cơ sở vật chất phòng thí nghiệm của trường, đồ án hoặc khóa luận của người học, và các chương trình hợp tác nghiên cứu phát triển theo hợp đồng đặt hàng với doanh nghiệp.</w:t>
      </w:r>
    </w:p>
    <w:p w14:paraId="48E95726" w14:textId="77777777" w:rsidR="005B561C" w:rsidRPr="000F7C87" w:rsidRDefault="00000000">
      <w:pPr>
        <w:rPr>
          <w:szCs w:val="26"/>
        </w:rPr>
      </w:pPr>
      <w:r w:rsidRPr="000F7C87">
        <w:rPr>
          <w:szCs w:val="26"/>
        </w:rPr>
        <w:t xml:space="preserve">2. Quy định quy trình thủ tục nội bộ về khai báo phát minh, thẩm định tính mới và trình tự phê duyệt nộp đơn đăng ký bảo hộ độc quyền trước khi công bố ra công chúng.</w:t>
      </w:r>
    </w:p>
    <w:p w14:paraId="48E95726" w14:textId="77777777" w:rsidR="005B561C" w:rsidRPr="000F7C87" w:rsidRDefault="00000000">
      <w:pPr>
        <w:rPr>
          <w:szCs w:val="26"/>
        </w:rPr>
      </w:pPr>
      <w:r w:rsidRPr="000F7C87">
        <w:rPr>
          <w:szCs w:val="26"/>
        </w:rPr>
        <w:t xml:space="preserve">3. Xác định cơ chế phân chia lợi ích theo từng nguồn hình thành tài sản và từng loại đối tượng, phân biệt thưởng, thù lao, nhuận bút với phần chia cho nhóm nghiên cứu, đơn vị quản lý trực tiếp và quỹ phát triển khoa học công nghệ của nhà trường, phù hợp với luật mới.</w:t>
      </w:r>
    </w:p>
    <w:p w14:paraId="48E95726" w14:textId="77777777" w:rsidR="005B561C" w:rsidRPr="000F7C87" w:rsidRDefault="00000000">
      <w:pPr>
        <w:rPr>
          <w:szCs w:val="26"/>
        </w:rPr>
      </w:pPr>
      <w:r w:rsidRPr="000F7C87">
        <w:rPr>
          <w:szCs w:val="26"/>
        </w:rPr>
        <w:t xml:space="preserve">4. Quy định cơ chế thành lập, chức năng nhiệm vụ của bộ máy chuyên trách chuyển giao công nghệ làm đầu mối quản trị danh mục tài sản trí tuệ và hỗ trợ đăng ký, thương mại hóa.</w:t>
      </w:r>
    </w:p>
    <w:p w14:paraId="6067EC56" w14:textId="77777777" w:rsidR="005B561C" w:rsidRPr="000F7C87" w:rsidRDefault="00000000">
      <w:pPr>
        <w:keepNext/>
        <w:spacing w:before="280" w:after="160"/>
        <w:ind w:firstLine="0"/>
        <w:outlineLvl w:val="1"/>
        <w:rPr>
          <w:szCs w:val="26"/>
        </w:rPr>
      </w:pPr>
      <w:r w:rsidRPr="000F7C87">
        <w:rPr>
          <w:b/>
          <w:szCs w:val="26"/>
        </w:rPr>
        <w:t>1.4. Nội dung, tiêu chí đánh giá và các yếu tố ảnh hưởng đến hiệu quả quản lý quyền sở hữu trí tuệ</w:t>
      </w:r>
    </w:p>
    <w:p w14:paraId="48E95726" w14:textId="77777777" w:rsidR="005B561C" w:rsidRPr="000F7C87" w:rsidRDefault="00000000">
      <w:pPr>
        <w:rPr>
          <w:szCs w:val="26"/>
        </w:rPr>
      </w:pPr>
      <w:r w:rsidRPr="000F7C87">
        <w:rPr>
          <w:szCs w:val="26"/>
        </w:rPr>
        <w:t xml:space="preserve">Đánh giá hiệu quả công tác quản lý quyền sở hữu trí tuệ trong các cơ sở giáo dục đại học đòi hỏi việc xem xét toàn diện qua ba lớp cấu trúc logic: Lớp 1 là các chức năng và chu trình quản lý; Lớp 2 là hệ thống tiêu chí đo lường hiệu quả theo chuỗi; và Lớp 3 là các yếu tố ảnh hưởng quyết định đến hiệu quả vận hành.</w:t>
      </w:r>
    </w:p>
    <w:p w14:paraId="0DE297E1" w14:textId="77777777" w:rsidR="005B561C" w:rsidRPr="000F7C87" w:rsidRDefault="00000000">
      <w:pPr>
        <w:keepNext/>
        <w:spacing w:before="200" w:after="100"/>
        <w:ind w:firstLine="0"/>
        <w:outlineLvl w:val="2"/>
        <w:rPr>
          <w:szCs w:val="26"/>
        </w:rPr>
      </w:pPr>
      <w:r w:rsidRPr="000F7C87">
        <w:rPr>
          <w:b/>
          <w:szCs w:val="26"/>
        </w:rPr>
        <w:t>1.4.1. Bốn chức năng quản lý và chu trình quản lý quyền sở hữu trí tuệ trong cơ sở giáo dục đại học</w:t>
      </w:r>
    </w:p>
    <w:p w14:paraId="48E95726" w14:textId="77777777" w:rsidR="005B561C" w:rsidRPr="000F7C87" w:rsidRDefault="00000000">
      <w:pPr>
        <w:rPr>
          <w:szCs w:val="26"/>
        </w:rPr>
      </w:pPr>
      <w:r w:rsidRPr="000F7C87">
        <w:rPr>
          <w:szCs w:val="26"/>
          <w:i/>
        </w:rPr>
        <w:t xml:space="preserve">Thứ nhất, bốn chức năng quản lý quyền sở hữu trí tuệ trong trường đại học:</w:t>
      </w:r>
    </w:p>
    <w:p w14:paraId="48E95726" w14:textId="77777777" w:rsidR="005B561C" w:rsidRPr="000F7C87" w:rsidRDefault="00000000">
      <w:pPr>
        <w:rPr>
          <w:szCs w:val="26"/>
        </w:rPr>
      </w:pPr>
      <w:r w:rsidRPr="000F7C87">
        <w:rPr>
          <w:szCs w:val="26"/>
        </w:rPr>
        <w:t xml:space="preserve">Dưới góc độ khoa học quản lý, quản trị sở hữu trí tuệ đại học được thực thi qua bốn chức năng quản lý cơ bản:</w:t>
      </w:r>
    </w:p>
    <w:p w14:paraId="48E95726" w14:textId="77777777" w:rsidR="005B561C" w:rsidRPr="000F7C87" w:rsidRDefault="00000000">
      <w:pPr>
        <w:rPr>
          <w:szCs w:val="26"/>
        </w:rPr>
      </w:pPr>
      <w:r w:rsidRPr="000F7C87">
        <w:rPr>
          <w:szCs w:val="26"/>
        </w:rPr>
        <w:t xml:space="preserve">1. Hoạch định: Xây dựng chiến lược sở hữu trí tuệ gắn liền với định hướng phát triển của nhà trường; xác định các lĩnh vực nghiên cứu mũi nhọn có khả năng tạo ra tài sản trí tuệ; ban hành và liên tục cập nhật hệ thống quy chế, quy định nội bộ.</w:t>
      </w:r>
    </w:p>
    <w:p w14:paraId="48E95726" w14:textId="77777777" w:rsidR="005B561C" w:rsidRPr="000F7C87" w:rsidRDefault="00000000">
      <w:pPr>
        <w:rPr>
          <w:szCs w:val="26"/>
        </w:rPr>
      </w:pPr>
      <w:r w:rsidRPr="000F7C87">
        <w:rPr>
          <w:szCs w:val="26"/>
        </w:rPr>
        <w:t xml:space="preserve">2. Tổ chức: Thiết lập mô hình bộ máy quản lý chuyên trách hoặc bán chuyên trách; phân định rõ thẩm quyền và trách nhiệm giữa phòng chức năng quản lý khoa học, các khoa chuyên môn, viện nghiên cứu và tác giả; xây dựng mạng lưới đầu mối cộng tác viên sở hữu trí tuệ tại cơ sở.</w:t>
      </w:r>
    </w:p>
    <w:p w14:paraId="48E95726" w14:textId="77777777" w:rsidR="005B561C" w:rsidRPr="000F7C87" w:rsidRDefault="00000000">
      <w:pPr>
        <w:rPr>
          <w:szCs w:val="26"/>
        </w:rPr>
      </w:pPr>
      <w:r w:rsidRPr="000F7C87">
        <w:rPr>
          <w:szCs w:val="26"/>
        </w:rPr>
        <w:t xml:space="preserve">3. Thực hiện: Tổ chức vận hành các quy trình nghiệp vụ tiếp nhận đề xuất, thẩm định tính mới, hỗ trợ nộp đơn đăng ký, tổ chức đàm phán hợp đồng chuyển giao công nghệ và chi trả thưởng, thù lao, nhuận bút cho tác giả.</w:t>
      </w:r>
    </w:p>
    <w:p w14:paraId="48E95726" w14:textId="77777777" w:rsidR="005B561C" w:rsidRPr="000F7C87" w:rsidRDefault="00000000">
      <w:pPr>
        <w:rPr>
          <w:szCs w:val="26"/>
        </w:rPr>
      </w:pPr>
      <w:r w:rsidRPr="000F7C87">
        <w:rPr>
          <w:szCs w:val="26"/>
        </w:rPr>
        <w:t xml:space="preserve">4. Kiểm tra và giám sát: Theo dõi tiến độ xử lý hồ sơ đơn đăng ký; kiểm tra việc thực thi liêm chính học thuật và phòng chống đạo văn; định kỳ đánh giá hiệu quả khai thác tài sản trí tuệ và điều chỉnh chính sách kịp thời.</w:t>
      </w:r>
    </w:p>
    <w:p w14:paraId="48E95726" w14:textId="77777777" w:rsidR="005B561C" w:rsidRPr="000F7C87" w:rsidRDefault="00000000">
      <w:pPr>
        <w:rPr>
          <w:szCs w:val="26"/>
        </w:rPr>
      </w:pPr>
      <w:r w:rsidRPr="000F7C87">
        <w:rPr>
          <w:szCs w:val="26"/>
          <w:i/>
        </w:rPr>
        <w:t xml:space="preserve">Thứ hai, chu trình quản lý quyền sở hữu trí tuệ khép kín bốn giai đoạn:</w:t>
      </w:r>
    </w:p>
    <w:p w14:paraId="48E95726" w14:textId="77777777" w:rsidR="005B561C" w:rsidRPr="000F7C87" w:rsidRDefault="00000000">
      <w:pPr>
        <w:rPr>
          <w:szCs w:val="26"/>
        </w:rPr>
      </w:pPr>
      <w:r w:rsidRPr="000F7C87">
        <w:rPr>
          <w:szCs w:val="26"/>
        </w:rPr>
        <w:t xml:space="preserve">Gắn với dòng đời của tài sản trí tuệ trong trường đại học, chu trình quản lý vận hành qua bốn giai đoạn kế tiếp nhau, được tóm tắt tại Hình 1.1. Hoạt động bảo vệ quyền đồng thời diễn ra xuyên suốt cả bốn giai đoạn như đã phân tích tại Mục 1.1.3.</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1.1. Chu trình bốn giai đoạn quản lý quyền sở hữu trí tuệ trong trường đại học</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960000"/>
            <wp:docPr id="1" name="Picture 1"/>
            <wp:cNvGraphicFramePr>
              <a:graphicFrameLocks noChangeAspect="1"/>
            </wp:cNvGraphicFramePr>
            <a:graphic>
              <a:graphicData uri="http://schemas.openxmlformats.org/drawingml/2006/picture">
                <pic:pic>
                  <pic:nvPicPr>
                    <pic:cNvPr id="0" name="chu_trinh.png"/>
                    <pic:cNvPicPr/>
                  </pic:nvPicPr>
                  <pic:blipFill>
                    <a:blip r:embed="rId6"/>
                    <a:stretch>
                      <a:fillRect/>
                    </a:stretch>
                  </pic:blipFill>
                  <pic:spPr>
                    <a:xfrm>
                      <a:off x="0" y="0"/>
                      <a:ext cx="5580000" cy="3960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xây dựng trên cơ sở Bradley et al., 2013 và Tổ chức Sở hữu trí tuệ thế giới, 2020.</w:t>
      </w:r>
    </w:p>
    <w:p w14:paraId="0DE297E1" w14:textId="77777777" w:rsidR="005B561C" w:rsidRPr="000F7C87" w:rsidRDefault="00000000">
      <w:pPr>
        <w:keepNext/>
        <w:spacing w:before="200" w:after="100"/>
        <w:ind w:firstLine="0"/>
        <w:outlineLvl w:val="2"/>
        <w:rPr>
          <w:szCs w:val="26"/>
        </w:rPr>
      </w:pPr>
      <w:r w:rsidRPr="000F7C87">
        <w:rPr>
          <w:b/>
          <w:szCs w:val="26"/>
        </w:rPr>
        <w:t>1.4.2. Tiêu chí đánh giá hiệu quả theo chuỗi: đầu vào, quá trình, đầu ra và kết quả</w:t>
      </w:r>
    </w:p>
    <w:p w14:paraId="48E95726" w14:textId="77777777" w:rsidR="005B561C" w:rsidRPr="000F7C87" w:rsidRDefault="00000000">
      <w:pPr>
        <w:rPr>
          <w:szCs w:val="26"/>
        </w:rPr>
      </w:pPr>
      <w:r w:rsidRPr="000F7C87">
        <w:rPr>
          <w:szCs w:val="26"/>
        </w:rPr>
        <w:t xml:space="preserve">Hiệu quả quản lý quyền sở hữu trí tuệ được lượng hóa và đánh giá khách quan thông qua chuỗi logic bốn mắt xích: đầu vào, quá trình, đầu ra và kết quả. Mười sáu tiêu chí thuộc bốn nhóm được trình bày tại Bảng 1.1; đây cũng là bộ tiêu chí được dùng để đánh giá khả năng đo lường của hệ thống dữ liệu tại Chương 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1.1. Bộ tiêu chí đánh giá hiệu quả quản lý quyền sở hữu trí tuệ theo chuỗi</w:t>
      </w:r>
    </w:p>
    <w:tbl>
      <w:tblPr>
        <w:tblStyle w:val="TableGrid"/>
        <w:tblW w:w="0" w:type="auto"/>
        <w:jc w:val="center"/>
        <w:tblLook w:val="04A0" w:firstRow="1" w:lastRow="0" w:firstColumn="1" w:lastColumn="0" w:noHBand="0" w:noVBand="1"/>
      </w:tblPr>
      <w:tblGrid>
        <w:gridCol w:w="1572"/>
        <w:gridCol w:w="7497"/>
      </w:tblGrid>
      <w:tr>
        <w:trPr>
          <w:tblHeader/>
          <w:cantSplit/>
        </w:trPr>
        <w:tc>
          <w:tcPr>
            <w:tcW w:w="1572" w:type="dxa"/>
            <w:shd w:val="clear" w:color="auto" w:fill="DCE8F7"/>
            <w:vAlign w:val="center"/>
          </w:tcPr>
          <w:p>
            <w:pPr>
              <w:spacing w:before="20" w:after="20" w:line="252" w:lineRule="auto"/>
              <w:ind w:firstLine="0"/>
              <w:jc w:val="center"/>
            </w:pPr>
            <w:r>
              <w:rPr>
                <w:b/>
                <w:sz w:val="24"/>
              </w:rPr>
              <w:t xml:space="preserve">Nhóm</w:t>
            </w:r>
          </w:p>
        </w:tc>
        <w:tc>
          <w:tcPr>
            <w:tcW w:w="7497" w:type="dxa"/>
            <w:shd w:val="clear" w:color="auto" w:fill="DCE8F7"/>
            <w:vAlign w:val="center"/>
          </w:tcPr>
          <w:p>
            <w:pPr>
              <w:spacing w:before="20" w:after="20" w:line="252" w:lineRule="auto"/>
              <w:ind w:firstLine="0"/>
              <w:jc w:val="center"/>
            </w:pPr>
            <w:r>
              <w:rPr>
                <w:b/>
                <w:sz w:val="24"/>
              </w:rPr>
              <w:t xml:space="preserve">Tiêu chí</w:t>
            </w:r>
          </w:p>
        </w:tc>
      </w:tr>
      <w:tr>
        <w:trPr/>
        <w:tc>
          <w:tcPr>
            <w:tcW w:w="1572" w:type="dxa"/>
            <w:vAlign w:val="center"/>
          </w:tcPr>
          <w:p>
            <w:pPr>
              <w:spacing w:before="20" w:after="20" w:line="252" w:lineRule="auto"/>
              <w:ind w:firstLine="0"/>
              <w:jc w:val="center"/>
            </w:pPr>
            <w:r>
              <w:rPr>
                <w:sz w:val="24"/>
              </w:rPr>
              <w:t xml:space="preserve">Đầu vào</w:t>
            </w:r>
          </w:p>
        </w:tc>
        <w:tc>
          <w:tcPr>
            <w:tcW w:w="7497" w:type="dxa"/>
            <w:vAlign w:val="center"/>
          </w:tcPr>
          <w:p>
            <w:pPr>
              <w:spacing w:before="20" w:after="20" w:line="252" w:lineRule="auto"/>
              <w:ind w:firstLine="0"/>
              <w:jc w:val="left"/>
            </w:pPr>
            <w:r>
              <w:rPr>
                <w:sz w:val="24"/>
              </w:rPr>
              <w:t xml:space="preserve">1. Kinh phí nộp đơn, duy trì văn bằng, khen thưởng sáng tạo</w:t>
            </w:r>
          </w:p>
          <w:p>
            <w:pPr>
              <w:spacing w:before="20" w:after="20" w:line="252" w:lineRule="auto"/>
              <w:ind w:firstLine="0"/>
              <w:jc w:val="left"/>
            </w:pPr>
            <w:r>
              <w:rPr>
                <w:sz w:val="24"/>
              </w:rPr>
              <w:t xml:space="preserve">2. Số lượng và trình độ nhân lực quản lý sở hữu trí tuệ, chuyển giao công nghệ</w:t>
            </w:r>
          </w:p>
          <w:p>
            <w:pPr>
              <w:spacing w:before="20" w:after="20" w:line="252" w:lineRule="auto"/>
              <w:ind w:firstLine="0"/>
              <w:jc w:val="left"/>
            </w:pPr>
            <w:r>
              <w:rPr>
                <w:sz w:val="24"/>
              </w:rPr>
              <w:t xml:space="preserve">3. Cơ sở dữ liệu tra cứu sáng chế, hạ tầng kỹ thuật, phần mềm kiểm tra trùng lặp</w:t>
            </w:r>
          </w:p>
        </w:tc>
      </w:tr>
      <w:tr>
        <w:trPr/>
        <w:tc>
          <w:tcPr>
            <w:tcW w:w="1572" w:type="dxa"/>
            <w:vAlign w:val="center"/>
          </w:tcPr>
          <w:p>
            <w:pPr>
              <w:spacing w:before="20" w:after="20" w:line="252" w:lineRule="auto"/>
              <w:ind w:firstLine="0"/>
              <w:jc w:val="center"/>
            </w:pPr>
            <w:r>
              <w:rPr>
                <w:sz w:val="24"/>
              </w:rPr>
              <w:t xml:space="preserve">Quá trình</w:t>
            </w:r>
          </w:p>
        </w:tc>
        <w:tc>
          <w:tcPr>
            <w:tcW w:w="7497" w:type="dxa"/>
            <w:vAlign w:val="center"/>
          </w:tcPr>
          <w:p>
            <w:pPr>
              <w:spacing w:before="20" w:after="20" w:line="252" w:lineRule="auto"/>
              <w:ind w:firstLine="0"/>
              <w:jc w:val="left"/>
            </w:pPr>
            <w:r>
              <w:rPr>
                <w:sz w:val="24"/>
              </w:rPr>
              <w:t xml:space="preserve">4. Mức độ tương thích của quy chế nội bộ với pháp luật hiện hành</w:t>
            </w:r>
          </w:p>
          <w:p>
            <w:pPr>
              <w:spacing w:before="20" w:after="20" w:line="252" w:lineRule="auto"/>
              <w:ind w:firstLine="0"/>
              <w:jc w:val="left"/>
            </w:pPr>
            <w:r>
              <w:rPr>
                <w:sz w:val="24"/>
              </w:rPr>
              <w:t xml:space="preserve">5. Thời gian xử lý trung bình một hồ sơ đề xuất bảo hộ</w:t>
            </w:r>
          </w:p>
          <w:p>
            <w:pPr>
              <w:spacing w:before="20" w:after="20" w:line="252" w:lineRule="auto"/>
              <w:ind w:firstLine="0"/>
              <w:jc w:val="left"/>
            </w:pPr>
            <w:r>
              <w:rPr>
                <w:sz w:val="24"/>
              </w:rPr>
              <w:t xml:space="preserve">6. Mức độ chuẩn hóa biểu mẫu và quy trình phối hợp</w:t>
            </w:r>
          </w:p>
          <w:p>
            <w:pPr>
              <w:spacing w:before="20" w:after="20" w:line="252" w:lineRule="auto"/>
              <w:ind w:firstLine="0"/>
              <w:jc w:val="left"/>
            </w:pPr>
            <w:r>
              <w:rPr>
                <w:sz w:val="24"/>
              </w:rPr>
              <w:t xml:space="preserve">7. Số lớp tập huấn sở hữu trí tuệ cho giảng viên, sinh viên</w:t>
            </w:r>
          </w:p>
        </w:tc>
      </w:tr>
      <w:tr>
        <w:trPr/>
        <w:tc>
          <w:tcPr>
            <w:tcW w:w="1572" w:type="dxa"/>
            <w:vAlign w:val="center"/>
          </w:tcPr>
          <w:p>
            <w:pPr>
              <w:spacing w:before="20" w:after="20" w:line="252" w:lineRule="auto"/>
              <w:ind w:firstLine="0"/>
              <w:jc w:val="center"/>
            </w:pPr>
            <w:r>
              <w:rPr>
                <w:sz w:val="24"/>
              </w:rPr>
              <w:t xml:space="preserve">Đầu ra</w:t>
            </w:r>
          </w:p>
        </w:tc>
        <w:tc>
          <w:tcPr>
            <w:tcW w:w="7497" w:type="dxa"/>
            <w:vAlign w:val="center"/>
          </w:tcPr>
          <w:p>
            <w:pPr>
              <w:spacing w:before="20" w:after="20" w:line="252" w:lineRule="auto"/>
              <w:ind w:firstLine="0"/>
              <w:jc w:val="left"/>
            </w:pPr>
            <w:r>
              <w:rPr>
                <w:sz w:val="24"/>
              </w:rPr>
              <w:t xml:space="preserve">8. Số đơn đăng ký sở hữu công nghiệp</w:t>
            </w:r>
          </w:p>
          <w:p>
            <w:pPr>
              <w:spacing w:before="20" w:after="20" w:line="252" w:lineRule="auto"/>
              <w:ind w:firstLine="0"/>
              <w:jc w:val="left"/>
            </w:pPr>
            <w:r>
              <w:rPr>
                <w:sz w:val="24"/>
              </w:rPr>
              <w:t xml:space="preserve">9. Số văn bằng bảo hộ được cấp</w:t>
            </w:r>
          </w:p>
          <w:p>
            <w:pPr>
              <w:spacing w:before="20" w:after="20" w:line="252" w:lineRule="auto"/>
              <w:ind w:firstLine="0"/>
              <w:jc w:val="left"/>
            </w:pPr>
            <w:r>
              <w:rPr>
                <w:sz w:val="24"/>
              </w:rPr>
              <w:t xml:space="preserve">10. Số giấy chứng nhận đăng ký quyền tác giả cho giáo trình, bài giảng, phần mềm</w:t>
            </w:r>
          </w:p>
          <w:p>
            <w:pPr>
              <w:spacing w:before="20" w:after="20" w:line="252" w:lineRule="auto"/>
              <w:ind w:firstLine="0"/>
              <w:jc w:val="left"/>
            </w:pPr>
            <w:r>
              <w:rPr>
                <w:sz w:val="24"/>
              </w:rPr>
              <w:t xml:space="preserve">11. Số công trình có sản phẩm chuyển hóa được thành tài sản trí tuệ có khả năng bảo hộ</w:t>
            </w:r>
          </w:p>
        </w:tc>
      </w:tr>
      <w:tr>
        <w:trPr/>
        <w:tc>
          <w:tcPr>
            <w:tcW w:w="1572" w:type="dxa"/>
            <w:vAlign w:val="center"/>
          </w:tcPr>
          <w:p>
            <w:pPr>
              <w:spacing w:before="20" w:after="20" w:line="252" w:lineRule="auto"/>
              <w:ind w:firstLine="0"/>
              <w:jc w:val="center"/>
            </w:pPr>
            <w:r>
              <w:rPr>
                <w:sz w:val="24"/>
              </w:rPr>
              <w:t xml:space="preserve">Kết quả</w:t>
            </w:r>
          </w:p>
        </w:tc>
        <w:tc>
          <w:tcPr>
            <w:tcW w:w="7497" w:type="dxa"/>
            <w:vAlign w:val="center"/>
          </w:tcPr>
          <w:p>
            <w:pPr>
              <w:spacing w:before="20" w:after="20" w:line="252" w:lineRule="auto"/>
              <w:ind w:firstLine="0"/>
              <w:jc w:val="left"/>
            </w:pPr>
            <w:r>
              <w:rPr>
                <w:sz w:val="24"/>
              </w:rPr>
              <w:t xml:space="preserve">12. Số hợp đồng chuyển giao, cấp phép sử dụng tài sản trí tuệ</w:t>
            </w:r>
          </w:p>
          <w:p>
            <w:pPr>
              <w:spacing w:before="20" w:after="20" w:line="252" w:lineRule="auto"/>
              <w:ind w:firstLine="0"/>
              <w:jc w:val="left"/>
            </w:pPr>
            <w:r>
              <w:rPr>
                <w:sz w:val="24"/>
              </w:rPr>
              <w:t xml:space="preserve">13. Nguồn thu từ khai thác tài sản trí tuệ</w:t>
            </w:r>
          </w:p>
          <w:p>
            <w:pPr>
              <w:spacing w:before="20" w:after="20" w:line="252" w:lineRule="auto"/>
              <w:ind w:firstLine="0"/>
              <w:jc w:val="left"/>
            </w:pPr>
            <w:r>
              <w:rPr>
                <w:sz w:val="24"/>
              </w:rPr>
              <w:t xml:space="preserve">14. Tỷ trọng nguồn thu khoa học công nghệ trên tổng thu, hướng đến mức 5% theo Chuẩn cơ sở giáo dục đại học</w:t>
            </w:r>
          </w:p>
          <w:p>
            <w:pPr>
              <w:spacing w:before="20" w:after="20" w:line="252" w:lineRule="auto"/>
              <w:ind w:firstLine="0"/>
              <w:jc w:val="left"/>
            </w:pPr>
            <w:r>
              <w:rPr>
                <w:sz w:val="24"/>
              </w:rPr>
              <w:t xml:space="preserve">15. Tác động đến kiểm định chất lượng và thứ hạng xếp hạng</w:t>
            </w:r>
          </w:p>
          <w:p>
            <w:pPr>
              <w:spacing w:before="20" w:after="20" w:line="252" w:lineRule="auto"/>
              <w:ind w:firstLine="0"/>
              <w:jc w:val="left"/>
            </w:pPr>
            <w:r>
              <w:rPr>
                <w:sz w:val="24"/>
              </w:rPr>
              <w:t xml:space="preserve">16. Mức độ hài lòng và động lực đổi mới sáng tạo của giảng viên</w:t>
            </w:r>
          </w:p>
        </w:tc>
      </w:tr>
    </w:tbl>
    <w:p w14:paraId="645FDCAF" w14:textId="77777777" w:rsidR="005B561C" w:rsidRPr="000F7C87" w:rsidRDefault="00000000">
      <w:pPr>
        <w:spacing w:after="160"/>
        <w:ind w:firstLine="0"/>
        <w:rPr>
          <w:szCs w:val="26"/>
        </w:rPr>
      </w:pPr>
      <w:r w:rsidRPr="000F7C87">
        <w:rPr>
          <w:i/>
          <w:szCs w:val="26"/>
        </w:rPr>
        <w:t>Nguồn: Nhóm nghiên cứu xây dựng trên cơ sở tiếp cận chuỗi đầu vào, quá trình, đầu ra, kết quả.</w:t>
      </w:r>
    </w:p>
    <w:p w14:paraId="48E95726" w14:textId="77777777" w:rsidR="005B561C" w:rsidRPr="000F7C87" w:rsidRDefault="00000000">
      <w:pPr>
        <w:rPr>
          <w:szCs w:val="26"/>
        </w:rPr>
      </w:pPr>
      <w:r w:rsidRPr="000F7C87">
        <w:rPr>
          <w:szCs w:val="26"/>
        </w:rPr>
        <w:t xml:space="preserve">Chuỗi bốn nhóm tiêu chí cho phép phân biệt giữa việc nhà trường đã đầu tư và tổ chức bao nhiêu với việc các nỗ lực đó đã tạo ra bao nhiêu quyền được xác lập và mang lại giá trị gì. Một hệ thống quản lý chỉ đo được đầu vào và đầu ra mà không đo được kết quả sẽ không đánh giá được hiệu quả thực chất của hoạt động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1.4.3. Các yếu tố ảnh hưởng đến hiệu quả quản lý quyền sở hữu trí tuệ trong trường đại học</w:t>
      </w:r>
    </w:p>
    <w:p w14:paraId="48E95726" w14:textId="77777777" w:rsidR="005B561C" w:rsidRPr="000F7C87" w:rsidRDefault="00000000">
      <w:pPr>
        <w:rPr>
          <w:szCs w:val="26"/>
        </w:rPr>
      </w:pPr>
      <w:r w:rsidRPr="000F7C87">
        <w:rPr>
          <w:szCs w:val="26"/>
        </w:rPr>
        <w:t xml:space="preserve">Hiệu quả quản lý quyền sở hữu trí tuệ chịu sự tác động đồng thời của sáu nhóm yếu tố cấu thành:</w:t>
      </w:r>
    </w:p>
    <w:p w14:paraId="48E95726" w14:textId="77777777" w:rsidR="005B561C" w:rsidRPr="000F7C87" w:rsidRDefault="00000000">
      <w:pPr>
        <w:rPr>
          <w:szCs w:val="26"/>
        </w:rPr>
      </w:pPr>
      <w:r w:rsidRPr="000F7C87">
        <w:rPr>
          <w:szCs w:val="26"/>
        </w:rPr>
        <w:t xml:space="preserve">1. </w:t>
      </w:r>
      <w:r w:rsidRPr="000F7C87">
        <w:rPr>
          <w:szCs w:val="26"/>
          <w:b/>
        </w:rPr>
        <w:t xml:space="preserve">Yếu tố thể chế:</w:t>
      </w:r>
      <w:r w:rsidRPr="000F7C87">
        <w:rPr>
          <w:szCs w:val="26"/>
        </w:rPr>
        <w:t xml:space="preserve"> Khung chính sách pháp luật quốc gia và hệ thống quy chế nội bộ của nhà trường. Thể chế thông thoáng, phân cấp mạnh mẽ và quy định rõ ràng về quyền tài sản là điều kiện tiên quyết mở đường cho hoạt động sở hữu trí tuệ.</w:t>
      </w:r>
    </w:p>
    <w:p w14:paraId="48E95726" w14:textId="77777777" w:rsidR="005B561C" w:rsidRPr="000F7C87" w:rsidRDefault="00000000">
      <w:pPr>
        <w:rPr>
          <w:szCs w:val="26"/>
        </w:rPr>
      </w:pPr>
      <w:r w:rsidRPr="000F7C87">
        <w:rPr>
          <w:szCs w:val="26"/>
        </w:rPr>
        <w:t xml:space="preserve">2. </w:t>
      </w:r>
      <w:r w:rsidRPr="000F7C87">
        <w:rPr>
          <w:szCs w:val="26"/>
          <w:b/>
        </w:rPr>
        <w:t xml:space="preserve">Yếu tố tổ chức bộ máy:</w:t>
      </w:r>
      <w:r w:rsidRPr="000F7C87">
        <w:rPr>
          <w:szCs w:val="26"/>
        </w:rPr>
        <w:t xml:space="preserve"> Mô hình tổ chức của đơn vị chuyên trách về sở hữu trí tuệ. Bộ máy có thẩm quyền rõ ràng, quy trình nghiệp vụ tinh gọn sẽ thúc đẩy nhanh quá trình xác lập và thương mại hóa quyền.</w:t>
      </w:r>
    </w:p>
    <w:p w14:paraId="48E95726" w14:textId="77777777" w:rsidR="005B561C" w:rsidRPr="000F7C87" w:rsidRDefault="00000000">
      <w:pPr>
        <w:rPr>
          <w:szCs w:val="26"/>
        </w:rPr>
      </w:pPr>
      <w:r w:rsidRPr="000F7C87">
        <w:rPr>
          <w:szCs w:val="26"/>
        </w:rPr>
        <w:t xml:space="preserve">3. Yếu tố nguồn lực tài chính: Nguồn kinh phí bảo đảm cho việc nộp đơn, duy trì hiệu lực văn bằng và kinh phí thử nghiệm hoàn thiện công nghệ. Khi các khoản này chưa được dự toán và bố trí sẵn, kết quả nghiên cứu dễ dừng lại ở dạng bài báo thay vì được đăng ký bảo hộ.</w:t>
      </w:r>
    </w:p>
    <w:p w14:paraId="48E95726" w14:textId="77777777" w:rsidR="005B561C" w:rsidRPr="000F7C87" w:rsidRDefault="00000000">
      <w:pPr>
        <w:rPr>
          <w:szCs w:val="26"/>
        </w:rPr>
      </w:pPr>
      <w:r w:rsidRPr="000F7C87">
        <w:rPr>
          <w:szCs w:val="26"/>
        </w:rPr>
        <w:t xml:space="preserve">4. </w:t>
      </w:r>
      <w:r w:rsidRPr="000F7C87">
        <w:rPr>
          <w:szCs w:val="26"/>
          <w:b/>
        </w:rPr>
        <w:t xml:space="preserve">Yếu tố dữ liệu và công nghệ thông tin:</w:t>
      </w:r>
      <w:r w:rsidRPr="000F7C87">
        <w:rPr>
          <w:szCs w:val="26"/>
        </w:rPr>
        <w:t xml:space="preserve"> Hệ thống cơ sở dữ liệu số hóa liên thông theo dõi toàn diện vòng đời tài sản trí tuệ từ khâu nghiệm thu đề tài đến đăng ký văn bằng và khai thác. Thiếu dữ liệu tập trung dẫn đến tình trạng bỏ sót tài sản và không đánh giá được hiệu quả thực tế.</w:t>
      </w:r>
    </w:p>
    <w:p w14:paraId="48E95726" w14:textId="77777777" w:rsidR="005B561C" w:rsidRPr="000F7C87" w:rsidRDefault="00000000">
      <w:pPr>
        <w:rPr>
          <w:szCs w:val="26"/>
        </w:rPr>
      </w:pPr>
      <w:r w:rsidRPr="000F7C87">
        <w:rPr>
          <w:szCs w:val="26"/>
        </w:rPr>
        <w:t xml:space="preserve">5. </w:t>
      </w:r>
      <w:r w:rsidRPr="000F7C87">
        <w:rPr>
          <w:szCs w:val="26"/>
          <w:b/>
        </w:rPr>
        <w:t xml:space="preserve">Yếu tố con người:</w:t>
      </w:r>
      <w:r w:rsidRPr="000F7C87">
        <w:rPr>
          <w:szCs w:val="26"/>
        </w:rPr>
        <w:t xml:space="preserve"> Trình độ chuyên môn của đội ngũ cán bộ quản lý (kỹ năng tra cứu, định giá, đàm phán hợp đồng) và năng lực nghiên cứu sáng tạo của đội ngũ giảng viên, nhà khoa học tại các khoa chuyên môn.</w:t>
      </w:r>
    </w:p>
    <w:p w14:paraId="48E95726" w14:textId="77777777" w:rsidR="005B561C" w:rsidRPr="000F7C87" w:rsidRDefault="00000000">
      <w:pPr>
        <w:rPr>
          <w:szCs w:val="26"/>
        </w:rPr>
      </w:pPr>
      <w:r w:rsidRPr="000F7C87">
        <w:rPr>
          <w:szCs w:val="26"/>
        </w:rPr>
        <w:t xml:space="preserve">6. </w:t>
      </w:r>
      <w:r w:rsidRPr="000F7C87">
        <w:rPr>
          <w:szCs w:val="26"/>
          <w:b/>
        </w:rPr>
        <w:t xml:space="preserve">Yếu tố động lực và văn hóa:</w:t>
      </w:r>
      <w:r w:rsidRPr="000F7C87">
        <w:rPr>
          <w:szCs w:val="26"/>
        </w:rPr>
        <w:t xml:space="preserve"> Cơ chế phân chia lợi ích tài chính công bằng, chính sách tôn vinh, khen thưởng kịp thời và văn hóa học thuật tôn trọng quyền sở hữu trí tuệ, liêm chính nghiên cứu trong toàn trường.</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1.2. Sáu nhóm yếu tố ảnh hưởng đến hiệu quả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096000"/>
            <wp:docPr id="2" name="Picture 2"/>
            <wp:cNvGraphicFramePr>
              <a:graphicFrameLocks noChangeAspect="1"/>
            </wp:cNvGraphicFramePr>
            <a:graphic>
              <a:graphicData uri="http://schemas.openxmlformats.org/drawingml/2006/picture">
                <pic:pic>
                  <pic:nvPicPr>
                    <pic:cNvPr id="0" name="yeu_to.png"/>
                    <pic:cNvPicPr/>
                  </pic:nvPicPr>
                  <pic:blipFill>
                    <a:blip r:embed="rId9"/>
                    <a:stretch>
                      <a:fillRect/>
                    </a:stretch>
                  </pic:blipFill>
                  <pic:spPr>
                    <a:xfrm>
                      <a:off x="0" y="0"/>
                      <a:ext cx="5580000" cy="30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w:t>
      </w:r>
    </w:p>
    <w:p w14:paraId="6067EC56" w14:textId="77777777" w:rsidR="005B561C" w:rsidRPr="000F7C87" w:rsidRDefault="00000000">
      <w:pPr>
        <w:keepNext/>
        <w:spacing w:before="280" w:after="160"/>
        <w:ind w:firstLine="0"/>
        <w:outlineLvl w:val="1"/>
        <w:rPr>
          <w:szCs w:val="26"/>
        </w:rPr>
      </w:pPr>
      <w:r w:rsidRPr="000F7C87">
        <w:rPr>
          <w:b/>
          <w:szCs w:val="26"/>
        </w:rPr>
        <w:t>1.5. Kinh nghiệm quản lý quyền sở hữu trí tuệ, cách tiếp cận Không gian sáng tạo mở thử nghiệm và khung phân tích của đề tài</w:t>
      </w:r>
    </w:p>
    <w:p w14:paraId="0DE297E1" w14:textId="77777777" w:rsidR="005B561C" w:rsidRPr="000F7C87" w:rsidRDefault="00000000">
      <w:pPr>
        <w:keepNext/>
        <w:spacing w:before="200" w:after="100"/>
        <w:ind w:firstLine="0"/>
        <w:outlineLvl w:val="2"/>
        <w:rPr>
          <w:szCs w:val="26"/>
        </w:rPr>
      </w:pPr>
      <w:r w:rsidRPr="000F7C87">
        <w:rPr>
          <w:b/>
          <w:szCs w:val="26"/>
        </w:rPr>
        <w:t>1.5.1. Kinh nghiệm quản lý, chuyển giao và khai thác quyền sở hữu trí tuệ tại một số trường đại học trong và ngoài nước</w:t>
      </w:r>
    </w:p>
    <w:p w14:paraId="48E95726" w14:textId="77777777" w:rsidR="005B561C" w:rsidRPr="000F7C87" w:rsidRDefault="00000000">
      <w:pPr>
        <w:rPr>
          <w:szCs w:val="26"/>
        </w:rPr>
      </w:pPr>
      <w:r w:rsidRPr="000F7C87">
        <w:rPr>
          <w:szCs w:val="26"/>
          <w:i/>
        </w:rPr>
        <w:t xml:space="preserve">Thứ nhất, bài học kinh nghiệm quốc tế:</w:t>
      </w:r>
    </w:p>
    <w:p w14:paraId="48E95726" w14:textId="77777777" w:rsidR="005B561C" w:rsidRPr="000F7C87" w:rsidRDefault="00000000">
      <w:pPr>
        <w:rPr>
          <w:szCs w:val="26"/>
        </w:rPr>
      </w:pPr>
      <w:r w:rsidRPr="000F7C87">
        <w:rPr>
          <w:szCs w:val="26"/>
        </w:rPr>
        <w:t xml:space="preserve">Nghiên cứu kinh nghiệm tại các quốc gia có nền kinh tế tri thức phát triển (Hoa Kỳ, Vương quốc Anh, Singapore) chỉ ra các bài học mang tính quy luật:</w:t>
      </w:r>
    </w:p>
    <w:p w14:paraId="48E95726" w14:textId="77777777" w:rsidR="005B561C" w:rsidRPr="000F7C87" w:rsidRDefault="00000000">
      <w:pPr>
        <w:rPr>
          <w:szCs w:val="26"/>
        </w:rPr>
      </w:pPr>
      <w:r w:rsidRPr="000F7C87">
        <w:rPr>
          <w:szCs w:val="26"/>
        </w:rPr>
        <w:t xml:space="preserve">- Đạo luật Bayh-Dole năm 1980 của Hoa Kỳ là một minh chứng lịch sử về việc phân cấp quyền sở hữu kết quả nghiên cứu sử dụng ngân sách nhà nước cho trường đại học, thúc đẩy việc thành lập các văn phòng chuyển giao công nghệ và sự gia tăng của các doanh nghiệp khởi nguồn tri thức từ đại học (Shane, 2004).</w:t>
      </w:r>
    </w:p>
    <w:p w14:paraId="48E95726" w14:textId="77777777" w:rsidR="005B561C" w:rsidRPr="000F7C87" w:rsidRDefault="00000000">
      <w:pPr>
        <w:rPr>
          <w:szCs w:val="26"/>
        </w:rPr>
      </w:pPr>
      <w:r w:rsidRPr="000F7C87">
        <w:rPr>
          <w:szCs w:val="26"/>
        </w:rPr>
        <w:t xml:space="preserve">- Vai trò trung gian chuyên nghiệp của đơn vị chuyển giao công nghệ: Đơn vị này không chỉ làm thủ tục hành chính nộp đơn, mà giữ vai trò tiếp thị công nghệ, định giá tài sản vô hình và kết nối chặt chẽ với mạng lưới các quỹ đầu tư mạo hiểm (Siegel et al., 2007; Thursby &amp; Kemp, 2002).</w:t>
      </w:r>
    </w:p>
    <w:p w14:paraId="48E95726" w14:textId="77777777" w:rsidR="005B561C" w:rsidRPr="000F7C87" w:rsidRDefault="00000000">
      <w:pPr>
        <w:rPr>
          <w:szCs w:val="26"/>
        </w:rPr>
      </w:pPr>
      <w:r w:rsidRPr="000F7C87">
        <w:rPr>
          <w:szCs w:val="26"/>
        </w:rPr>
        <w:t xml:space="preserve">- Cơ chế chia sẻ doanh thu hấp dẫn: Tỷ lệ chia sẻ doanh thu dành cho nhà sáng chế là một yếu tố động lực quan trọng; các trường đại học thành công trong chuyển giao thường dành cho nhà sáng chế một tỷ lệ đáng kể trong doanh thu cấp phép (Siegel et al., 2007).</w:t>
      </w:r>
    </w:p>
    <w:p w14:paraId="48E95726" w14:textId="77777777" w:rsidR="005B561C" w:rsidRPr="000F7C87" w:rsidRDefault="00000000">
      <w:pPr>
        <w:rPr>
          <w:szCs w:val="26"/>
        </w:rPr>
      </w:pPr>
      <w:r w:rsidRPr="000F7C87">
        <w:rPr>
          <w:szCs w:val="26"/>
          <w:i/>
        </w:rPr>
        <w:t xml:space="preserve">Thứ hai, kinh nghiệm từ các cơ sở giáo dục đại học tự chủ tại Việt Nam:</w:t>
      </w:r>
    </w:p>
    <w:p w14:paraId="48E95726" w14:textId="77777777" w:rsidR="005B561C" w:rsidRPr="000F7C87" w:rsidRDefault="00000000">
      <w:pPr>
        <w:rPr>
          <w:szCs w:val="26"/>
        </w:rPr>
      </w:pPr>
      <w:r w:rsidRPr="000F7C87">
        <w:rPr>
          <w:szCs w:val="26"/>
        </w:rPr>
        <w:t xml:space="preserve">Tại Việt Nam, các cơ sở giáo dục đại học lớn đi đầu về tự chủ và nghiên cứu ứng dụng (như Đại học Quốc gia Thành phố Hồ Chí Minh, Đại học Bách khoa Hà Nội, Trường Đại học Tôn Đức Thắng) đã đúc rút những bài học kinh nghiệm thực tiễn có giá trị tham khảo:</w:t>
      </w:r>
    </w:p>
    <w:p w14:paraId="48E95726" w14:textId="77777777" w:rsidR="005B561C" w:rsidRPr="000F7C87" w:rsidRDefault="00000000">
      <w:pPr>
        <w:rPr>
          <w:szCs w:val="26"/>
        </w:rPr>
      </w:pPr>
      <w:r w:rsidRPr="000F7C87">
        <w:rPr>
          <w:szCs w:val="26"/>
        </w:rPr>
        <w:t xml:space="preserve">- Ban hành Quy chế sở hữu trí tuệ nội bộ độc lập, tách rời khỏi quy chế hoạt động khoa học công nghệ chung, trong đó quy định rõ trình tự bảo mật và khai báo phát minh trước khi xuất bản bài báo.</w:t>
      </w:r>
    </w:p>
    <w:p w14:paraId="48E95726" w14:textId="77777777" w:rsidR="005B561C" w:rsidRPr="000F7C87" w:rsidRDefault="00000000">
      <w:pPr>
        <w:rPr>
          <w:szCs w:val="26"/>
        </w:rPr>
      </w:pPr>
      <w:r w:rsidRPr="000F7C87">
        <w:rPr>
          <w:szCs w:val="26"/>
        </w:rPr>
        <w:t xml:space="preserve">- Thiết lập Quỹ hỗ trợ đăng ký sở hữu trí tuệ: Nhà trường chi trả 100% kinh phí nộp đơn và theo đuổi đơn sáng chế cho giảng viên, sau đó thu hồi lại thông qua doanh thu thương mại hóa.</w:t>
      </w:r>
    </w:p>
    <w:p w14:paraId="48E95726" w14:textId="77777777" w:rsidR="005B561C" w:rsidRPr="000F7C87" w:rsidRDefault="00000000">
      <w:pPr>
        <w:rPr>
          <w:szCs w:val="26"/>
        </w:rPr>
      </w:pPr>
      <w:r w:rsidRPr="000F7C87">
        <w:rPr>
          <w:szCs w:val="26"/>
        </w:rPr>
        <w:t xml:space="preserve">- Đưa chỉ số sở hữu trí tuệ vào tiêu chuẩn đánh giá hoàn thành nhiệm vụ năm học của giảng viên và bình xét thi đua của các khoa chuyên môn.</w:t>
      </w:r>
    </w:p>
    <w:p w14:paraId="48E95726" w14:textId="77777777" w:rsidR="005B561C" w:rsidRPr="000F7C87" w:rsidRDefault="00000000">
      <w:pPr>
        <w:rPr>
          <w:szCs w:val="26"/>
        </w:rPr>
      </w:pPr>
      <w:r w:rsidRPr="000F7C87">
        <w:rPr>
          <w:szCs w:val="26"/>
          <w:i/>
        </w:rPr>
        <w:t xml:space="preserve">Thứ ba, bài học kinh nghiệm vận dụng cho Trường Đại học Thành Đô:</w:t>
      </w:r>
    </w:p>
    <w:p w14:paraId="48E95726" w14:textId="77777777" w:rsidR="005B561C" w:rsidRPr="000F7C87" w:rsidRDefault="00000000">
      <w:pPr>
        <w:rPr>
          <w:szCs w:val="26"/>
        </w:rPr>
      </w:pPr>
      <w:r w:rsidRPr="000F7C87">
        <w:rPr>
          <w:szCs w:val="26"/>
        </w:rPr>
        <w:t xml:space="preserve">Là một trường đại học tư thục theo định hướng ứng dụng, Trường Đại học Thành Đô không thể sao chép máy móc mô hình của các đại học nghiên cứu quy mô lớn. Bài học phù hợp nhất cho Nhà trường là:</w:t>
      </w:r>
    </w:p>
    <w:p w14:paraId="48E95726" w14:textId="77777777" w:rsidR="005B561C" w:rsidRPr="000F7C87" w:rsidRDefault="00000000">
      <w:pPr>
        <w:rPr>
          <w:szCs w:val="26"/>
        </w:rPr>
      </w:pPr>
      <w:r w:rsidRPr="000F7C87">
        <w:rPr>
          <w:szCs w:val="26"/>
        </w:rPr>
        <w:t xml:space="preserve">- Ưu tiên nguồn lực cho các nhóm sản phẩm mũi nhọn có khả năng ứng dụng và bảo hộ thực tế cao nhất, đặc biệt là lĩnh vực dược của Viện Y - Dược, khối kỹ thuật công nghệ và nhóm giáo trình, học liệu đào tạo.</w:t>
      </w:r>
    </w:p>
    <w:p w14:paraId="48E95726" w14:textId="77777777" w:rsidR="005B561C" w:rsidRPr="000F7C87" w:rsidRDefault="00000000">
      <w:pPr>
        <w:rPr>
          <w:szCs w:val="26"/>
        </w:rPr>
      </w:pPr>
      <w:r w:rsidRPr="000F7C87">
        <w:rPr>
          <w:szCs w:val="26"/>
        </w:rPr>
        <w:t xml:space="preserve">- Áp dụng mô hình quản lý phân luồng linh hoạt: Đơn giản hóa thủ tục đối với nhóm quyền tác giả và tập trung nguồn lực chuyên môn sâu cho nhóm sáng chế, giải pháp hữu ích.</w:t>
      </w:r>
    </w:p>
    <w:p w14:paraId="48E95726" w14:textId="77777777" w:rsidR="005B561C" w:rsidRPr="000F7C87" w:rsidRDefault="00000000">
      <w:pPr>
        <w:rPr>
          <w:szCs w:val="26"/>
        </w:rPr>
      </w:pPr>
      <w:r w:rsidRPr="000F7C87">
        <w:rPr>
          <w:szCs w:val="26"/>
        </w:rPr>
        <w:t xml:space="preserve">- Liên kết với các tổ chức đại diện sở hữu công nghiệp bên ngoài để khắc phục hạn chế về nhân lực chuyên trách tại chỗ.</w:t>
      </w:r>
    </w:p>
    <w:p w14:paraId="0DE297E1" w14:textId="77777777" w:rsidR="005B561C" w:rsidRPr="000F7C87" w:rsidRDefault="00000000">
      <w:pPr>
        <w:keepNext/>
        <w:spacing w:before="200" w:after="100"/>
        <w:ind w:firstLine="0"/>
        <w:outlineLvl w:val="2"/>
        <w:rPr>
          <w:szCs w:val="26"/>
        </w:rPr>
      </w:pPr>
      <w:r w:rsidRPr="000F7C87">
        <w:rPr>
          <w:b/>
          <w:szCs w:val="26"/>
        </w:rPr>
        <w:t>1.5.2. Cách tiếp cận Không gian sáng tạo mở thử nghiệm hỗ trợ đồng sáng tạo, thử nghiệm và hoàn thiện kết quả nghiên cứu trước khi mở rộng khai thác</w:t>
      </w:r>
    </w:p>
    <w:p w14:paraId="48E95726" w14:textId="77777777" w:rsidR="005B561C" w:rsidRPr="000F7C87" w:rsidRDefault="00000000">
      <w:pPr>
        <w:rPr>
          <w:szCs w:val="26"/>
        </w:rPr>
      </w:pPr>
      <w:r w:rsidRPr="000F7C87">
        <w:rPr>
          <w:szCs w:val="26"/>
        </w:rPr>
        <w:t xml:space="preserve">Trong khuôn khổ đề tài này, mô hình Không gian sáng tạo mở thử nghiệm, được thuyết minh đề tài gọi là mô hình Living Lab, được tiếp cận như một </w:t>
      </w:r>
      <w:r w:rsidRPr="000F7C87">
        <w:rPr>
          <w:szCs w:val="26"/>
          <w:b/>
        </w:rPr>
        <w:t xml:space="preserve">mô-đun chức năng bổ trợ</w:t>
      </w:r>
      <w:r w:rsidRPr="000F7C87">
        <w:rPr>
          <w:szCs w:val="26"/>
        </w:rPr>
        <w:t xml:space="preserve"> trong mô hình quản trị, hỗ trợ kết nối thực tiễn giữa khâu tạo lập và thương mại hóa kết quả nghiên cứu.</w:t>
      </w:r>
    </w:p>
    <w:p w14:paraId="48E95726" w14:textId="77777777" w:rsidR="005B561C" w:rsidRPr="000F7C87" w:rsidRDefault="00000000">
      <w:pPr>
        <w:rPr>
          <w:szCs w:val="26"/>
        </w:rPr>
      </w:pPr>
      <w:r w:rsidRPr="000F7C87">
        <w:rPr>
          <w:szCs w:val="26"/>
          <w:i/>
        </w:rPr>
        <w:t xml:space="preserve">Nội hàm và vai trò của mô-đun Không gian sáng tạo mở thử nghiệm:</w:t>
      </w:r>
    </w:p>
    <w:p w14:paraId="48E95726" w14:textId="77777777" w:rsidR="005B561C" w:rsidRPr="000F7C87" w:rsidRDefault="00000000">
      <w:pPr>
        <w:rPr>
          <w:szCs w:val="26"/>
        </w:rPr>
      </w:pPr>
      <w:r w:rsidRPr="000F7C87">
        <w:rPr>
          <w:szCs w:val="26"/>
        </w:rPr>
        <w:t xml:space="preserve">Không gian sáng tạo mở thử nghiệm là phương thức tổ chức hoạt động đổi mới sáng tạo mở lấy người dùng làm trung tâm, diễn ra ngay trong môi trường thực tế của trường đại học và hệ sinh thái liên kết: trường học trực thuộc, xưởng thực hành, cộng đồng người học và mạng lưới doanh nghiệp đối tác.</w:t>
      </w:r>
    </w:p>
    <w:p w14:paraId="48E95726" w14:textId="77777777" w:rsidR="005B561C" w:rsidRPr="000F7C87" w:rsidRDefault="00000000">
      <w:pPr>
        <w:rPr>
          <w:szCs w:val="26"/>
        </w:rPr>
      </w:pPr>
      <w:r w:rsidRPr="000F7C87">
        <w:rPr>
          <w:szCs w:val="26"/>
        </w:rPr>
        <w:t xml:space="preserve">Trong chu trình quản lý quyền sở hữu trí tuệ, mô-đun Không gian sáng tạo mở thử nghiệm đóng vai trò là chiếc cầu nối kỹ thuật quan trọng giữa khâu tạo lập và khâu thương mại hóa:</w:t>
      </w:r>
    </w:p>
    <w:p w14:paraId="48E95726" w14:textId="77777777" w:rsidR="005B561C" w:rsidRPr="000F7C87" w:rsidRDefault="00000000">
      <w:pPr>
        <w:rPr>
          <w:szCs w:val="26"/>
        </w:rPr>
      </w:pPr>
      <w:r w:rsidRPr="000F7C87">
        <w:rPr>
          <w:szCs w:val="26"/>
        </w:rPr>
        <w:t xml:space="preserve">1. Hỗ trợ đồng sáng tạo: Tạo không gian để giảng viên, người học và chuyên gia doanh nghiệp cùng tham gia hoàn thiện giải pháp kỹ thuật hoặc học liệu số.</w:t>
      </w:r>
    </w:p>
    <w:p w14:paraId="48E95726" w14:textId="77777777" w:rsidR="005B561C" w:rsidRPr="000F7C87" w:rsidRDefault="00000000">
      <w:pPr>
        <w:rPr>
          <w:szCs w:val="26"/>
        </w:rPr>
      </w:pPr>
      <w:r w:rsidRPr="000F7C87">
        <w:rPr>
          <w:szCs w:val="26"/>
        </w:rPr>
        <w:t xml:space="preserve">2. Thử nghiệm thực tế: Đưa các kết quả nghiên cứu (dưới dạng mẫu thử nghiệm hoặc bài giảng số) vào vận hành thử nghiệm ở quy mô nhỏ trong Nhà trường để đo lường tính khả thi và độ đón nhận của người dùng.</w:t>
      </w:r>
    </w:p>
    <w:p w14:paraId="48E95726" w14:textId="77777777" w:rsidR="005B561C" w:rsidRPr="000F7C87" w:rsidRDefault="00000000">
      <w:pPr>
        <w:rPr>
          <w:szCs w:val="26"/>
        </w:rPr>
      </w:pPr>
      <w:r w:rsidRPr="000F7C87">
        <w:rPr>
          <w:szCs w:val="26"/>
        </w:rPr>
        <w:t xml:space="preserve">3. Hoàn thiện sản phẩm: Thu thập phản hồi thực chứng để cải tiến sản phẩm trước khi quyết định chi kinh phí nộp đơn bảo hộ độc quyền hoặc chuyển giao thương mại hóa diện rộng.</w:t>
      </w:r>
    </w:p>
    <w:p w14:paraId="48E95726" w14:textId="77777777" w:rsidR="005B561C" w:rsidRPr="000F7C87" w:rsidRDefault="00000000">
      <w:pPr>
        <w:rPr>
          <w:szCs w:val="26"/>
        </w:rPr>
      </w:pPr>
      <w:r w:rsidRPr="000F7C87">
        <w:rPr>
          <w:szCs w:val="26"/>
          <w:i/>
        </w:rPr>
        <w:t xml:space="preserve">Nguyên tắc bảo đảm tính mới trong tiếp cận Không gian sáng tạo mở thử nghiệm:</w:t>
      </w:r>
    </w:p>
    <w:p w14:paraId="48E95726" w14:textId="77777777" w:rsidR="005B561C" w:rsidRPr="000F7C87" w:rsidRDefault="00000000">
      <w:pPr>
        <w:rPr>
          <w:szCs w:val="26"/>
        </w:rPr>
      </w:pPr>
      <w:r w:rsidRPr="000F7C87">
        <w:rPr>
          <w:szCs w:val="26"/>
        </w:rPr>
        <w:t xml:space="preserve">Để giải quyết mâu thuẫn giữa tính mở của không gian thử nghiệm và yêu cầu bảo mật nghiêm ngặt của Luật Sở hữu trí tuệ nhằm triệt tiêu nguy cơ mất tính mới của sáng chế trước khi nộp đơn, mô hình vận hành xác lập nguyên tắc cốt lõi: Tất cả các chủ thể tham gia thử nghiệm bắt buộc phải ký văn bản cam kết bảo mật thông tin trước khi tiếp cận giải pháp; hoặc Nhà trường phải tiến hành nộp đơn đăng ký bảo hộ để lấy ngày ưu tiên trước khi đưa sản phẩm ra thử nghiệm mở rộng.</w:t>
      </w:r>
    </w:p>
    <w:p w14:paraId="48E95726" w14:textId="77777777" w:rsidR="005B561C" w:rsidRPr="000F7C87" w:rsidRDefault="00000000">
      <w:pPr>
        <w:rPr>
          <w:szCs w:val="26"/>
        </w:rPr>
      </w:pPr>
      <w:r w:rsidRPr="000F7C87">
        <w:rPr>
          <w:szCs w:val="26"/>
        </w:rPr>
        <w:t xml:space="preserve">Đặc biệt, bên cạnh nguyên tắc bảo mật chủ động, công tác quản lý của Nhà trường cần vận dụng linh hoạt cơ chế ngoại lệ không bị coi là mất tính mới (thời hạn ân hạn 12 tháng) quy định tại khoản 3 và khoản 4 Điều 60 Luật Sở hữu trí tuệ. Theo đó, sáng chế không bị coi là mất tính mới nếu được người có quyền đăng ký hoặc người có được thông tin trực tiếp hoặc gián tiếp từ người đó bộc lộ công khai, với điều kiện đơn đăng ký sáng chế được nộp tại Việt Nam trong thời hạn 12 tháng kể từ ngày bộc lộ; khoản 4 mở rộng ngoại lệ này cho trường hợp sáng chế bị bộc lộ trong đơn hoặc văn bằng do cơ quan quản lý nhà nước công bố không phù hợp với quy định hoặc đơn do người không có quyền đăng ký nộp. Đây là cơ sở pháp lý và giải pháp quan trọng để Nhà trường xử lý các kết quả nghiên cứu, sáng kiến kỹ thuật đã đưa vào thử nghiệm thực tế hoặc công bố tại các hội thảo khoa học nội bộ trước khi thực hiện thủ tục đăng ký bảo hộ chính thức. Quy định này sẽ được cụ thể hóa thành quy trình rà soát và xử lý khẩn cấp tại Chương 3 của đề tài.</w:t>
      </w:r>
    </w:p>
    <w:p w14:paraId="0DE297E1" w14:textId="77777777" w:rsidR="005B561C" w:rsidRPr="000F7C87" w:rsidRDefault="00000000">
      <w:pPr>
        <w:keepNext/>
        <w:spacing w:before="200" w:after="100"/>
        <w:ind w:firstLine="0"/>
        <w:outlineLvl w:val="2"/>
        <w:rPr>
          <w:szCs w:val="26"/>
        </w:rPr>
      </w:pPr>
      <w:r w:rsidRPr="000F7C87">
        <w:rPr>
          <w:b/>
          <w:szCs w:val="26"/>
        </w:rPr>
        <w:t>1.5.3. Khung phân tích thống nhất của đề tài</w:t>
      </w:r>
    </w:p>
    <w:p w14:paraId="48E95726" w14:textId="77777777" w:rsidR="005B561C" w:rsidRPr="000F7C87" w:rsidRDefault="00000000">
      <w:pPr>
        <w:rPr>
          <w:szCs w:val="26"/>
        </w:rPr>
      </w:pPr>
      <w:r w:rsidRPr="000F7C87">
        <w:rPr>
          <w:szCs w:val="26"/>
        </w:rPr>
        <w:t xml:space="preserve">Trên cơ sở tích hợp hệ thống lý luận về chu trình quản lý, khung pháp lý mới nhất năm 2025 - 2026, bộ tiêu chí đánh giá và cách tiếp cận thử nghiệm mở, đề tài xây dựng Khung phân tích logic xuyên suốt cho toàn bộ công trình nghiên cứu, được trình bày tại Hình 1.3.</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1.3. Khung phân tích của đề tài</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896000"/>
            <wp:docPr id="3" name="Picture 3"/>
            <wp:cNvGraphicFramePr>
              <a:graphicFrameLocks noChangeAspect="1"/>
            </wp:cNvGraphicFramePr>
            <a:graphic>
              <a:graphicData uri="http://schemas.openxmlformats.org/drawingml/2006/picture">
                <pic:pic>
                  <pic:nvPicPr>
                    <pic:cNvPr id="0" name="khung_phan_tich.png"/>
                    <pic:cNvPicPr/>
                  </pic:nvPicPr>
                  <pic:blipFill>
                    <a:blip r:embed="rId10"/>
                    <a:stretch>
                      <a:fillRect/>
                    </a:stretch>
                  </pic:blipFill>
                  <pic:spPr>
                    <a:xfrm>
                      <a:off x="0" y="0"/>
                      <a:ext cx="5580000" cy="48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xây dựng.</w:t>
      </w:r>
    </w:p>
    <w:p w14:paraId="48E95726" w14:textId="77777777" w:rsidR="005B561C" w:rsidRPr="000F7C87" w:rsidRDefault="00000000">
      <w:pPr>
        <w:rPr>
          <w:szCs w:val="26"/>
        </w:rPr>
      </w:pPr>
      <w:r w:rsidRPr="000F7C87">
        <w:rPr>
          <w:szCs w:val="26"/>
        </w:rPr>
        <w:t xml:space="preserve">Khung phân tích này đóng vai trò là khung định hướng phương pháp luận, bảo đảm tính nhất quán hữu cơ giữa lý luận của Chương 1, thực trạng của Chương 2 và hệ thống giải pháp của Chương 3.</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1</w:t>
      </w:r>
    </w:p>
    <w:p w14:paraId="48E95726" w14:textId="77777777" w:rsidR="005B561C" w:rsidRPr="000F7C87" w:rsidRDefault="00000000">
      <w:pPr>
        <w:rPr>
          <w:szCs w:val="26"/>
        </w:rPr>
      </w:pPr>
      <w:r w:rsidRPr="000F7C87">
        <w:rPr>
          <w:szCs w:val="26"/>
        </w:rPr>
        <w:t xml:space="preserve">Trên cơ sở hệ thống hóa lý luận học thuật và rà soát khung khổ pháp lý hiện hành, Chương 1 đã làm rõ các vấn đề khoa học nền tảng sau:</w:t>
      </w:r>
    </w:p>
    <w:p w14:paraId="48E95726" w14:textId="77777777" w:rsidR="005B561C" w:rsidRPr="000F7C87" w:rsidRDefault="00000000">
      <w:pPr>
        <w:rPr>
          <w:szCs w:val="26"/>
        </w:rPr>
      </w:pPr>
      <w:r w:rsidRPr="000F7C87">
        <w:rPr>
          <w:szCs w:val="26"/>
          <w:i/>
        </w:rPr>
        <w:t xml:space="preserve">Thứ nhất</w:t>
      </w:r>
      <w:r w:rsidRPr="000F7C87">
        <w:rPr>
          <w:szCs w:val="26"/>
        </w:rPr>
        <w:t xml:space="preserve">, làm rõ khái niệm, bản chất lưỡng dụng và các đặc thù của tài sản trí tuệ trong môi trường đại học; khẳng định quản lý quyền sở hữu trí tuệ trong cơ sở giáo dục đại học là chu trình quản trị đa mục tiêu, vừa phải bảo đảm sứ mệnh học thuật công ích, vừa phải thiết lập cơ chế bảo hộ nhằm thu hồi chi phí và gia tăng giá trị tài sản vô hình.</w:t>
      </w:r>
    </w:p>
    <w:p w14:paraId="48E95726" w14:textId="77777777" w:rsidR="005B561C" w:rsidRPr="000F7C87" w:rsidRDefault="00000000">
      <w:pPr>
        <w:rPr>
          <w:szCs w:val="26"/>
        </w:rPr>
      </w:pPr>
      <w:r w:rsidRPr="000F7C87">
        <w:rPr>
          <w:szCs w:val="26"/>
          <w:i/>
        </w:rPr>
        <w:t xml:space="preserve">Thứ hai</w:t>
      </w:r>
      <w:r w:rsidRPr="000F7C87">
        <w:rPr>
          <w:szCs w:val="26"/>
        </w:rPr>
        <w:t xml:space="preserve">, phân tích vai trò của quản lý quyền sở hữu trí tuệ đối với việc nâng cao chất lượng đào tạo, năng lực nghiên cứu khoa học, đa dạng hóa nguồn thu tài chính thông qua chuyển giao công nghệ và tác động đến các tiêu chí của Chuẩn cơ sở giáo dục đại học.</w:t>
      </w:r>
    </w:p>
    <w:p w14:paraId="48E95726" w14:textId="77777777" w:rsidR="005B561C" w:rsidRPr="000F7C87" w:rsidRDefault="00000000">
      <w:pPr>
        <w:rPr>
          <w:szCs w:val="26"/>
        </w:rPr>
      </w:pPr>
      <w:r w:rsidRPr="000F7C87">
        <w:rPr>
          <w:szCs w:val="26"/>
        </w:rPr>
        <w:t xml:space="preserve">Thứ ba, cập nhật hệ thống pháp luật quốc gia hiện hành, làm rõ cơ chế tự động giao quyền sở hữu kết quả nghiên cứu tại Điều 25 Luật số 93/2025/QH15, quyền đăng ký theo điểm c khoản 1 Điều 86 Luật Sở hữu trí tuệ do Luật số 131/2025/QH15 bổ sung; phân biệt thưởng cho tác giả theo Điều 28 Luật số 93/2025/QH15, với mức tối thiểu 30% lợi nhuận sau thuế đối với phần kết quả sử dụng ngân sách nhà nước, và thù lao theo Điều 135 Luật Sở hữu trí tuệ, vốn theo thỏa thuận, không có trần và chỉ áp dụng mức mặc định khi không có thỏa thuận; làm rõ quy định chuyển tiếp tại khoản 3 và khoản 7 Điều 73. Trên cơ sở đó, Chương 1 xác định rằng việc rà soát quy chế nội bộ phải căn cứ vào nguồn kinh phí, thời điểm giao nhiệm vụ và loại đối tượng của từng trường hợp, không thể áp một tỷ lệ chung cho mọi tài sản.</w:t>
      </w:r>
    </w:p>
    <w:p w14:paraId="48E95726" w14:textId="77777777" w:rsidR="005B561C" w:rsidRPr="000F7C87" w:rsidRDefault="00000000">
      <w:pPr>
        <w:rPr>
          <w:szCs w:val="26"/>
        </w:rPr>
      </w:pPr>
      <w:r w:rsidRPr="000F7C87">
        <w:rPr>
          <w:szCs w:val="26"/>
          <w:i/>
        </w:rPr>
        <w:t xml:space="preserve">Thứ tư</w:t>
      </w:r>
      <w:r w:rsidRPr="000F7C87">
        <w:rPr>
          <w:szCs w:val="26"/>
        </w:rPr>
        <w:t xml:space="preserve">, phân định rõ bốn chức năng quản lý của chủ thể quản trị với chu trình 4 giai đoạn vận động của tài sản trí tuệ; thiết lập bộ 16 tiêu chí đánh giá hiệu quả theo chuỗi đầu vào, quá trình, đầu ra, kết quả và nhận diện 6 nhóm yếu tố ảnh hưởng trực tiếp đến hiệu quả quản lý tại trường đại học.</w:t>
      </w:r>
    </w:p>
    <w:p w14:paraId="48E95726" w14:textId="77777777" w:rsidR="005B561C" w:rsidRPr="000F7C87" w:rsidRDefault="00000000">
      <w:pPr>
        <w:rPr>
          <w:szCs w:val="26"/>
        </w:rPr>
      </w:pPr>
      <w:r w:rsidRPr="000F7C87">
        <w:rPr>
          <w:szCs w:val="26"/>
          <w:i/>
        </w:rPr>
        <w:t xml:space="preserve">Thứ năm</w:t>
      </w:r>
      <w:r w:rsidRPr="000F7C87">
        <w:rPr>
          <w:szCs w:val="26"/>
        </w:rPr>
        <w:t xml:space="preserve">, tổng hợp kinh nghiệm quản lý của các trường đại học trong và ngoài nước; định vị mô hình Không gian sáng tạo mở thử nghiệm như một mô-đun bổ trợ hỗ trợ hoàn thiện kết quả nghiên cứu trước khi đăng ký bảo hộ; đồng thời thiết lập khung phân tích logic làm căn cứ phương pháp luận cho việc khảo sát, đánh giá thực trạng tại Trường Đại học Thành Đô trong Chương 2.</w:t>
      </w:r>
    </w:p>
    <w:p w14:paraId="07734D5E" w14:textId="77777777" w:rsidR="005B561C" w:rsidRPr="000F7C87" w:rsidRDefault="00000000">
      <w:pPr>
        <w:keepNext/>
        <w:pageBreakBefore/>
        <w:spacing w:after="80"/>
        <w:ind w:firstLine="0"/>
        <w:jc w:val="center"/>
        <w:outlineLvl w:val="0"/>
        <w:rPr>
          <w:szCs w:val="26"/>
        </w:rPr>
      </w:pPr>
      <w:r w:rsidRPr="000F7C87">
        <w:rPr>
          <w:b/>
          <w:szCs w:val="26"/>
        </w:rPr>
        <w:t>CHƯƠNG 2</w:t>
      </w:r>
      <w:r>
        <w:br/>
      </w:r>
      <w:r w:rsidRPr="000F7C87">
        <w:rPr>
          <w:b/>
          <w:szCs w:val="26"/>
        </w:rPr>
        <w:t>THỰC TRẠNG QUẢN LÝ QUYỀN SỞ HỮU TRÍ TUỆ</w:t>
      </w:r>
      <w:r>
        <w:br/>
      </w:r>
      <w:r w:rsidRPr="000F7C87">
        <w:rPr>
          <w:b/>
          <w:szCs w:val="26"/>
        </w:rPr>
        <w:t>TẠI TRƯỜNG ĐẠI HỌC THÀNH ĐÔ</w:t>
      </w:r>
    </w:p>
    <w:p w14:paraId="48E95726" w14:textId="77777777" w:rsidR="005B561C" w:rsidRPr="000F7C87" w:rsidRDefault="00000000">
      <w:pPr>
        <w:rPr>
          <w:szCs w:val="26"/>
        </w:rPr>
      </w:pPr>
      <w:r w:rsidRPr="000F7C87">
        <w:rPr>
          <w:szCs w:val="26"/>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 Văn bản ban hành sau năm 2025 chỉ được dùng để mô tả bối cảnh và yêu cầu hiện hành, không dùng để giải thích kết quả giai đoạn 2021 - 2025. Năm của mỗi số liệu được ghi rõ tại từng bảng, hình: năm theo mã số hoặc năm phê duyệt đối với đề tài, năm nghiệm thu, năm nộp đơn hoặc năm cấp văn bằng đối với tài sản trí tuệ.</w:t>
      </w:r>
    </w:p>
    <w:p w14:paraId="6067EC56" w14:textId="77777777" w:rsidR="005B561C" w:rsidRPr="000F7C87" w:rsidRDefault="00000000">
      <w:pPr>
        <w:keepNext/>
        <w:spacing w:before="280" w:after="160"/>
        <w:ind w:firstLine="0"/>
        <w:outlineLvl w:val="1"/>
        <w:rPr>
          <w:szCs w:val="26"/>
        </w:rPr>
      </w:pPr>
      <w:r w:rsidRPr="000F7C87">
        <w:rPr>
          <w:b/>
          <w:szCs w:val="26"/>
        </w:rPr>
        <w:t>2.1. Khái quát về Nhà trường và nguồn hình thành tài sản trí tuệ</w:t>
      </w:r>
    </w:p>
    <w:p w14:paraId="0DE297E1" w14:textId="77777777" w:rsidR="005B561C" w:rsidRPr="000F7C87" w:rsidRDefault="00000000">
      <w:pPr>
        <w:keepNext/>
        <w:spacing w:before="200" w:after="100"/>
        <w:ind w:firstLine="0"/>
        <w:outlineLvl w:val="2"/>
        <w:rPr>
          <w:szCs w:val="26"/>
        </w:rPr>
      </w:pPr>
      <w:r w:rsidRPr="000F7C87">
        <w:rPr>
          <w:b/>
          <w:szCs w:val="26"/>
        </w:rPr>
        <w:t>2.1.1. Tổ chức và nhân lực</w:t>
      </w:r>
    </w:p>
    <w:p w14:paraId="48E95726" w14:textId="77777777" w:rsidR="005B561C" w:rsidRPr="000F7C87" w:rsidRDefault="00000000">
      <w:pPr>
        <w:rPr>
          <w:szCs w:val="26"/>
        </w:rPr>
      </w:pPr>
      <w:r w:rsidRPr="000F7C87">
        <w:rPr>
          <w:szCs w:val="26"/>
        </w:rPr>
        <w:t>Trường Đại học Thành Đô là cơ sở giáo dục đại học tư thục định hướng ứng dụng, đào tạo mười tám ngành do ba viện quản lý: Viện Quản trị và Công nghệ chín ngành, trong đó có ngành Quản lý kinh tế ở trình độ thạc sĩ và tiến sĩ; Viện Ngôn ngữ - Văn hóa - Quốc tế sáu ngành; Viện Y - Dược ba ngành. Bộ máy gồm ba khối dưới Ban Giám hiệu. Khối Quản trị và Dịch vụ có Phòng Khoa học Công nghệ, Phòng Tài chính - Kế toán, Trung tâm Tuyển sinh và Quản trị thương hiệu, Trung tâm Dịch vụ và Quản trị hành chính tổng hợp cùng một số đơn vị khác. Khối Đào tạo và Nghiên cứu gồm ba viện đào tạo, Viện Nghiên cứu giáo dục và Chuyển giao tri thức, Tạp chí Nghiên cứu Khoa học và Phát triển và các trung tâm. Khối Doanh nghiệp có Công ty Thadotek. Trường Tiểu học và Trung học cơ sở UNIGO trong hệ sinh thái giáo dục là pháp nhân riêng, nên tài sản trí tuệ của trường này không thuộc phạm vi phân tích.</w:t>
      </w:r>
    </w:p>
    <w:p w14:paraId="48E95726" w14:textId="77777777" w:rsidR="005B561C" w:rsidRPr="000F7C87" w:rsidRDefault="00000000">
      <w:pPr>
        <w:rPr>
          <w:szCs w:val="26"/>
        </w:rPr>
      </w:pPr>
      <w:r w:rsidRPr="000F7C87">
        <w:rPr>
          <w:szCs w:val="26"/>
        </w:rPr>
        <w:t>Năm 2026, Nhà trường có 252 nhân sự, trong đó 145 giảng viên. Cơ cấu theo đơn vị và trình độ được trình bày tại Bảng 2.1.</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trPr>
          <w:tblHeader/>
          <w:cantSplit/>
        </w:trPr>
        <w:tc>
          <w:tcPr>
            <w:tcW w:w="3165" w:type="dxa"/>
            <w:shd w:val="clear" w:color="auto" w:fill="DCE8F7"/>
            <w:vAlign w:val="center"/>
          </w:tcPr>
          <w:p>
            <w:pPr>
              <w:spacing w:before="20" w:after="20" w:line="252" w:lineRule="auto"/>
              <w:ind w:firstLine="0"/>
              <w:jc w:val="center"/>
            </w:pPr>
            <w:r>
              <w:rPr>
                <w:b/>
                <w:sz w:val="24"/>
              </w:rPr>
              <w:t xml:space="preserve">Đơn vị</w:t>
            </w:r>
          </w:p>
        </w:tc>
        <w:tc>
          <w:tcPr>
            <w:tcW w:w="852" w:type="dxa"/>
            <w:shd w:val="clear" w:color="auto" w:fill="DCE8F7"/>
            <w:vAlign w:val="center"/>
          </w:tcPr>
          <w:p>
            <w:pPr>
              <w:spacing w:before="20" w:after="20" w:line="252" w:lineRule="auto"/>
              <w:ind w:firstLine="0"/>
              <w:jc w:val="center"/>
            </w:pPr>
            <w:r>
              <w:rPr>
                <w:b/>
                <w:sz w:val="24"/>
              </w:rPr>
              <w:t xml:space="preserve">Tổng số</w:t>
            </w:r>
          </w:p>
        </w:tc>
        <w:tc>
          <w:tcPr>
            <w:tcW w:w="973" w:type="dxa"/>
            <w:shd w:val="clear" w:color="auto" w:fill="DCE8F7"/>
            <w:vAlign w:val="center"/>
          </w:tcPr>
          <w:p>
            <w:pPr>
              <w:spacing w:before="20" w:after="20" w:line="252" w:lineRule="auto"/>
              <w:ind w:firstLine="0"/>
              <w:jc w:val="center"/>
            </w:pPr>
            <w:r>
              <w:rPr>
                <w:b/>
                <w:sz w:val="24"/>
              </w:rPr>
              <w:t xml:space="preserve">Giảng viên</w:t>
            </w:r>
          </w:p>
        </w:tc>
        <w:tc>
          <w:tcPr>
            <w:tcW w:w="1095" w:type="dxa"/>
            <w:shd w:val="clear" w:color="auto" w:fill="DCE8F7"/>
            <w:vAlign w:val="center"/>
          </w:tcPr>
          <w:p>
            <w:pPr>
              <w:spacing w:before="20" w:after="20" w:line="252" w:lineRule="auto"/>
              <w:ind w:firstLine="0"/>
              <w:jc w:val="center"/>
            </w:pPr>
            <w:r>
              <w:rPr>
                <w:b/>
                <w:sz w:val="24"/>
              </w:rPr>
              <w:t xml:space="preserve">Tiến sĩ và tương đương</w:t>
            </w:r>
          </w:p>
        </w:tc>
        <w:tc>
          <w:tcPr>
            <w:tcW w:w="913" w:type="dxa"/>
            <w:shd w:val="clear" w:color="auto" w:fill="DCE8F7"/>
            <w:vAlign w:val="center"/>
          </w:tcPr>
          <w:p>
            <w:pPr>
              <w:spacing w:before="20" w:after="20" w:line="252" w:lineRule="auto"/>
              <w:ind w:firstLine="0"/>
              <w:jc w:val="center"/>
            </w:pPr>
            <w:r>
              <w:rPr>
                <w:b/>
                <w:sz w:val="24"/>
              </w:rPr>
              <w:t xml:space="preserve">Trong đó GS, PGS</w:t>
            </w:r>
          </w:p>
        </w:tc>
        <w:tc>
          <w:tcPr>
            <w:tcW w:w="1095" w:type="dxa"/>
            <w:shd w:val="clear" w:color="auto" w:fill="DCE8F7"/>
            <w:vAlign w:val="center"/>
          </w:tcPr>
          <w:p>
            <w:pPr>
              <w:spacing w:before="20" w:after="20" w:line="252" w:lineRule="auto"/>
              <w:ind w:firstLine="0"/>
              <w:jc w:val="center"/>
            </w:pPr>
            <w:r>
              <w:rPr>
                <w:b/>
                <w:sz w:val="24"/>
              </w:rPr>
              <w:t xml:space="preserve">Thạc sĩ và tương đương</w:t>
            </w:r>
          </w:p>
        </w:tc>
        <w:tc>
          <w:tcPr>
            <w:tcW w:w="973" w:type="dxa"/>
            <w:shd w:val="clear" w:color="auto" w:fill="DCE8F7"/>
            <w:vAlign w:val="center"/>
          </w:tcPr>
          <w:p>
            <w:pPr>
              <w:spacing w:before="20" w:after="20" w:line="252" w:lineRule="auto"/>
              <w:ind w:firstLine="0"/>
              <w:jc w:val="center"/>
            </w:pPr>
            <w:r>
              <w:rPr>
                <w:b/>
                <w:sz w:val="24"/>
              </w:rPr>
              <w:t xml:space="preserve">Đại học và khác</w:t>
            </w:r>
          </w:p>
        </w:tc>
      </w:tr>
      <w:tr>
        <w:trPr/>
        <w:tc>
          <w:tcPr>
            <w:tcW w:w="3165" w:type="dxa"/>
            <w:vAlign w:val="center"/>
          </w:tcPr>
          <w:p>
            <w:pPr>
              <w:spacing w:before="20" w:after="20" w:line="252" w:lineRule="auto"/>
              <w:ind w:firstLine="0"/>
              <w:jc w:val="left"/>
            </w:pPr>
            <w:r>
              <w:rPr>
                <w:sz w:val="24"/>
              </w:rPr>
              <w:t xml:space="preserve">Viện Y - Dược</w:t>
            </w:r>
          </w:p>
        </w:tc>
        <w:tc>
          <w:tcPr>
            <w:tcW w:w="852" w:type="dxa"/>
            <w:vAlign w:val="center"/>
          </w:tcPr>
          <w:p>
            <w:pPr>
              <w:spacing w:before="20" w:after="20" w:line="252" w:lineRule="auto"/>
              <w:ind w:firstLine="0"/>
              <w:jc w:val="center"/>
            </w:pPr>
            <w:r>
              <w:rPr>
                <w:sz w:val="24"/>
              </w:rPr>
              <w:t xml:space="preserve">70</w:t>
            </w:r>
          </w:p>
        </w:tc>
        <w:tc>
          <w:tcPr>
            <w:tcW w:w="973" w:type="dxa"/>
            <w:vAlign w:val="center"/>
          </w:tcPr>
          <w:p>
            <w:pPr>
              <w:spacing w:before="20" w:after="20" w:line="252" w:lineRule="auto"/>
              <w:ind w:firstLine="0"/>
              <w:jc w:val="center"/>
            </w:pPr>
            <w:r>
              <w:rPr>
                <w:sz w:val="24"/>
              </w:rPr>
              <w:t xml:space="preserve">64</w:t>
            </w:r>
          </w:p>
        </w:tc>
        <w:tc>
          <w:tcPr>
            <w:tcW w:w="1095" w:type="dxa"/>
            <w:vAlign w:val="center"/>
          </w:tcPr>
          <w:p>
            <w:pPr>
              <w:spacing w:before="20" w:after="20" w:line="252" w:lineRule="auto"/>
              <w:ind w:firstLine="0"/>
              <w:jc w:val="center"/>
            </w:pPr>
            <w:r>
              <w:rPr>
                <w:sz w:val="24"/>
              </w:rPr>
              <w:t xml:space="preserve">42</w:t>
            </w:r>
          </w:p>
        </w:tc>
        <w:tc>
          <w:tcPr>
            <w:tcW w:w="913" w:type="dxa"/>
            <w:vAlign w:val="center"/>
          </w:tcPr>
          <w:p>
            <w:pPr>
              <w:spacing w:before="20" w:after="20" w:line="252" w:lineRule="auto"/>
              <w:ind w:firstLine="0"/>
              <w:jc w:val="center"/>
            </w:pPr>
            <w:r>
              <w:rPr>
                <w:sz w:val="24"/>
              </w:rPr>
              <w:t xml:space="preserve">8</w:t>
            </w:r>
          </w:p>
        </w:tc>
        <w:tc>
          <w:tcPr>
            <w:tcW w:w="1095" w:type="dxa"/>
            <w:vAlign w:val="center"/>
          </w:tcPr>
          <w:p>
            <w:pPr>
              <w:spacing w:before="20" w:after="20" w:line="252" w:lineRule="auto"/>
              <w:ind w:firstLine="0"/>
              <w:jc w:val="center"/>
            </w:pPr>
            <w:r>
              <w:rPr>
                <w:sz w:val="24"/>
              </w:rPr>
              <w:t xml:space="preserve">26</w:t>
            </w:r>
          </w:p>
        </w:tc>
        <w:tc>
          <w:tcPr>
            <w:tcW w:w="973" w:type="dxa"/>
            <w:vAlign w:val="center"/>
          </w:tcPr>
          <w:p>
            <w:pPr>
              <w:spacing w:before="20" w:after="20" w:line="252" w:lineRule="auto"/>
              <w:ind w:firstLine="0"/>
              <w:jc w:val="center"/>
            </w:pPr>
            <w:r>
              <w:rPr>
                <w:sz w:val="24"/>
              </w:rPr>
              <w:t xml:space="preserve">2</w:t>
            </w:r>
          </w:p>
        </w:tc>
      </w:tr>
      <w:tr>
        <w:trPr/>
        <w:tc>
          <w:tcPr>
            <w:tcW w:w="3165" w:type="dxa"/>
            <w:vAlign w:val="center"/>
          </w:tcPr>
          <w:p>
            <w:pPr>
              <w:spacing w:before="20" w:after="20" w:line="252" w:lineRule="auto"/>
              <w:ind w:firstLine="0"/>
              <w:jc w:val="left"/>
            </w:pPr>
            <w:r>
              <w:rPr>
                <w:sz w:val="24"/>
              </w:rPr>
              <w:t xml:space="preserve">Viện Quản trị và Công nghệ</w:t>
            </w:r>
          </w:p>
        </w:tc>
        <w:tc>
          <w:tcPr>
            <w:tcW w:w="852" w:type="dxa"/>
            <w:vAlign w:val="center"/>
          </w:tcPr>
          <w:p>
            <w:pPr>
              <w:spacing w:before="20" w:after="20" w:line="252" w:lineRule="auto"/>
              <w:ind w:firstLine="0"/>
              <w:jc w:val="center"/>
            </w:pPr>
            <w:r>
              <w:rPr>
                <w:sz w:val="24"/>
              </w:rPr>
              <w:t xml:space="preserve">47</w:t>
            </w:r>
          </w:p>
        </w:tc>
        <w:tc>
          <w:tcPr>
            <w:tcW w:w="973" w:type="dxa"/>
            <w:vAlign w:val="center"/>
          </w:tcPr>
          <w:p>
            <w:pPr>
              <w:spacing w:before="20" w:after="20" w:line="252" w:lineRule="auto"/>
              <w:ind w:firstLine="0"/>
              <w:jc w:val="center"/>
            </w:pPr>
            <w:r>
              <w:rPr>
                <w:sz w:val="24"/>
              </w:rPr>
              <w:t xml:space="preserve">42</w:t>
            </w:r>
          </w:p>
        </w:tc>
        <w:tc>
          <w:tcPr>
            <w:tcW w:w="1095" w:type="dxa"/>
            <w:vAlign w:val="center"/>
          </w:tcPr>
          <w:p>
            <w:pPr>
              <w:spacing w:before="20" w:after="20" w:line="252" w:lineRule="auto"/>
              <w:ind w:firstLine="0"/>
              <w:jc w:val="center"/>
            </w:pPr>
            <w:r>
              <w:rPr>
                <w:sz w:val="24"/>
              </w:rPr>
              <w:t xml:space="preserve">29</w:t>
            </w:r>
          </w:p>
        </w:tc>
        <w:tc>
          <w:tcPr>
            <w:tcW w:w="913" w:type="dxa"/>
            <w:vAlign w:val="center"/>
          </w:tcPr>
          <w:p>
            <w:pPr>
              <w:spacing w:before="20" w:after="20" w:line="252" w:lineRule="auto"/>
              <w:ind w:firstLine="0"/>
              <w:jc w:val="center"/>
            </w:pPr>
            <w:r>
              <w:rPr>
                <w:sz w:val="24"/>
              </w:rPr>
              <w:t xml:space="preserve">9</w:t>
            </w:r>
          </w:p>
        </w:tc>
        <w:tc>
          <w:tcPr>
            <w:tcW w:w="1095" w:type="dxa"/>
            <w:vAlign w:val="center"/>
          </w:tcPr>
          <w:p>
            <w:pPr>
              <w:spacing w:before="20" w:after="20" w:line="252" w:lineRule="auto"/>
              <w:ind w:firstLine="0"/>
              <w:jc w:val="center"/>
            </w:pPr>
            <w:r>
              <w:rPr>
                <w:sz w:val="24"/>
              </w:rPr>
              <w:t xml:space="preserve">17</w:t>
            </w:r>
          </w:p>
        </w:tc>
        <w:tc>
          <w:tcPr>
            <w:tcW w:w="973" w:type="dxa"/>
            <w:vAlign w:val="center"/>
          </w:tcPr>
          <w:p>
            <w:pPr>
              <w:spacing w:before="20" w:after="20" w:line="252" w:lineRule="auto"/>
              <w:ind w:firstLine="0"/>
              <w:jc w:val="center"/>
            </w:pPr>
            <w:r>
              <w:rPr>
                <w:sz w:val="24"/>
              </w:rPr>
              <w:t xml:space="preserve">1</w:t>
            </w:r>
          </w:p>
        </w:tc>
      </w:tr>
      <w:tr>
        <w:trPr/>
        <w:tc>
          <w:tcPr>
            <w:tcW w:w="3165" w:type="dxa"/>
            <w:vAlign w:val="center"/>
          </w:tcPr>
          <w:p>
            <w:pPr>
              <w:spacing w:before="20" w:after="20" w:line="252" w:lineRule="auto"/>
              <w:ind w:firstLine="0"/>
              <w:jc w:val="left"/>
            </w:pPr>
            <w:r>
              <w:rPr>
                <w:sz w:val="24"/>
              </w:rPr>
              <w:t xml:space="preserve">Viện Ngôn ngữ - Văn hóa - Quốc tế</w:t>
            </w:r>
          </w:p>
        </w:tc>
        <w:tc>
          <w:tcPr>
            <w:tcW w:w="852" w:type="dxa"/>
            <w:vAlign w:val="center"/>
          </w:tcPr>
          <w:p>
            <w:pPr>
              <w:spacing w:before="20" w:after="20" w:line="252" w:lineRule="auto"/>
              <w:ind w:firstLine="0"/>
              <w:jc w:val="center"/>
            </w:pPr>
            <w:r>
              <w:rPr>
                <w:sz w:val="24"/>
              </w:rPr>
              <w:t xml:space="preserve">29</w:t>
            </w:r>
          </w:p>
        </w:tc>
        <w:tc>
          <w:tcPr>
            <w:tcW w:w="973" w:type="dxa"/>
            <w:vAlign w:val="center"/>
          </w:tcPr>
          <w:p>
            <w:pPr>
              <w:spacing w:before="20" w:after="20" w:line="252" w:lineRule="auto"/>
              <w:ind w:firstLine="0"/>
              <w:jc w:val="center"/>
            </w:pPr>
            <w:r>
              <w:rPr>
                <w:sz w:val="24"/>
              </w:rPr>
              <w:t xml:space="preserve">25</w:t>
            </w:r>
          </w:p>
        </w:tc>
        <w:tc>
          <w:tcPr>
            <w:tcW w:w="1095" w:type="dxa"/>
            <w:vAlign w:val="center"/>
          </w:tcPr>
          <w:p>
            <w:pPr>
              <w:spacing w:before="20" w:after="20" w:line="252" w:lineRule="auto"/>
              <w:ind w:firstLine="0"/>
              <w:jc w:val="center"/>
            </w:pPr>
            <w:r>
              <w:rPr>
                <w:sz w:val="24"/>
              </w:rPr>
              <w:t xml:space="preserve">10</w:t>
            </w:r>
          </w:p>
        </w:tc>
        <w:tc>
          <w:tcPr>
            <w:tcW w:w="913" w:type="dxa"/>
            <w:vAlign w:val="center"/>
          </w:tcPr>
          <w:p>
            <w:pPr>
              <w:spacing w:before="20" w:after="20" w:line="252" w:lineRule="auto"/>
              <w:ind w:firstLine="0"/>
              <w:jc w:val="center"/>
            </w:pPr>
            <w:r>
              <w:rPr>
                <w:sz w:val="24"/>
              </w:rPr>
              <w:t xml:space="preserve">5</w:t>
            </w:r>
          </w:p>
        </w:tc>
        <w:tc>
          <w:tcPr>
            <w:tcW w:w="1095" w:type="dxa"/>
            <w:vAlign w:val="center"/>
          </w:tcPr>
          <w:p>
            <w:pPr>
              <w:spacing w:before="20" w:after="20" w:line="252" w:lineRule="auto"/>
              <w:ind w:firstLine="0"/>
              <w:jc w:val="center"/>
            </w:pPr>
            <w:r>
              <w:rPr>
                <w:sz w:val="24"/>
              </w:rPr>
              <w:t xml:space="preserve">18</w:t>
            </w:r>
          </w:p>
        </w:tc>
        <w:tc>
          <w:tcPr>
            <w:tcW w:w="973" w:type="dxa"/>
            <w:vAlign w:val="center"/>
          </w:tcPr>
          <w:p>
            <w:pPr>
              <w:spacing w:before="20" w:after="20" w:line="252" w:lineRule="auto"/>
              <w:ind w:firstLine="0"/>
              <w:jc w:val="center"/>
            </w:pPr>
            <w:r>
              <w:rPr>
                <w:sz w:val="24"/>
              </w:rPr>
              <w:t xml:space="preserve">1</w:t>
            </w:r>
          </w:p>
        </w:tc>
      </w:tr>
      <w:tr>
        <w:trPr/>
        <w:tc>
          <w:tcPr>
            <w:tcW w:w="3165" w:type="dxa"/>
            <w:vAlign w:val="center"/>
          </w:tcPr>
          <w:p>
            <w:pPr>
              <w:spacing w:before="20" w:after="20" w:line="252" w:lineRule="auto"/>
              <w:ind w:firstLine="0"/>
              <w:jc w:val="left"/>
            </w:pPr>
            <w:r>
              <w:rPr>
                <w:sz w:val="24"/>
              </w:rPr>
              <w:t xml:space="preserve">Trung tâm Tuyển sinh và Quản trị thương hiệu</w:t>
            </w:r>
          </w:p>
        </w:tc>
        <w:tc>
          <w:tcPr>
            <w:tcW w:w="852" w:type="dxa"/>
            <w:vAlign w:val="center"/>
          </w:tcPr>
          <w:p>
            <w:pPr>
              <w:spacing w:before="20" w:after="20" w:line="252" w:lineRule="auto"/>
              <w:ind w:firstLine="0"/>
              <w:jc w:val="center"/>
            </w:pPr>
            <w:r>
              <w:rPr>
                <w:sz w:val="24"/>
              </w:rPr>
              <w:t xml:space="preserve">15</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2</w:t>
            </w:r>
          </w:p>
        </w:tc>
        <w:tc>
          <w:tcPr>
            <w:tcW w:w="973" w:type="dxa"/>
            <w:vAlign w:val="center"/>
          </w:tcPr>
          <w:p>
            <w:pPr>
              <w:spacing w:before="20" w:after="20" w:line="252" w:lineRule="auto"/>
              <w:ind w:firstLine="0"/>
              <w:jc w:val="center"/>
            </w:pPr>
            <w:r>
              <w:rPr>
                <w:sz w:val="24"/>
              </w:rPr>
              <w:t xml:space="preserve">13</w:t>
            </w:r>
          </w:p>
        </w:tc>
      </w:tr>
      <w:tr>
        <w:trPr/>
        <w:tc>
          <w:tcPr>
            <w:tcW w:w="3165" w:type="dxa"/>
            <w:vAlign w:val="center"/>
          </w:tcPr>
          <w:p>
            <w:pPr>
              <w:spacing w:before="20" w:after="20" w:line="252" w:lineRule="auto"/>
              <w:ind w:firstLine="0"/>
              <w:jc w:val="left"/>
            </w:pPr>
            <w:r>
              <w:rPr>
                <w:sz w:val="24"/>
              </w:rPr>
              <w:t xml:space="preserve">Trung tâm Dịch vụ và Quản trị hành chính tổng hợp</w:t>
            </w:r>
          </w:p>
        </w:tc>
        <w:tc>
          <w:tcPr>
            <w:tcW w:w="852" w:type="dxa"/>
            <w:vAlign w:val="center"/>
          </w:tcPr>
          <w:p>
            <w:pPr>
              <w:spacing w:before="20" w:after="20" w:line="252" w:lineRule="auto"/>
              <w:ind w:firstLine="0"/>
              <w:jc w:val="center"/>
            </w:pPr>
            <w:r>
              <w:rPr>
                <w:sz w:val="24"/>
              </w:rPr>
              <w:t xml:space="preserve">14</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10</w:t>
            </w:r>
          </w:p>
        </w:tc>
      </w:tr>
      <w:tr>
        <w:trPr/>
        <w:tc>
          <w:tcPr>
            <w:tcW w:w="3165" w:type="dxa"/>
            <w:vAlign w:val="center"/>
          </w:tcPr>
          <w:p>
            <w:pPr>
              <w:spacing w:before="20" w:after="20" w:line="252" w:lineRule="auto"/>
              <w:ind w:firstLine="0"/>
              <w:jc w:val="left"/>
            </w:pPr>
            <w:r>
              <w:rPr>
                <w:sz w:val="24"/>
              </w:rPr>
              <w:t xml:space="preserve">Ban Giáo dục cơ bản</w:t>
            </w:r>
          </w:p>
        </w:tc>
        <w:tc>
          <w:tcPr>
            <w:tcW w:w="852" w:type="dxa"/>
            <w:vAlign w:val="center"/>
          </w:tcPr>
          <w:p>
            <w:pPr>
              <w:spacing w:before="20" w:after="20" w:line="252" w:lineRule="auto"/>
              <w:ind w:firstLine="0"/>
              <w:jc w:val="center"/>
            </w:pPr>
            <w:r>
              <w:rPr>
                <w:sz w:val="24"/>
              </w:rPr>
              <w:t xml:space="preserve">12</w:t>
            </w:r>
          </w:p>
        </w:tc>
        <w:tc>
          <w:tcPr>
            <w:tcW w:w="973" w:type="dxa"/>
            <w:vAlign w:val="center"/>
          </w:tcPr>
          <w:p>
            <w:pPr>
              <w:spacing w:before="20" w:after="20" w:line="252" w:lineRule="auto"/>
              <w:ind w:firstLine="0"/>
              <w:jc w:val="center"/>
            </w:pPr>
            <w:r>
              <w:rPr>
                <w:sz w:val="24"/>
              </w:rPr>
              <w:t xml:space="preserve">10</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1</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2</w:t>
            </w:r>
          </w:p>
        </w:tc>
      </w:tr>
      <w:tr>
        <w:trPr/>
        <w:tc>
          <w:tcPr>
            <w:tcW w:w="3165" w:type="dxa"/>
            <w:vAlign w:val="center"/>
          </w:tcPr>
          <w:p>
            <w:pPr>
              <w:spacing w:before="20" w:after="20" w:line="252" w:lineRule="auto"/>
              <w:ind w:firstLine="0"/>
              <w:jc w:val="left"/>
            </w:pPr>
            <w:r>
              <w:rPr>
                <w:sz w:val="24"/>
              </w:rPr>
              <w:t xml:space="preserve">Viện Nghiên cứu giáo dục và Chuyển giao tri thức</w:t>
            </w:r>
          </w:p>
        </w:tc>
        <w:tc>
          <w:tcPr>
            <w:tcW w:w="852" w:type="dxa"/>
            <w:vAlign w:val="center"/>
          </w:tcPr>
          <w:p>
            <w:pPr>
              <w:spacing w:before="20" w:after="20" w:line="252" w:lineRule="auto"/>
              <w:ind w:firstLine="0"/>
              <w:jc w:val="center"/>
            </w:pPr>
            <w:r>
              <w:rPr>
                <w:sz w:val="24"/>
              </w:rPr>
              <w:t xml:space="preserve">6</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73" w:type="dxa"/>
            <w:vAlign w:val="center"/>
          </w:tcPr>
          <w:p>
            <w:pPr>
              <w:spacing w:before="20" w:after="20" w:line="252" w:lineRule="auto"/>
              <w:ind w:firstLine="0"/>
              <w:jc w:val="center"/>
            </w:pPr>
            <w:r>
              <w:rPr>
                <w:sz w:val="24"/>
              </w:rPr>
              <w:t xml:space="preserve">4</w:t>
            </w:r>
          </w:p>
        </w:tc>
      </w:tr>
      <w:tr>
        <w:trPr/>
        <w:tc>
          <w:tcPr>
            <w:tcW w:w="3165" w:type="dxa"/>
            <w:vAlign w:val="center"/>
          </w:tcPr>
          <w:p>
            <w:pPr>
              <w:spacing w:before="20" w:after="20" w:line="252" w:lineRule="auto"/>
              <w:ind w:firstLine="0"/>
              <w:jc w:val="left"/>
            </w:pPr>
            <w:r>
              <w:rPr>
                <w:sz w:val="24"/>
              </w:rPr>
              <w:t xml:space="preserve">Các đơn vị khác</w:t>
            </w:r>
          </w:p>
        </w:tc>
        <w:tc>
          <w:tcPr>
            <w:tcW w:w="852" w:type="dxa"/>
            <w:vAlign w:val="center"/>
          </w:tcPr>
          <w:p>
            <w:pPr>
              <w:spacing w:before="20" w:after="20" w:line="252" w:lineRule="auto"/>
              <w:ind w:firstLine="0"/>
              <w:jc w:val="center"/>
            </w:pPr>
            <w:r>
              <w:rPr>
                <w:sz w:val="24"/>
              </w:rPr>
              <w:t xml:space="preserve">59</w:t>
            </w:r>
          </w:p>
        </w:tc>
        <w:tc>
          <w:tcPr>
            <w:tcW w:w="973" w:type="dxa"/>
            <w:vAlign w:val="center"/>
          </w:tcPr>
          <w:p>
            <w:pPr>
              <w:spacing w:before="20" w:after="20" w:line="252" w:lineRule="auto"/>
              <w:ind w:firstLine="0"/>
              <w:jc w:val="center"/>
            </w:pPr>
            <w:r>
              <w:rPr>
                <w:sz w:val="24"/>
              </w:rPr>
              <w:t xml:space="preserve">4</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2</w:t>
            </w:r>
          </w:p>
        </w:tc>
        <w:tc>
          <w:tcPr>
            <w:tcW w:w="1095" w:type="dxa"/>
            <w:vAlign w:val="center"/>
          </w:tcPr>
          <w:p>
            <w:pPr>
              <w:spacing w:before="20" w:after="20" w:line="252" w:lineRule="auto"/>
              <w:ind w:firstLine="0"/>
              <w:jc w:val="center"/>
            </w:pPr>
            <w:r>
              <w:rPr>
                <w:sz w:val="24"/>
              </w:rPr>
              <w:t xml:space="preserve">22</w:t>
            </w:r>
          </w:p>
        </w:tc>
        <w:tc>
          <w:tcPr>
            <w:tcW w:w="973" w:type="dxa"/>
            <w:vAlign w:val="center"/>
          </w:tcPr>
          <w:p>
            <w:pPr>
              <w:spacing w:before="20" w:after="20" w:line="252" w:lineRule="auto"/>
              <w:ind w:firstLine="0"/>
              <w:jc w:val="center"/>
            </w:pPr>
            <w:r>
              <w:rPr>
                <w:sz w:val="24"/>
              </w:rPr>
              <w:t xml:space="preserve">31</w:t>
            </w:r>
          </w:p>
        </w:tc>
      </w:tr>
      <w:tr>
        <w:trPr/>
        <w:tc>
          <w:tcPr>
            <w:tcW w:w="3165" w:type="dxa"/>
            <w:vAlign w:val="center"/>
          </w:tcPr>
          <w:p>
            <w:pPr>
              <w:spacing w:before="20" w:after="20" w:line="252" w:lineRule="auto"/>
              <w:ind w:firstLine="0"/>
              <w:jc w:val="left"/>
            </w:pPr>
            <w:r>
              <w:rPr>
                <w:b/>
                <w:sz w:val="24"/>
              </w:rPr>
              <w:t xml:space="preserve">Tổng cộng</w:t>
            </w:r>
          </w:p>
        </w:tc>
        <w:tc>
          <w:tcPr>
            <w:tcW w:w="852" w:type="dxa"/>
            <w:vAlign w:val="center"/>
          </w:tcPr>
          <w:p>
            <w:pPr>
              <w:spacing w:before="20" w:after="20" w:line="252" w:lineRule="auto"/>
              <w:ind w:firstLine="0"/>
              <w:jc w:val="center"/>
            </w:pPr>
            <w:r>
              <w:rPr>
                <w:b/>
                <w:sz w:val="24"/>
              </w:rPr>
              <w:t xml:space="preserve">252</w:t>
            </w:r>
          </w:p>
        </w:tc>
        <w:tc>
          <w:tcPr>
            <w:tcW w:w="973" w:type="dxa"/>
            <w:vAlign w:val="center"/>
          </w:tcPr>
          <w:p>
            <w:pPr>
              <w:spacing w:before="20" w:after="20" w:line="252" w:lineRule="auto"/>
              <w:ind w:firstLine="0"/>
              <w:jc w:val="center"/>
            </w:pPr>
            <w:r>
              <w:rPr>
                <w:b/>
                <w:sz w:val="24"/>
              </w:rPr>
              <w:t xml:space="preserve">145</w:t>
            </w:r>
          </w:p>
        </w:tc>
        <w:tc>
          <w:tcPr>
            <w:tcW w:w="1095" w:type="dxa"/>
            <w:vAlign w:val="center"/>
          </w:tcPr>
          <w:p>
            <w:pPr>
              <w:spacing w:before="20" w:after="20" w:line="252" w:lineRule="auto"/>
              <w:ind w:firstLine="0"/>
              <w:jc w:val="center"/>
            </w:pPr>
            <w:r>
              <w:rPr>
                <w:b/>
                <w:sz w:val="24"/>
              </w:rPr>
              <w:t xml:space="preserve">94</w:t>
            </w:r>
          </w:p>
        </w:tc>
        <w:tc>
          <w:tcPr>
            <w:tcW w:w="913" w:type="dxa"/>
            <w:vAlign w:val="center"/>
          </w:tcPr>
          <w:p>
            <w:pPr>
              <w:spacing w:before="20" w:after="20" w:line="252" w:lineRule="auto"/>
              <w:ind w:firstLine="0"/>
              <w:jc w:val="center"/>
            </w:pPr>
            <w:r>
              <w:rPr>
                <w:b/>
                <w:sz w:val="24"/>
              </w:rPr>
              <w:t xml:space="preserve">25</w:t>
            </w:r>
          </w:p>
        </w:tc>
        <w:tc>
          <w:tcPr>
            <w:tcW w:w="1095" w:type="dxa"/>
            <w:vAlign w:val="center"/>
          </w:tcPr>
          <w:p>
            <w:pPr>
              <w:spacing w:before="20" w:after="20" w:line="252" w:lineRule="auto"/>
              <w:ind w:firstLine="0"/>
              <w:jc w:val="center"/>
            </w:pPr>
            <w:r>
              <w:rPr>
                <w:b/>
                <w:sz w:val="24"/>
              </w:rPr>
              <w:t xml:space="preserve">94</w:t>
            </w:r>
          </w:p>
        </w:tc>
        <w:tc>
          <w:tcPr>
            <w:tcW w:w="973" w:type="dxa"/>
            <w:vAlign w:val="center"/>
          </w:tcPr>
          <w:p>
            <w:pPr>
              <w:spacing w:before="20" w:after="20" w:line="252" w:lineRule="auto"/>
              <w:ind w:firstLine="0"/>
              <w:jc w:val="center"/>
            </w:pPr>
            <w:r>
              <w:rPr>
                <w:b/>
                <w:sz w:val="24"/>
              </w:rPr>
              <w:t xml:space="preserve">64</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sách nhân sự năm 2026 của Trường Đại học Thành Đô. Tiến sĩ và tương đương gồm người có học hàm giáo sư, phó giáo sư và bác sĩ chuyên khoa II; thạc sĩ và tương đương gồm dược sĩ chuyên khoa I.</w:t>
      </w:r>
    </w:p>
    <w:p w14:paraId="48E95726" w14:textId="77777777" w:rsidR="005B561C" w:rsidRPr="000F7C87" w:rsidRDefault="00000000">
      <w:pPr>
        <w:rPr>
          <w:szCs w:val="26"/>
        </w:rPr>
      </w:pPr>
      <w:r w:rsidRPr="000F7C87">
        <w:rPr>
          <w:szCs w:val="26"/>
        </w:rPr>
        <w:t>Bảng 2.1 cho thấy nguồn nhân lực trình độ cao tập trung ở các viện đào tạo: ba viện chiếm 57,9% nhân sự nhưng có 81 trên 94 người trình độ tiến sĩ, tức 86,2%, và 22 trên 25 người có học hàm. Đây là lực lượng có khả năng nhận diện kết quả nghiên cứu có thể bảo hộ. Các thủ tục xác lập quyền, quản trị thương hiệu và pháp chế được giao cho các đơn vị thuộc khối Quản trị và Dịch vụ, nơi đội ngũ được bố trí theo yêu cầu nghiệp vụ hành chính và dịch vụ. Phòng Khoa học Công nghệ, đơn vị đầu mối theo quy chế, có 2 nhân sự trình độ thạc sĩ đồng thời đảm nhiệm nhiều mảng quản lý khoa học, nên chưa có vị trí chuyên trách về sở hữu trí tuệ. Cách phân công này hợp lý về chức năng, song đòi hỏi một cơ chế phối hợp chặt chẽ giữa hai khối, như phân tích tại Mục 2.2.2.</w:t>
      </w:r>
    </w:p>
    <w:p w14:paraId="0DE297E1" w14:textId="77777777" w:rsidR="005B561C" w:rsidRPr="000F7C87" w:rsidRDefault="00000000">
      <w:pPr>
        <w:keepNext/>
        <w:spacing w:before="200" w:after="100"/>
        <w:ind w:firstLine="0"/>
        <w:outlineLvl w:val="2"/>
        <w:rPr>
          <w:szCs w:val="26"/>
        </w:rPr>
      </w:pPr>
      <w:r w:rsidRPr="000F7C87">
        <w:rPr>
          <w:b/>
          <w:szCs w:val="26"/>
        </w:rPr>
        <w:t>2.1.2. Sản phẩm khoa học giai đoạn 2021 - 2025</w:t>
      </w:r>
    </w:p>
    <w:p w14:paraId="48E95726" w14:textId="77777777" w:rsidR="005B561C" w:rsidRPr="000F7C87" w:rsidRDefault="00000000">
      <w:pPr>
        <w:rPr>
          <w:szCs w:val="26"/>
        </w:rPr>
      </w:pPr>
      <w:r w:rsidRPr="000F7C87">
        <w:rPr>
          <w:szCs w:val="26"/>
        </w:rPr>
        <w:t>Các danh mục thống kê của Phòng Khoa học Công nghệ ghi nhận 582 bản ghi sản phẩm khoa học trong giai đoạn 2021 - 2025, được trình bày tại Bảng 2.2.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trPr>
          <w:tblHeader/>
          <w:cantSplit/>
        </w:trPr>
        <w:tc>
          <w:tcPr>
            <w:tcW w:w="3856" w:type="dxa"/>
            <w:shd w:val="clear" w:color="auto" w:fill="DCE8F7"/>
            <w:vAlign w:val="center"/>
          </w:tcPr>
          <w:p>
            <w:pPr>
              <w:spacing w:before="20" w:after="20" w:line="252" w:lineRule="auto"/>
              <w:ind w:firstLine="0"/>
              <w:jc w:val="center"/>
            </w:pPr>
            <w:r>
              <w:rPr>
                <w:b/>
                <w:sz w:val="24"/>
              </w:rPr>
              <w:t xml:space="preserve">Loại sản phẩm</w:t>
            </w:r>
          </w:p>
        </w:tc>
        <w:tc>
          <w:tcPr>
            <w:tcW w:w="857" w:type="dxa"/>
            <w:shd w:val="clear" w:color="auto" w:fill="DCE8F7"/>
            <w:vAlign w:val="center"/>
          </w:tcPr>
          <w:p>
            <w:pPr>
              <w:spacing w:before="20" w:after="20" w:line="252" w:lineRule="auto"/>
              <w:ind w:firstLine="0"/>
              <w:jc w:val="center"/>
            </w:pPr>
            <w:r>
              <w:rPr>
                <w:b/>
                <w:sz w:val="24"/>
              </w:rPr>
              <w:t xml:space="preserve">2021</w:t>
            </w:r>
          </w:p>
        </w:tc>
        <w:tc>
          <w:tcPr>
            <w:tcW w:w="857" w:type="dxa"/>
            <w:shd w:val="clear" w:color="auto" w:fill="DCE8F7"/>
            <w:vAlign w:val="center"/>
          </w:tcPr>
          <w:p>
            <w:pPr>
              <w:spacing w:before="20" w:after="20" w:line="252" w:lineRule="auto"/>
              <w:ind w:firstLine="0"/>
              <w:jc w:val="center"/>
            </w:pPr>
            <w:r>
              <w:rPr>
                <w:b/>
                <w:sz w:val="24"/>
              </w:rPr>
              <w:t xml:space="preserve">2022</w:t>
            </w:r>
          </w:p>
        </w:tc>
        <w:tc>
          <w:tcPr>
            <w:tcW w:w="857" w:type="dxa"/>
            <w:shd w:val="clear" w:color="auto" w:fill="DCE8F7"/>
            <w:vAlign w:val="center"/>
          </w:tcPr>
          <w:p>
            <w:pPr>
              <w:spacing w:before="20" w:after="20" w:line="252" w:lineRule="auto"/>
              <w:ind w:firstLine="0"/>
              <w:jc w:val="center"/>
            </w:pPr>
            <w:r>
              <w:rPr>
                <w:b/>
                <w:sz w:val="24"/>
              </w:rPr>
              <w:t xml:space="preserve">2023</w:t>
            </w:r>
          </w:p>
        </w:tc>
        <w:tc>
          <w:tcPr>
            <w:tcW w:w="857" w:type="dxa"/>
            <w:shd w:val="clear" w:color="auto" w:fill="DCE8F7"/>
            <w:vAlign w:val="center"/>
          </w:tcPr>
          <w:p>
            <w:pPr>
              <w:spacing w:before="20" w:after="20" w:line="252" w:lineRule="auto"/>
              <w:ind w:firstLine="0"/>
              <w:jc w:val="center"/>
            </w:pPr>
            <w:r>
              <w:rPr>
                <w:b/>
                <w:sz w:val="24"/>
              </w:rPr>
              <w:t xml:space="preserve">2024</w:t>
            </w:r>
          </w:p>
        </w:tc>
        <w:tc>
          <w:tcPr>
            <w:tcW w:w="857" w:type="dxa"/>
            <w:shd w:val="clear" w:color="auto" w:fill="DCE8F7"/>
            <w:vAlign w:val="center"/>
          </w:tcPr>
          <w:p>
            <w:pPr>
              <w:spacing w:before="20" w:after="20" w:line="252" w:lineRule="auto"/>
              <w:ind w:firstLine="0"/>
              <w:jc w:val="center"/>
            </w:pPr>
            <w:r>
              <w:rPr>
                <w:b/>
                <w:sz w:val="24"/>
              </w:rPr>
              <w:t xml:space="preserve">2025</w:t>
            </w:r>
          </w:p>
        </w:tc>
        <w:tc>
          <w:tcPr>
            <w:tcW w:w="928" w:type="dxa"/>
            <w:shd w:val="clear" w:color="auto" w:fill="DCE8F7"/>
            <w:vAlign w:val="center"/>
          </w:tcPr>
          <w:p>
            <w:pPr>
              <w:spacing w:before="20" w:after="20" w:line="252" w:lineRule="auto"/>
              <w:ind w:firstLine="0"/>
              <w:jc w:val="center"/>
            </w:pPr>
            <w:r>
              <w:rPr>
                <w:b/>
                <w:sz w:val="24"/>
              </w:rPr>
              <w:t xml:space="preserve">Tổng</w:t>
            </w:r>
          </w:p>
        </w:tc>
      </w:tr>
      <w:tr>
        <w:trPr/>
        <w:tc>
          <w:tcPr>
            <w:tcW w:w="3856" w:type="dxa"/>
            <w:vAlign w:val="center"/>
          </w:tcPr>
          <w:p>
            <w:pPr>
              <w:spacing w:before="20" w:after="20" w:line="252" w:lineRule="auto"/>
              <w:ind w:firstLine="0"/>
              <w:jc w:val="left"/>
            </w:pPr>
            <w:r>
              <w:rPr>
                <w:sz w:val="24"/>
              </w:rPr>
              <w:t xml:space="preserve">Bài báo đăng tạp chí trong nước</w:t>
            </w:r>
          </w:p>
        </w:tc>
        <w:tc>
          <w:tcPr>
            <w:tcW w:w="857" w:type="dxa"/>
            <w:vAlign w:val="center"/>
          </w:tcPr>
          <w:p>
            <w:pPr>
              <w:spacing w:before="20" w:after="20" w:line="252" w:lineRule="auto"/>
              <w:ind w:firstLine="0"/>
              <w:jc w:val="center"/>
            </w:pPr>
            <w:r>
              <w:rPr>
                <w:sz w:val="24"/>
              </w:rPr>
              <w:t xml:space="preserve">17</w:t>
            </w:r>
          </w:p>
        </w:tc>
        <w:tc>
          <w:tcPr>
            <w:tcW w:w="857" w:type="dxa"/>
            <w:vAlign w:val="center"/>
          </w:tcPr>
          <w:p>
            <w:pPr>
              <w:spacing w:before="20" w:after="20" w:line="252" w:lineRule="auto"/>
              <w:ind w:firstLine="0"/>
              <w:jc w:val="center"/>
            </w:pPr>
            <w:r>
              <w:rPr>
                <w:sz w:val="24"/>
              </w:rPr>
              <w:t xml:space="preserve">42</w:t>
            </w:r>
          </w:p>
        </w:tc>
        <w:tc>
          <w:tcPr>
            <w:tcW w:w="857" w:type="dxa"/>
            <w:vAlign w:val="center"/>
          </w:tcPr>
          <w:p>
            <w:pPr>
              <w:spacing w:before="20" w:after="20" w:line="252" w:lineRule="auto"/>
              <w:ind w:firstLine="0"/>
              <w:jc w:val="center"/>
            </w:pPr>
            <w:r>
              <w:rPr>
                <w:sz w:val="24"/>
              </w:rPr>
              <w:t xml:space="preserve">50</w:t>
            </w:r>
          </w:p>
        </w:tc>
        <w:tc>
          <w:tcPr>
            <w:tcW w:w="857" w:type="dxa"/>
            <w:vAlign w:val="center"/>
          </w:tcPr>
          <w:p>
            <w:pPr>
              <w:spacing w:before="20" w:after="20" w:line="252" w:lineRule="auto"/>
              <w:ind w:firstLine="0"/>
              <w:jc w:val="center"/>
            </w:pPr>
            <w:r>
              <w:rPr>
                <w:sz w:val="24"/>
              </w:rPr>
              <w:t xml:space="preserve">72</w:t>
            </w:r>
          </w:p>
        </w:tc>
        <w:tc>
          <w:tcPr>
            <w:tcW w:w="857" w:type="dxa"/>
            <w:vAlign w:val="center"/>
          </w:tcPr>
          <w:p>
            <w:pPr>
              <w:spacing w:before="20" w:after="20" w:line="252" w:lineRule="auto"/>
              <w:ind w:firstLine="0"/>
              <w:jc w:val="center"/>
            </w:pPr>
            <w:r>
              <w:rPr>
                <w:sz w:val="24"/>
              </w:rPr>
              <w:t xml:space="preserve">109</w:t>
            </w:r>
          </w:p>
        </w:tc>
        <w:tc>
          <w:tcPr>
            <w:tcW w:w="928" w:type="dxa"/>
            <w:vAlign w:val="center"/>
          </w:tcPr>
          <w:p>
            <w:pPr>
              <w:spacing w:before="20" w:after="20" w:line="252" w:lineRule="auto"/>
              <w:ind w:firstLine="0"/>
              <w:jc w:val="center"/>
            </w:pPr>
            <w:r>
              <w:rPr>
                <w:sz w:val="24"/>
              </w:rPr>
              <w:t xml:space="preserve">290</w:t>
            </w:r>
          </w:p>
        </w:tc>
      </w:tr>
      <w:tr>
        <w:trPr/>
        <w:tc>
          <w:tcPr>
            <w:tcW w:w="3856" w:type="dxa"/>
            <w:vAlign w:val="center"/>
          </w:tcPr>
          <w:p>
            <w:pPr>
              <w:spacing w:before="20" w:after="20" w:line="252" w:lineRule="auto"/>
              <w:ind w:firstLine="0"/>
              <w:jc w:val="left"/>
            </w:pPr>
            <w:r>
              <w:rPr>
                <w:sz w:val="24"/>
              </w:rPr>
              <w:t xml:space="preserve">Bài báo đăng tạp chí quốc tế</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13</w:t>
            </w:r>
          </w:p>
        </w:tc>
        <w:tc>
          <w:tcPr>
            <w:tcW w:w="857" w:type="dxa"/>
            <w:vAlign w:val="center"/>
          </w:tcPr>
          <w:p>
            <w:pPr>
              <w:spacing w:before="20" w:after="20" w:line="252" w:lineRule="auto"/>
              <w:ind w:firstLine="0"/>
              <w:jc w:val="center"/>
            </w:pPr>
            <w:r>
              <w:rPr>
                <w:sz w:val="24"/>
              </w:rPr>
              <w:t xml:space="preserve">11</w:t>
            </w:r>
          </w:p>
        </w:tc>
        <w:tc>
          <w:tcPr>
            <w:tcW w:w="857" w:type="dxa"/>
            <w:vAlign w:val="center"/>
          </w:tcPr>
          <w:p>
            <w:pPr>
              <w:spacing w:before="20" w:after="20" w:line="252" w:lineRule="auto"/>
              <w:ind w:firstLine="0"/>
              <w:jc w:val="center"/>
            </w:pPr>
            <w:r>
              <w:rPr>
                <w:sz w:val="24"/>
              </w:rPr>
              <w:t xml:space="preserve">33</w:t>
            </w:r>
          </w:p>
        </w:tc>
        <w:tc>
          <w:tcPr>
            <w:tcW w:w="857" w:type="dxa"/>
            <w:vAlign w:val="center"/>
          </w:tcPr>
          <w:p>
            <w:pPr>
              <w:spacing w:before="20" w:after="20" w:line="252" w:lineRule="auto"/>
              <w:ind w:firstLine="0"/>
              <w:jc w:val="center"/>
            </w:pPr>
            <w:r>
              <w:rPr>
                <w:sz w:val="24"/>
              </w:rPr>
              <w:t xml:space="preserve">52</w:t>
            </w:r>
          </w:p>
        </w:tc>
        <w:tc>
          <w:tcPr>
            <w:tcW w:w="928" w:type="dxa"/>
            <w:vAlign w:val="center"/>
          </w:tcPr>
          <w:p>
            <w:pPr>
              <w:spacing w:before="20" w:after="20" w:line="252" w:lineRule="auto"/>
              <w:ind w:firstLine="0"/>
              <w:jc w:val="center"/>
            </w:pPr>
            <w:r>
              <w:rPr>
                <w:sz w:val="24"/>
              </w:rPr>
              <w:t xml:space="preserve">115</w:t>
            </w:r>
          </w:p>
        </w:tc>
      </w:tr>
      <w:tr>
        <w:trPr/>
        <w:tc>
          <w:tcPr>
            <w:tcW w:w="3856" w:type="dxa"/>
            <w:vAlign w:val="center"/>
          </w:tcPr>
          <w:p>
            <w:pPr>
              <w:spacing w:before="20" w:after="20" w:line="252" w:lineRule="auto"/>
              <w:ind w:firstLine="0"/>
              <w:jc w:val="left"/>
            </w:pPr>
            <w:r>
              <w:rPr>
                <w:sz w:val="24"/>
              </w:rPr>
              <w:t xml:space="preserve">Giáo trình, tài liệu giảng dạy</w:t>
            </w:r>
          </w:p>
        </w:tc>
        <w:tc>
          <w:tcPr>
            <w:tcW w:w="857" w:type="dxa"/>
            <w:vAlign w:val="center"/>
          </w:tcPr>
          <w:p>
            <w:pPr>
              <w:spacing w:before="20" w:after="20" w:line="252" w:lineRule="auto"/>
              <w:ind w:firstLine="0"/>
              <w:jc w:val="center"/>
            </w:pPr>
            <w:r>
              <w:rPr>
                <w:sz w:val="24"/>
              </w:rPr>
              <w:t xml:space="preserve">26</w:t>
            </w:r>
          </w:p>
        </w:tc>
        <w:tc>
          <w:tcPr>
            <w:tcW w:w="857" w:type="dxa"/>
            <w:vAlign w:val="center"/>
          </w:tcPr>
          <w:p>
            <w:pPr>
              <w:spacing w:before="20" w:after="20" w:line="252" w:lineRule="auto"/>
              <w:ind w:firstLine="0"/>
              <w:jc w:val="center"/>
            </w:pPr>
            <w:r>
              <w:rPr>
                <w:sz w:val="24"/>
              </w:rPr>
              <w:t xml:space="preserve">31</w:t>
            </w:r>
          </w:p>
        </w:tc>
        <w:tc>
          <w:tcPr>
            <w:tcW w:w="857" w:type="dxa"/>
            <w:vAlign w:val="center"/>
          </w:tcPr>
          <w:p>
            <w:pPr>
              <w:spacing w:before="20" w:after="20" w:line="252" w:lineRule="auto"/>
              <w:ind w:firstLine="0"/>
              <w:jc w:val="center"/>
            </w:pPr>
            <w:r>
              <w:rPr>
                <w:sz w:val="24"/>
              </w:rPr>
              <w:t xml:space="preserve">12</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11</w:t>
            </w:r>
          </w:p>
        </w:tc>
        <w:tc>
          <w:tcPr>
            <w:tcW w:w="928" w:type="dxa"/>
            <w:vAlign w:val="center"/>
          </w:tcPr>
          <w:p>
            <w:pPr>
              <w:spacing w:before="20" w:after="20" w:line="252" w:lineRule="auto"/>
              <w:ind w:firstLine="0"/>
              <w:jc w:val="center"/>
            </w:pPr>
            <w:r>
              <w:rPr>
                <w:sz w:val="24"/>
              </w:rPr>
              <w:t xml:space="preserve">87</w:t>
            </w:r>
          </w:p>
        </w:tc>
      </w:tr>
      <w:tr>
        <w:trPr/>
        <w:tc>
          <w:tcPr>
            <w:tcW w:w="3856" w:type="dxa"/>
            <w:vAlign w:val="center"/>
          </w:tcPr>
          <w:p>
            <w:pPr>
              <w:spacing w:before="20" w:after="20" w:line="252" w:lineRule="auto"/>
              <w:ind w:firstLine="0"/>
              <w:jc w:val="left"/>
            </w:pPr>
            <w:r>
              <w:rPr>
                <w:sz w:val="24"/>
              </w:rPr>
              <w:t xml:space="preserve">Đề tài khoa học công nghệ cấp cơ sở</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10</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8</w:t>
            </w:r>
          </w:p>
        </w:tc>
        <w:tc>
          <w:tcPr>
            <w:tcW w:w="857" w:type="dxa"/>
            <w:vAlign w:val="center"/>
          </w:tcPr>
          <w:p>
            <w:pPr>
              <w:spacing w:before="20" w:after="20" w:line="252" w:lineRule="auto"/>
              <w:ind w:firstLine="0"/>
              <w:jc w:val="center"/>
            </w:pPr>
            <w:r>
              <w:rPr>
                <w:sz w:val="24"/>
              </w:rPr>
              <w:t xml:space="preserve">7</w:t>
            </w:r>
          </w:p>
        </w:tc>
        <w:tc>
          <w:tcPr>
            <w:tcW w:w="928" w:type="dxa"/>
            <w:vAlign w:val="center"/>
          </w:tcPr>
          <w:p>
            <w:pPr>
              <w:spacing w:before="20" w:after="20" w:line="252" w:lineRule="auto"/>
              <w:ind w:firstLine="0"/>
              <w:jc w:val="center"/>
            </w:pPr>
            <w:r>
              <w:rPr>
                <w:sz w:val="24"/>
              </w:rPr>
              <w:t xml:space="preserve">38</w:t>
            </w:r>
          </w:p>
        </w:tc>
      </w:tr>
      <w:tr>
        <w:trPr/>
        <w:tc>
          <w:tcPr>
            <w:tcW w:w="3856" w:type="dxa"/>
            <w:vAlign w:val="center"/>
          </w:tcPr>
          <w:p>
            <w:pPr>
              <w:spacing w:before="20" w:after="20" w:line="252" w:lineRule="auto"/>
              <w:ind w:firstLine="0"/>
              <w:jc w:val="left"/>
            </w:pPr>
            <w:r>
              <w:rPr>
                <w:sz w:val="24"/>
              </w:rPr>
              <w:t xml:space="preserve">Sách xuất bản</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6</w:t>
            </w:r>
          </w:p>
        </w:tc>
        <w:tc>
          <w:tcPr>
            <w:tcW w:w="928" w:type="dxa"/>
            <w:vAlign w:val="center"/>
          </w:tcPr>
          <w:p>
            <w:pPr>
              <w:spacing w:before="20" w:after="20" w:line="252" w:lineRule="auto"/>
              <w:ind w:firstLine="0"/>
              <w:jc w:val="center"/>
            </w:pPr>
            <w:r>
              <w:rPr>
                <w:sz w:val="24"/>
              </w:rPr>
              <w:t xml:space="preserve">12</w:t>
            </w:r>
          </w:p>
        </w:tc>
      </w:tr>
      <w:tr>
        <w:trPr/>
        <w:tc>
          <w:tcPr>
            <w:tcW w:w="3856" w:type="dxa"/>
            <w:vAlign w:val="center"/>
          </w:tcPr>
          <w:p>
            <w:pPr>
              <w:spacing w:before="20" w:after="20" w:line="252" w:lineRule="auto"/>
              <w:ind w:firstLine="0"/>
              <w:jc w:val="left"/>
            </w:pPr>
            <w:r>
              <w:rPr>
                <w:sz w:val="24"/>
              </w:rPr>
              <w:t xml:space="preserve">Tham luận hội thảo quốc tế</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3</w:t>
            </w:r>
          </w:p>
        </w:tc>
        <w:tc>
          <w:tcPr>
            <w:tcW w:w="857" w:type="dxa"/>
            <w:vAlign w:val="center"/>
          </w:tcPr>
          <w:p>
            <w:pPr>
              <w:spacing w:before="20" w:after="20" w:line="252" w:lineRule="auto"/>
              <w:ind w:firstLine="0"/>
              <w:jc w:val="center"/>
            </w:pPr>
            <w:r>
              <w:rPr>
                <w:sz w:val="24"/>
              </w:rPr>
              <w:t xml:space="preserve">5</w:t>
            </w:r>
          </w:p>
        </w:tc>
        <w:tc>
          <w:tcPr>
            <w:tcW w:w="857" w:type="dxa"/>
            <w:vAlign w:val="center"/>
          </w:tcPr>
          <w:p>
            <w:pPr>
              <w:spacing w:before="20" w:after="20" w:line="252" w:lineRule="auto"/>
              <w:ind w:firstLine="0"/>
              <w:jc w:val="center"/>
            </w:pPr>
            <w:r>
              <w:rPr>
                <w:sz w:val="24"/>
              </w:rPr>
              <w:t xml:space="preserve">5</w:t>
            </w:r>
          </w:p>
        </w:tc>
        <w:tc>
          <w:tcPr>
            <w:tcW w:w="928" w:type="dxa"/>
            <w:vAlign w:val="center"/>
          </w:tcPr>
          <w:p>
            <w:pPr>
              <w:spacing w:before="20" w:after="20" w:line="252" w:lineRule="auto"/>
              <w:ind w:firstLine="0"/>
              <w:jc w:val="center"/>
            </w:pPr>
            <w:r>
              <w:rPr>
                <w:sz w:val="24"/>
              </w:rPr>
              <w:t xml:space="preserve">16</w:t>
            </w:r>
          </w:p>
        </w:tc>
      </w:tr>
      <w:tr>
        <w:trPr/>
        <w:tc>
          <w:tcPr>
            <w:tcW w:w="3856" w:type="dxa"/>
            <w:vAlign w:val="center"/>
          </w:tcPr>
          <w:p>
            <w:pPr>
              <w:spacing w:before="20" w:after="20" w:line="252" w:lineRule="auto"/>
              <w:ind w:firstLine="0"/>
              <w:jc w:val="left"/>
            </w:pPr>
            <w:r>
              <w:rPr>
                <w:sz w:val="24"/>
              </w:rPr>
              <w:t xml:space="preserve">Tham luận hội thảo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928" w:type="dxa"/>
            <w:vAlign w:val="center"/>
          </w:tcPr>
          <w:p>
            <w:pPr>
              <w:spacing w:before="20" w:after="20" w:line="252" w:lineRule="auto"/>
              <w:ind w:firstLine="0"/>
              <w:jc w:val="center"/>
            </w:pPr>
            <w:r>
              <w:rPr>
                <w:sz w:val="24"/>
              </w:rPr>
              <w:t xml:space="preserve">21</w:t>
            </w:r>
          </w:p>
        </w:tc>
      </w:tr>
      <w:tr>
        <w:trPr/>
        <w:tc>
          <w:tcPr>
            <w:tcW w:w="3856" w:type="dxa"/>
            <w:vAlign w:val="center"/>
          </w:tcPr>
          <w:p>
            <w:pPr>
              <w:spacing w:before="20" w:after="20" w:line="252" w:lineRule="auto"/>
              <w:ind w:firstLine="0"/>
              <w:jc w:val="left"/>
            </w:pPr>
            <w:r>
              <w:rPr>
                <w:sz w:val="24"/>
              </w:rPr>
              <w:t xml:space="preserve">Đề tài khoa học công nghệ cấp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928" w:type="dxa"/>
            <w:vAlign w:val="center"/>
          </w:tcPr>
          <w:p>
            <w:pPr>
              <w:spacing w:before="20" w:after="20" w:line="252" w:lineRule="auto"/>
              <w:ind w:firstLine="0"/>
              <w:jc w:val="center"/>
            </w:pPr>
            <w:r>
              <w:rPr>
                <w:sz w:val="24"/>
              </w:rPr>
              <w:t xml:space="preserve">3</w:t>
            </w:r>
          </w:p>
        </w:tc>
      </w:tr>
      <w:tr>
        <w:trPr/>
        <w:tc>
          <w:tcPr>
            <w:tcW w:w="3856" w:type="dxa"/>
            <w:vAlign w:val="center"/>
          </w:tcPr>
          <w:p>
            <w:pPr>
              <w:spacing w:before="20" w:after="20" w:line="252" w:lineRule="auto"/>
              <w:ind w:firstLine="0"/>
              <w:jc w:val="left"/>
            </w:pPr>
            <w:r>
              <w:rPr>
                <w:b/>
                <w:sz w:val="24"/>
              </w:rPr>
              <w:t xml:space="preserve">Tổng cộng</w:t>
            </w:r>
          </w:p>
        </w:tc>
        <w:tc>
          <w:tcPr>
            <w:tcW w:w="857" w:type="dxa"/>
            <w:vAlign w:val="center"/>
          </w:tcPr>
          <w:p>
            <w:pPr>
              <w:spacing w:before="20" w:after="20" w:line="252" w:lineRule="auto"/>
              <w:ind w:firstLine="0"/>
              <w:jc w:val="center"/>
            </w:pPr>
            <w:r>
              <w:rPr>
                <w:b/>
                <w:sz w:val="24"/>
              </w:rPr>
              <w:t xml:space="preserve">56</w:t>
            </w:r>
          </w:p>
        </w:tc>
        <w:tc>
          <w:tcPr>
            <w:tcW w:w="857" w:type="dxa"/>
            <w:vAlign w:val="center"/>
          </w:tcPr>
          <w:p>
            <w:pPr>
              <w:spacing w:before="20" w:after="20" w:line="252" w:lineRule="auto"/>
              <w:ind w:firstLine="0"/>
              <w:jc w:val="center"/>
            </w:pPr>
            <w:r>
              <w:rPr>
                <w:b/>
                <w:sz w:val="24"/>
              </w:rPr>
              <w:t xml:space="preserve">100</w:t>
            </w:r>
          </w:p>
        </w:tc>
        <w:tc>
          <w:tcPr>
            <w:tcW w:w="857" w:type="dxa"/>
            <w:vAlign w:val="center"/>
          </w:tcPr>
          <w:p>
            <w:pPr>
              <w:spacing w:before="20" w:after="20" w:line="252" w:lineRule="auto"/>
              <w:ind w:firstLine="0"/>
              <w:jc w:val="center"/>
            </w:pPr>
            <w:r>
              <w:rPr>
                <w:b/>
                <w:sz w:val="24"/>
              </w:rPr>
              <w:t xml:space="preserve">85</w:t>
            </w:r>
          </w:p>
        </w:tc>
        <w:tc>
          <w:tcPr>
            <w:tcW w:w="857" w:type="dxa"/>
            <w:vAlign w:val="center"/>
          </w:tcPr>
          <w:p>
            <w:pPr>
              <w:spacing w:before="20" w:after="20" w:line="252" w:lineRule="auto"/>
              <w:ind w:firstLine="0"/>
              <w:jc w:val="center"/>
            </w:pPr>
            <w:r>
              <w:rPr>
                <w:b/>
                <w:sz w:val="24"/>
              </w:rPr>
              <w:t xml:space="preserve">128</w:t>
            </w:r>
          </w:p>
        </w:tc>
        <w:tc>
          <w:tcPr>
            <w:tcW w:w="857" w:type="dxa"/>
            <w:vAlign w:val="center"/>
          </w:tcPr>
          <w:p>
            <w:pPr>
              <w:spacing w:before="20" w:after="20" w:line="252" w:lineRule="auto"/>
              <w:ind w:firstLine="0"/>
              <w:jc w:val="center"/>
            </w:pPr>
            <w:r>
              <w:rPr>
                <w:b/>
                <w:sz w:val="24"/>
              </w:rPr>
              <w:t xml:space="preserve">192</w:t>
            </w:r>
          </w:p>
        </w:tc>
        <w:tc>
          <w:tcPr>
            <w:tcW w:w="928" w:type="dxa"/>
            <w:vAlign w:val="center"/>
          </w:tcPr>
          <w:p>
            <w:pPr>
              <w:spacing w:before="20" w:after="20" w:line="252" w:lineRule="auto"/>
              <w:ind w:firstLine="0"/>
              <w:jc w:val="center"/>
            </w:pPr>
            <w:r>
              <w:rPr>
                <w:b/>
                <w:sz w:val="24"/>
              </w:rPr>
              <w:t xml:space="preserve">582</w:t>
            </w:r>
          </w:p>
        </w:tc>
      </w:tr>
    </w:tbl>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Các dòng có đơn vị thống kê khác nhau nên tổng cộng là tổng số bản ghi, không phải số sản phẩm độc lập.</w:t>
      </w:r>
    </w:p>
    <w:p w14:paraId="48E95726" w14:textId="77777777" w:rsidR="005B561C" w:rsidRPr="000F7C87" w:rsidRDefault="00000000">
      <w:pPr>
        <w:rPr>
          <w:szCs w:val="26"/>
        </w:rPr>
      </w:pPr>
      <w:r w:rsidRPr="000F7C87">
        <w:rPr>
          <w:szCs w:val="26"/>
        </w:rPr>
        <w:t>Con số 582 là tổng số bản ghi của các danh mục, không phải số sản phẩm độc lập, vì các danh mục dùng đơn vị thống kê khác nhau: bài báo, sách, giáo trình là ấn phẩm, còn đề tài là nhiệm vụ, và kết quả của một đề tài có thể đồng thời xuất hiện dưới dạng bài báo hoặc tham luận. Hồ sơ nghiệm thu cho thấy 26 trên 38 đề tài khai tổng cộng 32 công bố, nhưng danh mục bài báo không ghi mã đề tài nên chưa xác lập được bản ghi nào trùng với bản ghi nào. Đề tài vì vậy giữ con số 582 như tổng số bản ghi và không quy đổi thành số sản phẩm độc lập.</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2.1. Cơ cấu và diễn biến sản phẩm khoa học theo năm,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1" name="Biểu đồ 501" descr="Hình 2.1. Cơ cấu và diễn biến sản phẩm khoa học theo năm, giai đoạn 2021 - 2025"/>
            <wp:cNvGraphicFramePr/>
            <a:graphic>
              <a:graphicData uri="http://schemas.openxmlformats.org/drawingml/2006/chart">
                <c:chart r:id="rId11"/>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Trường Đại học Thành Đô. Không gồm 21 tham luận hội thảo quốc gia do danh mục không có trường thời gian.</w:t>
      </w:r>
    </w:p>
    <w:p w14:paraId="48E95726" w14:textId="77777777" w:rsidR="005B561C" w:rsidRPr="000F7C87" w:rsidRDefault="00000000">
      <w:pPr>
        <w:rPr>
          <w:szCs w:val="26"/>
        </w:rPr>
      </w:pPr>
      <w:r w:rsidRPr="000F7C87">
        <w:rPr>
          <w:szCs w:val="26"/>
        </w:rPr>
        <w:t>Hình 2.1 cho thấy số bản ghi tăng từ 56 năm 2021 lên 192 năm 2025, bình quân 36,1% một năm, và mức tăng này chủ yếu đến từ bài báo. Bài báo tăng từ 23 lên 161 bài, gấp 7,0 lần, nâng tỷ trọng từ 41,1% lên 83,9% số bản ghi; giáo trình giảm từ 26 xuống 11 tài liệu, tỷ trọng từ 46,4% còn 5,7%. Chất lượng công bố quốc tế cũng tăng: 71 trên 115 bài quốc tế đăng trên tạp chí có phân hạng Q, trong đó 68 bài thuộc hai năm 2024 - 2025.</w:t>
      </w:r>
    </w:p>
    <w:p w14:paraId="48E95726" w14:textId="77777777" w:rsidR="005B561C" w:rsidRPr="000F7C87" w:rsidRDefault="00000000">
      <w:pPr>
        <w:rPr>
          <w:szCs w:val="26"/>
        </w:rPr>
      </w:pPr>
      <w:r w:rsidRPr="000F7C87">
        <w:rPr>
          <w:szCs w:val="26"/>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trong cùng giai đoạn, số công bố tăng mạnh nhưng số đơn đăng ký sở hữu công nghiệp không tăng tương ứng. Dữ liệu này chưa đủ để xác định nguyên nhân, song cho thấy cần xem xét các yếu tố về quy trình và cơ chế bên cạnh năng lực nghiên cứu, như phân tích tại Mục 2.2.3 và Mục 2.3.3.</w:t>
      </w:r>
    </w:p>
    <w:p w14:paraId="48E95726" w14:textId="77777777" w:rsidR="005B561C" w:rsidRPr="000F7C87" w:rsidRDefault="00000000">
      <w:pPr>
        <w:rPr>
          <w:szCs w:val="26"/>
        </w:rPr>
      </w:pPr>
      <w:r w:rsidRPr="000F7C87">
        <w:rPr>
          <w:szCs w:val="26"/>
        </w:rPr>
        <w:t>Trong hai năm cuối kỳ, Nhà trường chủ trì ba đề tài cấp quốc gia do Quỹ Phát triển khoa học và công nghệ quốc gia tài trợ, tổng kinh phí 4,67 tỷ đồng, được phê duyệt ngày 26 tháng 3 năm 2024, ngày 30 tháng 9 năm 2025 và ngày 15 tháng 12 năm 2025,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Về lợi ích của tác giả khi thương mại hóa, ba đề tài không chịu cùng một chế độ, như phân tích tại Mục 2.2.1. Đây là nguồn tài sản trí tuệ tiềm năng của giai đoạn tới, với điều kiện việc sàng lọc khả năng bảo hộ được thực hiện trước khi công bố kết quả.</w:t>
      </w:r>
    </w:p>
    <w:p w14:paraId="48E95726" w14:textId="77777777" w:rsidR="005B561C" w:rsidRPr="000F7C87" w:rsidRDefault="00000000">
      <w:pPr>
        <w:rPr>
          <w:szCs w:val="26"/>
        </w:rPr>
      </w:pPr>
      <w:r w:rsidRPr="000F7C87">
        <w:rPr>
          <w:szCs w:val="26"/>
        </w:rPr>
        <w:t>Tính trên toàn bộ nhân sự, gồm cả khối hành chính, 252 người trong danh sách năm 2026 tương ứng 246 tên khác nhau do có 6 trường hợp trùng họ tên. Theo quy tắc so khớp giữ dấu và đúng thứ tự họ tên, 87 trên 246 tên, tức 35,4%, đứng tên ít nhất một bài báo trong năm năm; hệ số Gini về số bài là 0,832, và trong nhóm có công bố, 10% người dẫn đầu chiếm 39,7% số lượt đứng tên. Nếu chấp nhận cả cách viết không dấu trong bài quốc tế, số tên có bài là 103, tức 41,9%, và hệ số Gini là 0,822; nhận định về mức độ tập trung không đổi giữa hai quy tắc. Lực lượng nghiên cứu nòng cốt vì vậy còn tương đối mỏng so với quy mô Nhà trường. Viện Y - Dược là nơi phát sinh 9 trên 11 sản phẩm đề tài có tiềm năng tạo lập tài sản trí tuệ và đơn sáng chế duy nhất trong kỳ; số lượng công bố và khả năng hình thành tài sản trí tuệ là hai thước đo khác nhau, cần được theo dõi riêng.</w:t>
      </w:r>
    </w:p>
    <w:p w14:paraId="6067EC56" w14:textId="77777777" w:rsidR="005B561C" w:rsidRPr="000F7C87" w:rsidRDefault="00000000">
      <w:pPr>
        <w:keepNext/>
        <w:spacing w:before="280" w:after="160"/>
        <w:ind w:firstLine="0"/>
        <w:outlineLvl w:val="1"/>
        <w:rPr>
          <w:szCs w:val="26"/>
        </w:rPr>
      </w:pPr>
      <w:r w:rsidRPr="000F7C87">
        <w:rPr>
          <w:b/>
          <w:szCs w:val="26"/>
        </w:rPr>
        <w:t>2.2. Thực trạng thể chế, tổ chức và nguồn lực quản lý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2.2.1. Hệ thống quy định nội bộ</w:t>
      </w:r>
    </w:p>
    <w:p w14:paraId="48E95726" w14:textId="77777777" w:rsidR="005B561C" w:rsidRPr="000F7C87" w:rsidRDefault="00000000">
      <w:pPr>
        <w:rPr>
          <w:szCs w:val="26"/>
        </w:rPr>
      </w:pPr>
      <w:r w:rsidRPr="000F7C87">
        <w:rPr>
          <w:szCs w:val="26"/>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trong đó Phòng Khoa học Công nghệ kiểm tra đơn, trình Hiệu trưởng ký và thực hiện việc nộp đơn, lệ phí tại cơ quan nhà nước; Điều 36 quy định phân chia nguồn thu khi chuyển giao. Ngày 21 tháng 11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xác định quyền công bố kết quả nghiên cứu thuộc về Trường, yêu cầu tác giả xin ý kiến Phòng Khoa học Công nghệ trước khi bộc lộ công khai tài sản có thể bảo hộ và đặt nghĩa vụ bảo mật; Điều 11 giao Phòng xây dựng quy trình, biểu mẫu ghi nhận, khai báo, nhận diện, lập hồ sơ theo dõi, xúc tiến thương mại hóa và giao Bộ phận Pháp chế thực hiện thủ tục xác lập quyền; Điều 14 quy định các hành vi xâm phạm quyền tác giả như mạo danh, công bố trái phép, trích dẫn không đầy đủ. Hai văn bản còn lại là Quy chế chi tiêu nội bộ ban hành ngày 01 tháng 8 năm 2026 và Điều lệ Quỹ Học bổng sau tiến sĩ Ngô Xuân Độ năm 2025. Quy chế chi tiêu nội bộ năm 2026 ban hành sau kỳ đánh giá nên chỉ được dùng để mô tả cơ chế hiện hành; quy chế chi tiêu áp dụng trong giai đoạn 2021 - 2025 và văn bản Điều lệ Quỹ chưa có trong hồ sơ Đề tài tiếp cận, nên các nội dung về Quỹ được ghi theo thông tin được cung cấp.</w:t>
      </w:r>
    </w:p>
    <w:p w14:paraId="48E95726" w14:textId="77777777" w:rsidR="005B561C" w:rsidRPr="000F7C87" w:rsidRDefault="00000000">
      <w:pPr>
        <w:rPr>
          <w:szCs w:val="26"/>
        </w:rPr>
      </w:pPr>
      <w:r w:rsidRPr="000F7C87">
        <w:rPr>
          <w:szCs w:val="26"/>
        </w:rPr>
        <w:t>Các văn bản này được ban hành ở những thời điểm khác nhau, cho những kênh tài trợ khác nhau và phù hợp với khung pháp luật tại thời điểm ban hành. Việc Nhà trường ban hành quy chế về sở hữu trí tuệ từ năm 2021 và quy chế chuyên biệt từ năm 2024, trước khi Luật Khoa học, công nghệ và đổi mới sáng tạo số 93/2025/QH15 và Luật số 131/2025/QH15 sửa đổi Luật Sở hữu trí tuệ ra đời, cho thấy tầm nhìn sớm của Nhà trường. Do Quyết định 217 không dẫn chiếu và không thay thế Chương VI Quyết định 213, hai văn bản cùng hiệu lực. Bảng 2.3 tập hợp các quy định nội bộ và quy định của Luật liên quan đến lợi ích của tác giả và phân chia nguồn thu, theo phạm vi, đối tượng hưởng, cơ sở tính và điều kiện áp dụng.</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2.3. Các quy định về lợi ích của tác giả và phân chia nguồn thu từ tài sản trí tuệ</w:t>
      </w:r>
    </w:p>
    <w:tbl>
      <w:tblPr>
        <w:tblStyle w:val="TableGrid"/>
        <w:tblW w:w="0" w:type="auto"/>
        <w:jc w:val="center"/>
        <w:tblLook w:val="04A0" w:firstRow="1" w:lastRow="0" w:firstColumn="1" w:lastColumn="0" w:noHBand="0" w:noVBand="1"/>
      </w:tblPr>
      <w:tblGrid>
        <w:gridCol w:w="1659"/>
        <w:gridCol w:w="1880"/>
        <w:gridCol w:w="1880"/>
        <w:gridCol w:w="1769"/>
        <w:gridCol w:w="1880"/>
      </w:tblGrid>
      <w:tr>
        <w:trPr>
          <w:tblHeader/>
          <w:cantSplit/>
        </w:trPr>
        <w:tc>
          <w:tcPr>
            <w:tcW w:w="1659" w:type="dxa"/>
            <w:shd w:val="clear" w:color="auto" w:fill="DCE8F7"/>
            <w:vAlign w:val="center"/>
          </w:tcPr>
          <w:p>
            <w:pPr>
              <w:spacing w:before="20" w:after="20" w:line="252" w:lineRule="auto"/>
              <w:ind w:firstLine="0"/>
              <w:jc w:val="center"/>
            </w:pPr>
            <w:r>
              <w:rPr>
                <w:b/>
                <w:sz w:val="24"/>
              </w:rPr>
              <w:t xml:space="preserve">Văn bản, điều khoản</w:t>
            </w:r>
          </w:p>
        </w:tc>
        <w:tc>
          <w:tcPr>
            <w:tcW w:w="1880" w:type="dxa"/>
            <w:shd w:val="clear" w:color="auto" w:fill="DCE8F7"/>
            <w:vAlign w:val="center"/>
          </w:tcPr>
          <w:p>
            <w:pPr>
              <w:spacing w:before="20" w:after="20" w:line="252" w:lineRule="auto"/>
              <w:ind w:firstLine="0"/>
              <w:jc w:val="center"/>
            </w:pPr>
            <w:r>
              <w:rPr>
                <w:b/>
                <w:sz w:val="24"/>
              </w:rPr>
              <w:t xml:space="preserve">Phạm vi, nguồn kinh phí</w:t>
            </w:r>
          </w:p>
        </w:tc>
        <w:tc>
          <w:tcPr>
            <w:tcW w:w="1880" w:type="dxa"/>
            <w:shd w:val="clear" w:color="auto" w:fill="DCE8F7"/>
            <w:vAlign w:val="center"/>
          </w:tcPr>
          <w:p>
            <w:pPr>
              <w:spacing w:before="20" w:after="20" w:line="252" w:lineRule="auto"/>
              <w:ind w:firstLine="0"/>
              <w:jc w:val="center"/>
            </w:pPr>
            <w:r>
              <w:rPr>
                <w:b/>
                <w:sz w:val="24"/>
              </w:rPr>
              <w:t xml:space="preserve">Đối tượng hưởng và tỷ lệ</w:t>
            </w:r>
          </w:p>
        </w:tc>
        <w:tc>
          <w:tcPr>
            <w:tcW w:w="1769" w:type="dxa"/>
            <w:shd w:val="clear" w:color="auto" w:fill="DCE8F7"/>
            <w:vAlign w:val="center"/>
          </w:tcPr>
          <w:p>
            <w:pPr>
              <w:spacing w:before="20" w:after="20" w:line="252" w:lineRule="auto"/>
              <w:ind w:firstLine="0"/>
              <w:jc w:val="center"/>
            </w:pPr>
            <w:r>
              <w:rPr>
                <w:b/>
                <w:sz w:val="24"/>
              </w:rPr>
              <w:t xml:space="preserve">Cơ sở tính</w:t>
            </w:r>
          </w:p>
        </w:tc>
        <w:tc>
          <w:tcPr>
            <w:tcW w:w="1880" w:type="dxa"/>
            <w:shd w:val="clear" w:color="auto" w:fill="DCE8F7"/>
            <w:vAlign w:val="center"/>
          </w:tcPr>
          <w:p>
            <w:pPr>
              <w:spacing w:before="20" w:after="20" w:line="252" w:lineRule="auto"/>
              <w:ind w:firstLine="0"/>
              <w:jc w:val="center"/>
            </w:pPr>
            <w:r>
              <w:rPr>
                <w:b/>
                <w:sz w:val="24"/>
              </w:rPr>
              <w:t xml:space="preserve">Điều kiện, mức trần</w:t>
            </w:r>
          </w:p>
        </w:tc>
      </w:tr>
      <w:tr>
        <w:trPr/>
        <w:tc>
          <w:tcPr>
            <w:tcW w:w="1659" w:type="dxa"/>
            <w:vAlign w:val="center"/>
          </w:tcPr>
          <w:p>
            <w:pPr>
              <w:spacing w:before="20" w:after="20" w:line="252" w:lineRule="auto"/>
              <w:ind w:firstLine="0"/>
              <w:jc w:val="left"/>
            </w:pPr>
            <w:r>
              <w:rPr>
                <w:sz w:val="24"/>
              </w:rPr>
              <w:t xml:space="preserve">Quyết định 213, điểm a khoản 4 Điều 36, năm 2021</w:t>
            </w:r>
          </w:p>
        </w:tc>
        <w:tc>
          <w:tcPr>
            <w:tcW w:w="1880" w:type="dxa"/>
            <w:vAlign w:val="center"/>
          </w:tcPr>
          <w:p>
            <w:pPr>
              <w:spacing w:before="20" w:after="20" w:line="252" w:lineRule="auto"/>
              <w:ind w:firstLine="0"/>
              <w:jc w:val="left"/>
            </w:pPr>
            <w:r>
              <w:rPr>
                <w:sz w:val="24"/>
              </w:rPr>
              <w:t xml:space="preserve">Sản phẩm đề tài sử dụng ngân sách nhà nước do Trường chủ trì, đã nghiệm thu, được thương mại hóa</w:t>
            </w:r>
          </w:p>
        </w:tc>
        <w:tc>
          <w:tcPr>
            <w:tcW w:w="1880" w:type="dxa"/>
            <w:vAlign w:val="center"/>
          </w:tcPr>
          <w:p>
            <w:pPr>
              <w:spacing w:before="20" w:after="20" w:line="252" w:lineRule="auto"/>
              <w:ind w:firstLine="0"/>
              <w:jc w:val="left"/>
            </w:pPr>
            <w:r>
              <w:rPr>
                <w:sz w:val="24"/>
              </w:rPr>
              <w:t xml:space="preserve">40% nộp ngân sách nhà nước; 30% Trường; 30% khen thưởng tập thể tác giả</w:t>
            </w:r>
          </w:p>
        </w:tc>
        <w:tc>
          <w:tcPr>
            <w:tcW w:w="1769" w:type="dxa"/>
            <w:vAlign w:val="center"/>
          </w:tcPr>
          <w:p>
            <w:pPr>
              <w:spacing w:before="20" w:after="20" w:line="252" w:lineRule="auto"/>
              <w:ind w:firstLine="0"/>
              <w:jc w:val="left"/>
            </w:pPr>
            <w:r>
              <w:rPr>
                <w:sz w:val="24"/>
              </w:rPr>
              <w:t xml:space="preserve">Nguồn thu sau khi trừ các khoản chi phí cần thiết, hợp lệ</w:t>
            </w:r>
          </w:p>
        </w:tc>
        <w:tc>
          <w:tcPr>
            <w:tcW w:w="1880" w:type="dxa"/>
            <w:vAlign w:val="center"/>
          </w:tcPr>
          <w:p>
            <w:pPr>
              <w:spacing w:before="20" w:after="20" w:line="252" w:lineRule="auto"/>
              <w:ind w:firstLine="0"/>
              <w:jc w:val="left"/>
            </w:pPr>
            <w:r>
              <w:rPr>
                <w:sz w:val="24"/>
              </w:rPr>
              <w:t xml:space="preserve">Khen thưởng tối đa 100 triệu đồng một đề tài; phần vượt chuyển vào quỹ khen thưởng, phúc lợi</w:t>
            </w:r>
          </w:p>
        </w:tc>
      </w:tr>
      <w:tr>
        <w:trPr/>
        <w:tc>
          <w:tcPr>
            <w:tcW w:w="1659" w:type="dxa"/>
            <w:vAlign w:val="center"/>
          </w:tcPr>
          <w:p>
            <w:pPr>
              <w:spacing w:before="20" w:after="20" w:line="252" w:lineRule="auto"/>
              <w:ind w:firstLine="0"/>
              <w:jc w:val="left"/>
            </w:pPr>
            <w:r>
              <w:rPr>
                <w:sz w:val="24"/>
              </w:rPr>
              <w:t xml:space="preserve">Quyết định 213, điểm b khoản 4 Điều 36, năm 2021</w:t>
            </w:r>
          </w:p>
        </w:tc>
        <w:tc>
          <w:tcPr>
            <w:tcW w:w="1880" w:type="dxa"/>
            <w:vAlign w:val="center"/>
          </w:tcPr>
          <w:p>
            <w:pPr>
              <w:spacing w:before="20" w:after="20" w:line="252" w:lineRule="auto"/>
              <w:ind w:firstLine="0"/>
              <w:jc w:val="left"/>
            </w:pPr>
            <w:r>
              <w:rPr>
                <w:sz w:val="24"/>
              </w:rPr>
              <w:t xml:space="preserve">Tài sản trí tuệ thuộc sở hữu của Trường: sáng chế, giải pháp hữu ích, quy trình công nghệ, giải pháp kỹ thuật</w:t>
            </w:r>
          </w:p>
        </w:tc>
        <w:tc>
          <w:tcPr>
            <w:tcW w:w="1880" w:type="dxa"/>
            <w:vAlign w:val="center"/>
          </w:tcPr>
          <w:p>
            <w:pPr>
              <w:spacing w:before="20" w:after="20" w:line="252" w:lineRule="auto"/>
              <w:ind w:firstLine="0"/>
              <w:jc w:val="left"/>
            </w:pPr>
            <w:r>
              <w:rPr>
                <w:sz w:val="24"/>
              </w:rPr>
              <w:t xml:space="preserve">Tác giả 30%, ghi là theo Luật Sở hữu trí tuệ; khoa, đơn vị có tác giả 20%; Quỹ nghiên cứu khoa học 50%</w:t>
            </w:r>
          </w:p>
        </w:tc>
        <w:tc>
          <w:tcPr>
            <w:tcW w:w="1769" w:type="dxa"/>
            <w:vAlign w:val="center"/>
          </w:tcPr>
          <w:p>
            <w:pPr>
              <w:spacing w:before="20" w:after="20" w:line="252" w:lineRule="auto"/>
              <w:ind w:firstLine="0"/>
              <w:jc w:val="left"/>
            </w:pPr>
            <w:r>
              <w:rPr>
                <w:sz w:val="24"/>
              </w:rPr>
              <w:t xml:space="preserve">Kinh phí chuyển giao sau khi trừ các khoản chi phí cần thiết, hợp lệ</w:t>
            </w:r>
          </w:p>
        </w:tc>
        <w:tc>
          <w:tcPr>
            <w:tcW w:w="1880" w:type="dxa"/>
            <w:vAlign w:val="center"/>
          </w:tcPr>
          <w:p>
            <w:pPr>
              <w:spacing w:before="20" w:after="20" w:line="252" w:lineRule="auto"/>
              <w:ind w:firstLine="0"/>
              <w:jc w:val="left"/>
            </w:pPr>
            <w:r>
              <w:rPr>
                <w:sz w:val="24"/>
              </w:rPr>
              <w:t xml:space="preserve">Không đặt trần</w:t>
            </w:r>
          </w:p>
        </w:tc>
      </w:tr>
      <w:tr>
        <w:trPr/>
        <w:tc>
          <w:tcPr>
            <w:tcW w:w="1659" w:type="dxa"/>
            <w:vAlign w:val="center"/>
          </w:tcPr>
          <w:p>
            <w:pPr>
              <w:spacing w:before="20" w:after="20" w:line="252" w:lineRule="auto"/>
              <w:ind w:firstLine="0"/>
              <w:jc w:val="left"/>
            </w:pPr>
            <w:r>
              <w:rPr>
                <w:sz w:val="24"/>
              </w:rPr>
              <w:t xml:space="preserve">Quyết định 217, Điều 13, năm 2024</w:t>
            </w:r>
          </w:p>
        </w:tc>
        <w:tc>
          <w:tcPr>
            <w:tcW w:w="1880" w:type="dxa"/>
            <w:vAlign w:val="center"/>
          </w:tcPr>
          <w:p>
            <w:pPr>
              <w:spacing w:before="20" w:after="20" w:line="252" w:lineRule="auto"/>
              <w:ind w:firstLine="0"/>
              <w:jc w:val="left"/>
            </w:pPr>
            <w:r>
              <w:rPr>
                <w:sz w:val="24"/>
              </w:rPr>
              <w:t xml:space="preserve">Tài sản trí tuệ của Trường; khoản 1 dẫn theo nguồn kinh phí hoặc thỏa thuận; khoản 2 nhuận bút sách, giáo trình theo Quy chế chi tiêu nội bộ</w:t>
            </w:r>
          </w:p>
        </w:tc>
        <w:tc>
          <w:tcPr>
            <w:tcW w:w="1880" w:type="dxa"/>
            <w:vAlign w:val="center"/>
          </w:tcPr>
          <w:p>
            <w:pPr>
              <w:spacing w:before="20" w:after="20" w:line="252" w:lineRule="auto"/>
              <w:ind w:firstLine="0"/>
              <w:jc w:val="left"/>
            </w:pPr>
            <w:r>
              <w:rPr>
                <w:sz w:val="24"/>
              </w:rPr>
              <w:t xml:space="preserve">Khoản 3: Hiệu trưởng quyết định tỷ lệ sau khi có tham mưu của Phòng Khoa học Công nghệ, Pháp chế, Tài chính - Kế toán</w:t>
            </w:r>
          </w:p>
        </w:tc>
        <w:tc>
          <w:tcPr>
            <w:tcW w:w="1769" w:type="dxa"/>
            <w:vAlign w:val="center"/>
          </w:tcPr>
          <w:p>
            <w:pPr>
              <w:spacing w:before="20" w:after="20" w:line="252" w:lineRule="auto"/>
              <w:ind w:firstLine="0"/>
              <w:jc w:val="left"/>
            </w:pPr>
            <w:r>
              <w:rPr>
                <w:sz w:val="24"/>
              </w:rPr>
              <w:t xml:space="preserve">Khoản thu sau khi trừ thuế, phí, lệ phí xác lập quyền, phần trích nộp cơ quan cấp kinh phí, quỹ phát triển khoa học công nghệ</w:t>
            </w:r>
          </w:p>
        </w:tc>
        <w:tc>
          <w:tcPr>
            <w:tcW w:w="1880" w:type="dxa"/>
            <w:vAlign w:val="center"/>
          </w:tcPr>
          <w:p>
            <w:pPr>
              <w:spacing w:before="20" w:after="20" w:line="252" w:lineRule="auto"/>
              <w:ind w:firstLine="0"/>
              <w:jc w:val="left"/>
            </w:pPr>
            <w:r>
              <w:rPr>
                <w:sz w:val="24"/>
              </w:rPr>
              <w:t xml:space="preserve">Khoản 3 chỉ áp dụng khi không có thỏa thuận, Quy chế chi tiêu nội bộ hoặc pháp luật không quy định</w:t>
            </w:r>
          </w:p>
        </w:tc>
      </w:tr>
      <w:tr>
        <w:trPr/>
        <w:tc>
          <w:tcPr>
            <w:tcW w:w="1659" w:type="dxa"/>
            <w:vAlign w:val="center"/>
          </w:tcPr>
          <w:p>
            <w:pPr>
              <w:spacing w:before="20" w:after="20" w:line="252" w:lineRule="auto"/>
              <w:ind w:firstLine="0"/>
              <w:jc w:val="left"/>
            </w:pPr>
            <w:r>
              <w:rPr>
                <w:sz w:val="24"/>
              </w:rPr>
              <w:t xml:space="preserve">Quy chế chi tiêu nội bộ, Bảng 7 mục 3, năm 2026</w:t>
            </w:r>
          </w:p>
        </w:tc>
        <w:tc>
          <w:tcPr>
            <w:tcW w:w="1880" w:type="dxa"/>
            <w:vAlign w:val="center"/>
          </w:tcPr>
          <w:p>
            <w:pPr>
              <w:spacing w:before="20" w:after="20" w:line="252" w:lineRule="auto"/>
              <w:ind w:firstLine="0"/>
              <w:jc w:val="left"/>
            </w:pPr>
            <w:r>
              <w:rPr>
                <w:sz w:val="24"/>
              </w:rPr>
              <w:t xml:space="preserve">Đề tài cấp cơ sở có đăng ký sở hữu trí tuệ</w:t>
            </w:r>
          </w:p>
        </w:tc>
        <w:tc>
          <w:tcPr>
            <w:tcW w:w="1880" w:type="dxa"/>
            <w:vAlign w:val="center"/>
          </w:tcPr>
          <w:p>
            <w:pPr>
              <w:spacing w:before="20" w:after="20" w:line="252" w:lineRule="auto"/>
              <w:ind w:firstLine="0"/>
              <w:jc w:val="left"/>
            </w:pPr>
            <w:r>
              <w:rPr>
                <w:sz w:val="24"/>
              </w:rPr>
              <w:t xml:space="preserve">Trích 50% kinh phí chuyển giao công nghệ về Nhà trường, nếu có; không nêu phần của tác giả</w:t>
            </w:r>
          </w:p>
        </w:tc>
        <w:tc>
          <w:tcPr>
            <w:tcW w:w="1769" w:type="dxa"/>
            <w:vAlign w:val="center"/>
          </w:tcPr>
          <w:p>
            <w:pPr>
              <w:spacing w:before="20" w:after="20" w:line="252" w:lineRule="auto"/>
              <w:ind w:firstLine="0"/>
              <w:jc w:val="left"/>
            </w:pPr>
            <w:r>
              <w:rPr>
                <w:sz w:val="24"/>
              </w:rPr>
              <w:t xml:space="preserve">Kinh phí chuyển giao công nghệ</w:t>
            </w:r>
          </w:p>
        </w:tc>
        <w:tc>
          <w:tcPr>
            <w:tcW w:w="1880" w:type="dxa"/>
            <w:vAlign w:val="center"/>
          </w:tcPr>
          <w:p>
            <w:pPr>
              <w:spacing w:before="20" w:after="20" w:line="252" w:lineRule="auto"/>
              <w:ind w:firstLine="0"/>
              <w:jc w:val="left"/>
            </w:pPr>
            <w:r>
              <w:rPr>
                <w:sz w:val="24"/>
              </w:rPr>
              <w:t xml:space="preserve">Áp dụng từ ngày 01 tháng 8 năm 2026; kinh phí đề tài không quá 50 triệu đồng; nghiệm thu phải có chứng nhận đăng ký sở hữu trí tuệ</w:t>
            </w:r>
          </w:p>
        </w:tc>
      </w:tr>
      <w:tr>
        <w:trPr/>
        <w:tc>
          <w:tcPr>
            <w:tcW w:w="1659" w:type="dxa"/>
            <w:vAlign w:val="center"/>
          </w:tcPr>
          <w:p>
            <w:pPr>
              <w:spacing w:before="20" w:after="20" w:line="252" w:lineRule="auto"/>
              <w:ind w:firstLine="0"/>
              <w:jc w:val="left"/>
            </w:pPr>
            <w:r>
              <w:rPr>
                <w:sz w:val="24"/>
              </w:rPr>
              <w:t xml:space="preserve">Điều lệ Quỹ Học bổng sau tiến sĩ Ngô Xuân Độ, Điều 9, năm 2025</w:t>
            </w:r>
          </w:p>
        </w:tc>
        <w:tc>
          <w:tcPr>
            <w:tcW w:w="1880" w:type="dxa"/>
            <w:vAlign w:val="center"/>
          </w:tcPr>
          <w:p>
            <w:pPr>
              <w:spacing w:before="20" w:after="20" w:line="252" w:lineRule="auto"/>
              <w:ind w:firstLine="0"/>
              <w:jc w:val="left"/>
            </w:pPr>
            <w:r>
              <w:rPr>
                <w:sz w:val="24"/>
              </w:rPr>
              <w:t xml:space="preserve">Sản phẩm hình thành từ kinh phí của Quỹ</w:t>
            </w:r>
          </w:p>
        </w:tc>
        <w:tc>
          <w:tcPr>
            <w:tcW w:w="1880" w:type="dxa"/>
            <w:vAlign w:val="center"/>
          </w:tcPr>
          <w:p>
            <w:pPr>
              <w:spacing w:before="20" w:after="20" w:line="252" w:lineRule="auto"/>
              <w:ind w:firstLine="0"/>
              <w:jc w:val="left"/>
            </w:pPr>
            <w:r>
              <w:rPr>
                <w:sz w:val="24"/>
              </w:rPr>
              <w:t xml:space="preserve">Năm đầu 50% tác giả, 50% Trường; từ năm thứ hai 20% tác giả, 80% Trường</w:t>
            </w:r>
          </w:p>
        </w:tc>
        <w:tc>
          <w:tcPr>
            <w:tcW w:w="1769" w:type="dxa"/>
            <w:vAlign w:val="center"/>
          </w:tcPr>
          <w:p>
            <w:pPr>
              <w:spacing w:before="20" w:after="20" w:line="252" w:lineRule="auto"/>
              <w:ind w:firstLine="0"/>
              <w:jc w:val="left"/>
            </w:pPr>
            <w:r>
              <w:rPr>
                <w:sz w:val="24"/>
              </w:rPr>
              <w:t xml:space="preserve">Chưa đối chiếu được văn bản gốc</w:t>
            </w:r>
          </w:p>
        </w:tc>
        <w:tc>
          <w:tcPr>
            <w:tcW w:w="1880" w:type="dxa"/>
            <w:vAlign w:val="center"/>
          </w:tcPr>
          <w:p>
            <w:pPr>
              <w:spacing w:before="20" w:after="20" w:line="252" w:lineRule="auto"/>
              <w:ind w:firstLine="0"/>
              <w:jc w:val="left"/>
            </w:pPr>
            <w:r>
              <w:rPr>
                <w:sz w:val="24"/>
              </w:rPr>
              <w:t xml:space="preserve">Ghi theo thông tin được cung cấp, cần bổ sung văn bản</w:t>
            </w:r>
          </w:p>
        </w:tc>
      </w:tr>
      <w:tr>
        <w:trPr/>
        <w:tc>
          <w:tcPr>
            <w:tcW w:w="1659" w:type="dxa"/>
            <w:vAlign w:val="center"/>
          </w:tcPr>
          <w:p>
            <w:pPr>
              <w:spacing w:before="20" w:after="20" w:line="252" w:lineRule="auto"/>
              <w:ind w:firstLine="0"/>
              <w:jc w:val="left"/>
            </w:pPr>
            <w:r>
              <w:rPr>
                <w:sz w:val="24"/>
              </w:rPr>
              <w:t xml:space="preserve">Luật số 93/2025/QH15, khoản 2 Điều 28</w:t>
            </w:r>
          </w:p>
        </w:tc>
        <w:tc>
          <w:tcPr>
            <w:tcW w:w="1880" w:type="dxa"/>
            <w:vAlign w:val="center"/>
          </w:tcPr>
          <w:p>
            <w:pPr>
              <w:spacing w:before="20" w:after="20" w:line="252" w:lineRule="auto"/>
              <w:ind w:firstLine="0"/>
              <w:jc w:val="left"/>
            </w:pPr>
            <w:r>
              <w:rPr>
                <w:sz w:val="24"/>
              </w:rPr>
              <w:t xml:space="preserve">Phần kết quả không sử dụng ngân sách nhà nước</w:t>
            </w:r>
          </w:p>
        </w:tc>
        <w:tc>
          <w:tcPr>
            <w:tcW w:w="1880" w:type="dxa"/>
            <w:vAlign w:val="center"/>
          </w:tcPr>
          <w:p>
            <w:pPr>
              <w:spacing w:before="20" w:after="20" w:line="252" w:lineRule="auto"/>
              <w:ind w:firstLine="0"/>
              <w:jc w:val="left"/>
            </w:pPr>
            <w:r>
              <w:rPr>
                <w:sz w:val="24"/>
              </w:rPr>
              <w:t xml:space="preserve">Chủ sở hữu tự quyết định, kể cả thưởng cho tác giả</w:t>
            </w:r>
          </w:p>
        </w:tc>
        <w:tc>
          <w:tcPr>
            <w:tcW w:w="1769" w:type="dxa"/>
            <w:vAlign w:val="center"/>
          </w:tcPr>
          <w:p>
            <w:pPr>
              <w:spacing w:before="20" w:after="20" w:line="252" w:lineRule="auto"/>
              <w:ind w:firstLine="0"/>
              <w:jc w:val="left"/>
            </w:pPr>
            <w:r>
              <w:rPr>
                <w:sz w:val="24"/>
              </w:rPr>
              <w:t xml:space="preserve">Lợi nhuận thu được tương ứng phần kết quả</w:t>
            </w:r>
          </w:p>
        </w:tc>
        <w:tc>
          <w:tcPr>
            <w:tcW w:w="1880" w:type="dxa"/>
            <w:vAlign w:val="center"/>
          </w:tcPr>
          <w:p>
            <w:pPr>
              <w:spacing w:before="20" w:after="20" w:line="252" w:lineRule="auto"/>
              <w:ind w:firstLine="0"/>
              <w:jc w:val="left"/>
            </w:pPr>
            <w:r>
              <w:rPr>
                <w:sz w:val="24"/>
              </w:rPr>
              <w:t xml:space="preserve">Không quy định mức</w:t>
            </w:r>
          </w:p>
        </w:tc>
      </w:tr>
      <w:tr>
        <w:trPr/>
        <w:tc>
          <w:tcPr>
            <w:tcW w:w="1659" w:type="dxa"/>
            <w:vAlign w:val="center"/>
          </w:tcPr>
          <w:p>
            <w:pPr>
              <w:spacing w:before="20" w:after="20" w:line="252" w:lineRule="auto"/>
              <w:ind w:firstLine="0"/>
              <w:jc w:val="left"/>
            </w:pPr>
            <w:r>
              <w:rPr>
                <w:sz w:val="24"/>
              </w:rPr>
              <w:t xml:space="preserve">Luật số 93/2025/QH15, khoản 3, khoản 4 Điều 28</w:t>
            </w:r>
          </w:p>
        </w:tc>
        <w:tc>
          <w:tcPr>
            <w:tcW w:w="1880" w:type="dxa"/>
            <w:vAlign w:val="center"/>
          </w:tcPr>
          <w:p>
            <w:pPr>
              <w:spacing w:before="20" w:after="20" w:line="252" w:lineRule="auto"/>
              <w:ind w:firstLine="0"/>
              <w:jc w:val="left"/>
            </w:pPr>
            <w:r>
              <w:rPr>
                <w:sz w:val="24"/>
              </w:rPr>
              <w:t xml:space="preserve">Phần kết quả nhiệm vụ sử dụng ngân sách nhà nước</w:t>
            </w:r>
          </w:p>
        </w:tc>
        <w:tc>
          <w:tcPr>
            <w:tcW w:w="1880" w:type="dxa"/>
            <w:vAlign w:val="center"/>
          </w:tcPr>
          <w:p>
            <w:pPr>
              <w:spacing w:before="20" w:after="20" w:line="252" w:lineRule="auto"/>
              <w:ind w:firstLine="0"/>
              <w:jc w:val="left"/>
            </w:pPr>
            <w:r>
              <w:rPr>
                <w:sz w:val="24"/>
              </w:rPr>
              <w:t xml:space="preserve">Thưởng tác giả tối thiểu 30%; thưởng người tổ chức thương mại hóa; tái đầu tư; mục đích khác</w:t>
            </w:r>
          </w:p>
        </w:tc>
        <w:tc>
          <w:tcPr>
            <w:tcW w:w="1769" w:type="dxa"/>
            <w:vAlign w:val="center"/>
          </w:tcPr>
          <w:p>
            <w:pPr>
              <w:spacing w:before="20" w:after="20" w:line="252" w:lineRule="auto"/>
              <w:ind w:firstLine="0"/>
              <w:jc w:val="left"/>
            </w:pPr>
            <w:r>
              <w:rPr>
                <w:sz w:val="24"/>
              </w:rPr>
              <w:t xml:space="preserve">Lợi nhuận sau thuế; hoặc giá trị kết quả khi góp vốn, liên doanh, thành lập doanh nghiệp</w:t>
            </w:r>
          </w:p>
        </w:tc>
        <w:tc>
          <w:tcPr>
            <w:tcW w:w="1880" w:type="dxa"/>
            <w:vAlign w:val="center"/>
          </w:tcPr>
          <w:p>
            <w:pPr>
              <w:spacing w:before="20" w:after="20" w:line="252" w:lineRule="auto"/>
              <w:ind w:firstLine="0"/>
              <w:jc w:val="left"/>
            </w:pPr>
            <w:r>
              <w:rPr>
                <w:sz w:val="24"/>
              </w:rPr>
              <w:t xml:space="preserve">Nhiệm vụ giao từ ngày 01 tháng 10 năm 2025; nhiệm vụ giao từ ngày 01 tháng 01 năm 2023 nếu là sáng chế, kiểu dáng công nghiệp, thiết kế bố trí đã được cấp văn bằng, theo khoản 7 Điều 73</w:t>
            </w:r>
          </w:p>
        </w:tc>
      </w:tr>
      <w:tr>
        <w:trPr/>
        <w:tc>
          <w:tcPr>
            <w:tcW w:w="1659" w:type="dxa"/>
            <w:vAlign w:val="center"/>
          </w:tcPr>
          <w:p>
            <w:pPr>
              <w:spacing w:before="20" w:after="20" w:line="252" w:lineRule="auto"/>
              <w:ind w:firstLine="0"/>
              <w:jc w:val="left"/>
            </w:pPr>
            <w:r>
              <w:rPr>
                <w:sz w:val="24"/>
              </w:rPr>
              <w:t xml:space="preserve">Luật Sở hữu trí tuệ, khoản 1 Điều 135</w:t>
            </w:r>
          </w:p>
        </w:tc>
        <w:tc>
          <w:tcPr>
            <w:tcW w:w="1880" w:type="dxa"/>
            <w:vAlign w:val="center"/>
          </w:tcPr>
          <w:p>
            <w:pPr>
              <w:spacing w:before="20" w:after="20" w:line="252" w:lineRule="auto"/>
              <w:ind w:firstLine="0"/>
              <w:jc w:val="left"/>
            </w:pPr>
            <w:r>
              <w:rPr>
                <w:sz w:val="24"/>
              </w:rPr>
              <w:t xml:space="preserve">Sáng chế, kiểu dáng công nghiệp, thiết kế bố trí, không phân biệt nguồn kinh phí</w:t>
            </w:r>
          </w:p>
        </w:tc>
        <w:tc>
          <w:tcPr>
            <w:tcW w:w="1880" w:type="dxa"/>
            <w:vAlign w:val="center"/>
          </w:tcPr>
          <w:p>
            <w:pPr>
              <w:spacing w:before="20" w:after="20" w:line="252" w:lineRule="auto"/>
              <w:ind w:firstLine="0"/>
              <w:jc w:val="left"/>
            </w:pPr>
            <w:r>
              <w:rPr>
                <w:sz w:val="24"/>
              </w:rPr>
              <w:t xml:space="preserve">Thù lao cho tác giả theo thỏa thuận; mặc định 10% hoặc 15%</w:t>
            </w:r>
          </w:p>
        </w:tc>
        <w:tc>
          <w:tcPr>
            <w:tcW w:w="1769" w:type="dxa"/>
            <w:vAlign w:val="center"/>
          </w:tcPr>
          <w:p>
            <w:pPr>
              <w:spacing w:before="20" w:after="20" w:line="252" w:lineRule="auto"/>
              <w:ind w:firstLine="0"/>
              <w:jc w:val="left"/>
            </w:pPr>
            <w:r>
              <w:rPr>
                <w:sz w:val="24"/>
              </w:rPr>
              <w:t xml:space="preserve">10% lợi nhuận trước thuế khi tự sử dụng; 15% tổng số tiền nhận được mỗi lần trước thuế khi chuyển giao quyền sử dụng</w:t>
            </w:r>
          </w:p>
        </w:tc>
        <w:tc>
          <w:tcPr>
            <w:tcW w:w="1880" w:type="dxa"/>
            <w:vAlign w:val="center"/>
          </w:tcPr>
          <w:p>
            <w:pPr>
              <w:spacing w:before="20" w:after="20" w:line="252" w:lineRule="auto"/>
              <w:ind w:firstLine="0"/>
              <w:jc w:val="left"/>
            </w:pPr>
            <w:r>
              <w:rPr>
                <w:sz w:val="24"/>
              </w:rPr>
              <w:t xml:space="preserve">Mức mặc định chỉ áp dụng khi không có thỏa thuận; trả trong suốt thời hạn bảo hộ; không đặt trần</w:t>
            </w:r>
          </w:p>
        </w:tc>
      </w:tr>
    </w:tbl>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Quy chế chi tiêu nội bộ năm 2026, Luật số 93/2025/QH15 và Văn bản hợp nhất số 67/VBHN-VPQH. Nội dung về Quỹ Học bổng sau tiến sĩ Ngô Xuân Độ ghi theo thông tin được cung cấp, chưa đối chiếu được văn bản gốc.</w:t>
      </w:r>
    </w:p>
    <w:p w14:paraId="48E95726" w14:textId="77777777" w:rsidR="005B561C" w:rsidRPr="000F7C87" w:rsidRDefault="00000000">
      <w:pPr>
        <w:rPr>
          <w:szCs w:val="26"/>
        </w:rPr>
      </w:pPr>
      <w:r w:rsidRPr="000F7C87">
        <w:rPr>
          <w:szCs w:val="26"/>
        </w:rPr>
        <w:t>Bảng 2.3 cho thấy các tỷ lệ trong văn bản nội bộ và trong Luật không thể so sánh trực tiếp với nhau, vì chúng khác nhau về đối tượng hưởng, cơ sở tính và phạm vi. Phần 30% tại điểm a là khen thưởng tập thể tác giả tính trên nguồn thu sau chi phí; mức tối thiểu 30% tại Điều 28 Luật số 93/2025/QH15 là thưởng tính trên lợi nhuận sau thuế; mức 15% tại Điều 135 Luật Sở hữu trí tuệ là thù lao tính trên tổng số tiền nhận được trước thuế. Chỉ điểm a và điểm b khoản 4 Điều 36 Quyết định 213 có cùng cơ sở tính, nên được mô phỏng chung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2.2. Mô phỏng phần dành cho tác giả theo điểm a và điểm b khoản 4 Điều 36 Quyết định 213 trên cùng cơ sở tính</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2" name="Biểu đồ 502" descr="Hình 2.2. Mô phỏng phần dành cho tác giả theo điểm a và điểm b khoản 4 Điều 36 Quyết định 213 trên cùng cơ sở tính"/>
            <wp:cNvGraphicFramePr/>
            <a:graphic>
              <a:graphicData uri="http://schemas.openxmlformats.org/drawingml/2006/chart">
                <c:chart r:id="rId12"/>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mô phỏng từ khoản 4 Điều 36 Quy chế ban hành kèm Quyết định số 213/QĐ-ĐHTĐ. Trục hoành là nguồn thu sau khi trừ các khoản chi phí cần thiết, hợp lệ, cơ sở tính chung của hai điểm; đơn vị: triệu đồng. Điểm a áp dụng cho sản phẩm đề tài sử dụng ngân sách nhà nước do Trường chủ trì: 30% khen thưởng tập thể tác giả, tối đa 100 triệu đồng một đề tài, phần vượt chuyển vào quỹ khen thưởng, phúc lợi. Điểm b áp dụng cho tài sản trí tuệ thuộc sở hữu của Trường: tác giả hưởng 30%. Hai điểm có phạm vi khác nhau nên không cùng áp dụng cho một tài sản.</w:t>
      </w:r>
    </w:p>
    <w:p w14:paraId="48E95726" w14:textId="77777777" w:rsidR="005B561C" w:rsidRPr="000F7C87" w:rsidRDefault="00000000">
      <w:pPr>
        <w:rPr>
          <w:szCs w:val="26"/>
        </w:rPr>
      </w:pPr>
      <w:r w:rsidRPr="000F7C87">
        <w:rPr>
          <w:szCs w:val="26"/>
        </w:rPr>
        <w:t>Hình 2.2 cho thấy, trên cùng nguồn thu sau chi phí, phần dành cho tác giả theo hai điểm bằng nhau cho đến khoảng 333 triệu đồng; từ mức này, phần theo điểm a không tăng thêm do mức trần 100 triệu đồng một đề tài. Vì hai điểm áp dụng cho hai phạm vi khác nhau, khác biệt này không phải là xung đột giữa hai quy định mà thể hiện tác động của mức trần đối với đề tài sử dụng ngân sách nhà nước.</w:t>
      </w:r>
    </w:p>
    <w:p w14:paraId="48E95726" w14:textId="77777777" w:rsidR="005B561C" w:rsidRPr="000F7C87" w:rsidRDefault="00000000">
      <w:pPr>
        <w:rPr>
          <w:szCs w:val="26"/>
        </w:rPr>
      </w:pPr>
      <w:r w:rsidRPr="000F7C87">
        <w:rPr>
          <w:szCs w:val="26"/>
        </w:rPr>
        <w:t>Đối chiếu theo từng tình huống, chưa xác định được trường hợp nào mà cùng một tài sản đồng thời chịu hai yêu cầu nội bộ không tương thích: điểm a áp dụng cho đề tài sử dụng ngân sách nhà nước, điểm b cho tài sản thuộc sở hữu của Trường, còn khoản 3 Điều 13 Quyết định 217 tự xác định thứ tự áp dụng khi chỉ được dùng nếu không có thỏa thuận, Quy chế chi tiêu nội bộ hoặc pháp luật không quy định. Các điểm cần thống nhất cách hiểu và thứ tự áp dụng gồm: quan hệ giữa Điều 13 Quyết định 217 với khoản 4 Điều 36 Quyết định 213, vì văn bản sau không dẫn chiếu văn bản trước; quan hệ giữa quy định trích 50% kinh phí chuyển giao công nghệ về Nhà trường tại Quy chế chi tiêu nội bộ năm 2026 với phần 30% của tác giả tại điểm b; và thuật ngữ, khi điểm a gọi phần của tác giả là khen thưởng còn điểm b ghi tác giả hưởng 30% theo Luật Sở hữu trí tuệ, trong khi pháp luật phân biệt thưởng theo Điều 28 Luật số 93/2025/QH15 với thù lao theo Điều 135 Luật Sở hữu trí tuệ.</w:t>
      </w:r>
    </w:p>
    <w:p w14:paraId="48E95726" w14:textId="77777777" w:rsidR="005B561C" w:rsidRPr="000F7C87" w:rsidRDefault="00000000">
      <w:pPr>
        <w:rPr>
          <w:szCs w:val="26"/>
        </w:rPr>
      </w:pPr>
      <w:r w:rsidRPr="000F7C87">
        <w:rPr>
          <w:szCs w:val="26"/>
        </w:rPr>
        <w:t>Đối chiếu với Luật số 93/2025/QH15, có hiệu lực từ ngày 01 tháng 10 năm 2025, và Luật Sở hữu trí tuệ hiện hành cho thấy ba điểm cần rà soát. Thứ nhất, với nhiệm vụ sử dụng ngân sách nhà nước được giao từ ngày 01 tháng 10 năm 2025, và với sáng chế, kiểu dáng công nghiệp, thiết kế bố trí đã được cấp văn bằng là kết quả của nhiệm vụ giao từ ngày 01 tháng 01 năm 2023 theo khoản 7 Điều 73, phần thưởng cho tác giả phải đạt tối thiểu 30% lợi nhuận sau thuế; mức trần 100 triệu đồng tại điểm a chỉ dẫn đến phần thưởng thấp hơn mức này khi 30% lợi nhuận sau thuế vượt 100 triệu đồng, còn khoản nộp ngân sách nhà nước 40% không thuộc các mục đích sử dụng lợi nhuận tại khoản 3 Điều 28. Thứ hai, ba đề tài cấp quốc gia không chịu cùng một chế độ: đề tài phê duyệt ngày 15 tháng 12 năm 2025 thuộc phạm vi Điều 28; hai đề tài phê duyệt ngày 26 tháng 3 năm 2024 và ngày 30 tháng 9 năm 2025 tiếp tục theo pháp luật và văn bản có hiệu lực tại thời điểm phê duyệt theo khoản 3 Điều 73, trừ trường hợp kết quả là sáng chế, kiểu dáng công nghiệp, thiết kế bố trí được cấp văn bằng theo khoản 7 Điều 73. Thứ ba, với sáng chế, kiểu dáng công nghiệp, thiết kế bố trí, điểm b tính phần 30% của tác giả trên nguồn thu sau chi phí, trong khi mức mặc định tại khoản 1 Điều 135 tính trên tổng số tiền nhận được trước thuế; khi chi phí vượt một nửa nguồn thu, 30% sau chi phí thấp hơn 15% tổng số tiền. Do đó cần xác định quy chế có được coi là thỏa thuận về thù lao theo khoản 1 Điều 135 hay không. Việc cập nhật quy chế vì vậy cần căn cứ vào phạm vi từng trường hợp, không thể kết luận mức trần trái luật trong mọi trường hợp, cũng không thể thay bằng một tỷ lệ chung.</w:t>
      </w:r>
    </w:p>
    <w:p w14:paraId="0DE297E1" w14:textId="77777777" w:rsidR="005B561C" w:rsidRPr="000F7C87" w:rsidRDefault="00000000">
      <w:pPr>
        <w:keepNext/>
        <w:spacing w:before="200" w:after="100"/>
        <w:ind w:firstLine="0"/>
        <w:outlineLvl w:val="2"/>
        <w:rPr>
          <w:szCs w:val="26"/>
        </w:rPr>
      </w:pPr>
      <w:r w:rsidRPr="000F7C87">
        <w:rPr>
          <w:b/>
          <w:szCs w:val="26"/>
        </w:rPr>
        <w:t>2.2.2. Tổ chức bộ máy và đầu mối quản lý</w:t>
      </w:r>
    </w:p>
    <w:p w14:paraId="48E95726" w14:textId="77777777" w:rsidR="005B561C" w:rsidRPr="000F7C87" w:rsidRDefault="00000000">
      <w:pPr>
        <w:rPr>
          <w:szCs w:val="26"/>
        </w:rPr>
      </w:pPr>
      <w:r w:rsidRPr="000F7C87">
        <w:rPr>
          <w:szCs w:val="26"/>
        </w:rPr>
        <w:t>Theo Điều 35 Quyết định 213 và Điều 11 Quyết định 217, Phòng Khoa học Công nghệ là đầu mối tiếp nhận hồ sơ, nhận diện, lập hồ sơ theo dõi và xúc tiến thương mại hóa tài sản trí tuệ; Bộ phận Pháp chế thực hiện thủ tục xác lập quyền và hỗ trợ đăng ký; các đơn vị có trách nhiệm phối hợp ghi nhận tài sản mới phát sinh. Trong hồ sơ hiện có, công việc được phân theo bốn đơn vị, như thể hiện tại hình dưới đây. Phòng Khoa học Công nghệ, với 2 nhân sự, tiếp nhận hồ sơ đề tài. Danh mục theo dõi nhãn hiệu và logo do bộ phận quản trị thương hiệu thuộc Trung tâm Tuyển sinh và Quản trị thương hiệu lập. Bộ phận Pháp chế thuộc Trung tâm Dịch vụ và Quản trị hành chính tổng hợp; theo thông tin được cung cấp, bộ phận này là đầu mối của Mạng lưới Trung tâm Hỗ trợ công nghệ và đổi mới sáng tạo mà Nhà trường tham gia từ năm 2023, nhưng hồ sơ Đề tài tiếp cận chưa có văn bản xác nhận. Viện Nghiên cứu giáo dục và Chuyển giao tri thức là đơn vị có thống kê hợp đồng khai thác quyền đối với sách.</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2.3. Phân công đầu mối quản lý quyền sở hữu trí tuệ tại Trường Đại học Thành Đô</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204000"/>
            <wp:docPr id="503" name="Picture 503"/>
            <wp:cNvGraphicFramePr>
              <a:graphicFrameLocks noChangeAspect="1"/>
            </wp:cNvGraphicFramePr>
            <a:graphic>
              <a:graphicData uri="http://schemas.openxmlformats.org/drawingml/2006/picture">
                <pic:pic>
                  <pic:nvPicPr>
                    <pic:cNvPr id="0" name="bon_dau_moi.png"/>
                    <pic:cNvPicPr/>
                  </pic:nvPicPr>
                  <pic:blipFill>
                    <a:blip r:embed="rId13"/>
                    <a:stretch>
                      <a:fillRect/>
                    </a:stretch>
                  </pic:blipFill>
                  <pic:spPr>
                    <a:xfrm>
                      <a:off x="0" y="0"/>
                      <a:ext cx="5580000" cy="320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và danh sách nhân sự năm 2026.</w:t>
      </w:r>
    </w:p>
    <w:p w14:paraId="48E95726" w14:textId="77777777" w:rsidR="005B561C" w:rsidRPr="000F7C87" w:rsidRDefault="00000000">
      <w:pPr>
        <w:rPr>
          <w:szCs w:val="26"/>
        </w:rPr>
      </w:pPr>
      <w:r w:rsidRPr="000F7C87">
        <w:rPr>
          <w:szCs w:val="26"/>
        </w:rPr>
        <w:t>Hình 2.3 cho thấy ba trong bốn đầu mối thuộc khối Quản trị và Dịch vụ, còn kết quả nghiên cứu phát sinh ở khối Đào tạo và Nghiên cứu. Quyết định 217 đã phân công trách nhiệm, trong đó Điều 11 giao Phòng Khoa học Công nghệ xây dựng quy trình, biểu mẫu ghi nhận, khai báo và lập hồ sơ theo dõi tài sản trí tuệ. Trong hồ sơ Đề tài tiếp cận chưa thấy biểu mẫu khai báo hay hồ sơ theo dõi dùng chung giữa các đơn vị; mức độ thực hiện các nhiệm vụ tại Điều 10 và Điều 11 vì vậy là vấn đề cần được đánh giá, chưa thể kết luận là chưa được thực hiện.</w:t>
      </w:r>
    </w:p>
    <w:p w14:paraId="0DE297E1" w14:textId="77777777" w:rsidR="005B561C" w:rsidRPr="000F7C87" w:rsidRDefault="00000000">
      <w:pPr>
        <w:keepNext/>
        <w:spacing w:before="200" w:after="100"/>
        <w:ind w:firstLine="0"/>
        <w:outlineLvl w:val="2"/>
        <w:rPr>
          <w:szCs w:val="26"/>
        </w:rPr>
      </w:pPr>
      <w:r w:rsidRPr="000F7C87">
        <w:rPr>
          <w:b/>
          <w:szCs w:val="26"/>
        </w:rPr>
        <w:t>2.2.3. Nguồn lực tài chính và cơ chế khuyến khích</w:t>
      </w:r>
    </w:p>
    <w:p w14:paraId="48E95726" w14:textId="77777777" w:rsidR="005B561C" w:rsidRPr="000F7C87" w:rsidRDefault="00000000">
      <w:pPr>
        <w:rPr>
          <w:szCs w:val="26"/>
        </w:rPr>
      </w:pPr>
      <w:r w:rsidRPr="000F7C87">
        <w:rPr>
          <w:szCs w:val="26"/>
        </w:rPr>
        <w:t>Nhà trường có ba kênh tài trợ nghiên cứu với chế độ sở hữu trí tuệ khác nhau, được trình bày tại Bảng 2.4.</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2.4. Ba kênh tài trợ nghiên cứu và cơ chế chi cho xác lập quyền</w:t>
      </w:r>
    </w:p>
    <w:tbl>
      <w:tblPr>
        <w:tblStyle w:val="TableGrid"/>
        <w:tblW w:w="0" w:type="auto"/>
        <w:jc w:val="center"/>
        <w:tblLook w:val="04A0" w:firstRow="1" w:lastRow="0" w:firstColumn="1" w:lastColumn="0" w:noHBand="0" w:noVBand="1"/>
      </w:tblPr>
      <w:tblGrid>
        <w:gridCol w:w="1976"/>
        <w:gridCol w:w="2674"/>
        <w:gridCol w:w="2441"/>
        <w:gridCol w:w="1976"/>
      </w:tblGrid>
      <w:tr>
        <w:trPr>
          <w:tblHeader/>
          <w:cantSplit/>
        </w:trPr>
        <w:tc>
          <w:tcPr>
            <w:tcW w:w="1976" w:type="dxa"/>
            <w:shd w:val="clear" w:color="auto" w:fill="DCE8F7"/>
            <w:vAlign w:val="center"/>
          </w:tcPr>
          <w:p>
            <w:pPr>
              <w:spacing w:before="20" w:after="20" w:line="252" w:lineRule="auto"/>
              <w:ind w:firstLine="0"/>
              <w:jc w:val="center"/>
            </w:pPr>
            <w:r>
              <w:rPr>
                <w:b/>
                <w:sz w:val="24"/>
              </w:rPr>
              <w:t xml:space="preserve">Kênh tài trợ</w:t>
            </w:r>
          </w:p>
        </w:tc>
        <w:tc>
          <w:tcPr>
            <w:tcW w:w="2674" w:type="dxa"/>
            <w:shd w:val="clear" w:color="auto" w:fill="DCE8F7"/>
            <w:vAlign w:val="center"/>
          </w:tcPr>
          <w:p>
            <w:pPr>
              <w:spacing w:before="20" w:after="20" w:line="252" w:lineRule="auto"/>
              <w:ind w:firstLine="0"/>
              <w:jc w:val="center"/>
            </w:pPr>
            <w:r>
              <w:rPr>
                <w:b/>
                <w:sz w:val="24"/>
              </w:rPr>
              <w:t xml:space="preserve">Quy mô</w:t>
            </w:r>
          </w:p>
        </w:tc>
        <w:tc>
          <w:tcPr>
            <w:tcW w:w="2441" w:type="dxa"/>
            <w:shd w:val="clear" w:color="auto" w:fill="DCE8F7"/>
            <w:vAlign w:val="center"/>
          </w:tcPr>
          <w:p>
            <w:pPr>
              <w:spacing w:before="20" w:after="20" w:line="252" w:lineRule="auto"/>
              <w:ind w:firstLine="0"/>
              <w:jc w:val="center"/>
            </w:pPr>
            <w:r>
              <w:rPr>
                <w:b/>
                <w:sz w:val="24"/>
              </w:rPr>
              <w:t xml:space="preserve">Cơ chế chi cho xác lập quyền</w:t>
            </w:r>
          </w:p>
        </w:tc>
        <w:tc>
          <w:tcPr>
            <w:tcW w:w="1976" w:type="dxa"/>
            <w:shd w:val="clear" w:color="auto" w:fill="DCE8F7"/>
            <w:vAlign w:val="center"/>
          </w:tcPr>
          <w:p>
            <w:pPr>
              <w:spacing w:before="20" w:after="20" w:line="252" w:lineRule="auto"/>
              <w:ind w:firstLine="0"/>
              <w:jc w:val="center"/>
            </w:pPr>
            <w:r>
              <w:rPr>
                <w:b/>
                <w:sz w:val="24"/>
              </w:rPr>
              <w:t xml:space="preserve">Kết quả tài sản trí tuệ trong kỳ</w:t>
            </w:r>
          </w:p>
        </w:tc>
      </w:tr>
      <w:tr>
        <w:trPr/>
        <w:tc>
          <w:tcPr>
            <w:tcW w:w="1976" w:type="dxa"/>
            <w:vAlign w:val="center"/>
          </w:tcPr>
          <w:p>
            <w:pPr>
              <w:spacing w:before="20" w:after="20" w:line="252" w:lineRule="auto"/>
              <w:ind w:firstLine="0"/>
              <w:jc w:val="left"/>
            </w:pPr>
            <w:r>
              <w:rPr>
                <w:sz w:val="24"/>
              </w:rPr>
              <w:t xml:space="preserve">Đề tài cấp cơ sở, ngân sách của Trường</w:t>
            </w:r>
          </w:p>
        </w:tc>
        <w:tc>
          <w:tcPr>
            <w:tcW w:w="2674" w:type="dxa"/>
            <w:vAlign w:val="center"/>
          </w:tcPr>
          <w:p>
            <w:pPr>
              <w:spacing w:before="20" w:after="20" w:line="252" w:lineRule="auto"/>
              <w:ind w:firstLine="0"/>
              <w:jc w:val="left"/>
            </w:pPr>
            <w:r>
              <w:rPr>
                <w:sz w:val="24"/>
              </w:rPr>
              <w:t xml:space="preserve">38 đề tài giai đoạn 2021 - 2025; 19 đề tài được cấp tổng 424,75 triệu đồng, 16 đề tài chỉ quy đổi giờ, 3 đề tài tự tìm tài trợ</w:t>
            </w:r>
          </w:p>
        </w:tc>
        <w:tc>
          <w:tcPr>
            <w:tcW w:w="2441" w:type="dxa"/>
            <w:vAlign w:val="center"/>
          </w:tcPr>
          <w:p>
            <w:pPr>
              <w:spacing w:before="20" w:after="20" w:line="252" w:lineRule="auto"/>
              <w:ind w:firstLine="0"/>
              <w:jc w:val="left"/>
            </w:pPr>
            <w:r>
              <w:rPr>
                <w:sz w:val="24"/>
              </w:rPr>
              <w:t xml:space="preserve">Điều 35 Quyết định 213 giao Phòng Khoa học Công nghệ nộp đơn, lệ phí; Điều 38 cho phép chi thuê ngoài, chi khác liên quan trực tiếp; chưa thấy dự toán riêng</w:t>
            </w:r>
          </w:p>
        </w:tc>
        <w:tc>
          <w:tcPr>
            <w:tcW w:w="1976" w:type="dxa"/>
            <w:vAlign w:val="center"/>
          </w:tcPr>
          <w:p>
            <w:pPr>
              <w:spacing w:before="20" w:after="20" w:line="252" w:lineRule="auto"/>
              <w:ind w:firstLine="0"/>
              <w:jc w:val="left"/>
            </w:pPr>
            <w:r>
              <w:rPr>
                <w:sz w:val="24"/>
              </w:rPr>
              <w:t xml:space="preserve">11 đề tài có sản phẩm tiềm năng, trong đó 9 thuộc sở hữu công nghiệp; 1 đơn sáng chế</w:t>
            </w:r>
          </w:p>
        </w:tc>
      </w:tr>
      <w:tr>
        <w:trPr/>
        <w:tc>
          <w:tcPr>
            <w:tcW w:w="1976" w:type="dxa"/>
            <w:vAlign w:val="center"/>
          </w:tcPr>
          <w:p>
            <w:pPr>
              <w:spacing w:before="20" w:after="20" w:line="252" w:lineRule="auto"/>
              <w:ind w:firstLine="0"/>
              <w:jc w:val="left"/>
            </w:pPr>
            <w:r>
              <w:rPr>
                <w:sz w:val="24"/>
              </w:rPr>
              <w:t xml:space="preserve">Quỹ Học bổng sau tiến sĩ Ngô Xuân Độ</w:t>
            </w:r>
          </w:p>
        </w:tc>
        <w:tc>
          <w:tcPr>
            <w:tcW w:w="2674" w:type="dxa"/>
            <w:vAlign w:val="center"/>
          </w:tcPr>
          <w:p>
            <w:pPr>
              <w:spacing w:before="20" w:after="20" w:line="252" w:lineRule="auto"/>
              <w:ind w:firstLine="0"/>
              <w:jc w:val="left"/>
            </w:pPr>
            <w:r>
              <w:rPr>
                <w:sz w:val="24"/>
              </w:rPr>
              <w:t xml:space="preserve">Ngân sách 5 tỷ đồng giai đoạn 2025 - 2029; 10 đến 15 học bổng mỗi năm, mức 50 đến 500 triệu đồng</w:t>
            </w:r>
          </w:p>
        </w:tc>
        <w:tc>
          <w:tcPr>
            <w:tcW w:w="2441" w:type="dxa"/>
            <w:vAlign w:val="center"/>
          </w:tcPr>
          <w:p>
            <w:pPr>
              <w:spacing w:before="20" w:after="20" w:line="252" w:lineRule="auto"/>
              <w:ind w:firstLine="0"/>
              <w:jc w:val="left"/>
            </w:pPr>
            <w:r>
              <w:rPr>
                <w:sz w:val="24"/>
              </w:rPr>
              <w:t xml:space="preserve">Khoản chi phí khác tối đa bằng 50% chi trực tiếp</w:t>
            </w:r>
          </w:p>
        </w:tc>
        <w:tc>
          <w:tcPr>
            <w:tcW w:w="1976" w:type="dxa"/>
            <w:vAlign w:val="center"/>
          </w:tcPr>
          <w:p>
            <w:pPr>
              <w:spacing w:before="20" w:after="20" w:line="252" w:lineRule="auto"/>
              <w:ind w:firstLine="0"/>
              <w:jc w:val="left"/>
            </w:pPr>
            <w:r>
              <w:rPr>
                <w:sz w:val="24"/>
              </w:rPr>
              <w:t xml:space="preserve">Quỹ hoạt động từ năm 2025, chưa có kết quả</w:t>
            </w:r>
          </w:p>
        </w:tc>
      </w:tr>
      <w:tr>
        <w:trPr/>
        <w:tc>
          <w:tcPr>
            <w:tcW w:w="1976" w:type="dxa"/>
            <w:vAlign w:val="center"/>
          </w:tcPr>
          <w:p>
            <w:pPr>
              <w:spacing w:before="20" w:after="20" w:line="252" w:lineRule="auto"/>
              <w:ind w:firstLine="0"/>
              <w:jc w:val="left"/>
            </w:pPr>
            <w:r>
              <w:rPr>
                <w:sz w:val="24"/>
              </w:rPr>
              <w:t xml:space="preserve">Đề tài cấp quốc gia, Quỹ Phát triển khoa học và công nghệ quốc gia</w:t>
            </w:r>
          </w:p>
        </w:tc>
        <w:tc>
          <w:tcPr>
            <w:tcW w:w="2674" w:type="dxa"/>
            <w:vAlign w:val="center"/>
          </w:tcPr>
          <w:p>
            <w:pPr>
              <w:spacing w:before="20" w:after="20" w:line="252" w:lineRule="auto"/>
              <w:ind w:firstLine="0"/>
              <w:jc w:val="left"/>
            </w:pPr>
            <w:r>
              <w:rPr>
                <w:sz w:val="24"/>
              </w:rPr>
              <w:t xml:space="preserve">3 đề tài, tổng 4,67 tỷ đồng, phê duyệt năm 2024 và 2025</w:t>
            </w:r>
          </w:p>
        </w:tc>
        <w:tc>
          <w:tcPr>
            <w:tcW w:w="2441" w:type="dxa"/>
            <w:vAlign w:val="center"/>
          </w:tcPr>
          <w:p>
            <w:pPr>
              <w:spacing w:before="20" w:after="20" w:line="252" w:lineRule="auto"/>
              <w:ind w:firstLine="0"/>
              <w:jc w:val="left"/>
            </w:pPr>
            <w:r>
              <w:rPr>
                <w:sz w:val="24"/>
              </w:rPr>
              <w:t xml:space="preserve">Theo quy định của cơ quan tài trợ</w:t>
            </w:r>
          </w:p>
        </w:tc>
        <w:tc>
          <w:tcPr>
            <w:tcW w:w="1976" w:type="dxa"/>
            <w:vAlign w:val="center"/>
          </w:tcPr>
          <w:p>
            <w:pPr>
              <w:spacing w:before="20" w:after="20" w:line="252" w:lineRule="auto"/>
              <w:ind w:firstLine="0"/>
              <w:jc w:val="left"/>
            </w:pPr>
            <w:r>
              <w:rPr>
                <w:sz w:val="24"/>
              </w:rPr>
              <w:t xml:space="preserve">Đang thực hiện, chưa nghiệm thu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cấp cơ sở, danh mục đề tài cấp quốc gia và Quyết định 213. Thông tin về Quỹ Học bổng sau tiến sĩ Ngô Xuân Độ ghi theo tài liệu được cung cấp, chưa đối chiếu được Điều lệ.</w:t>
      </w:r>
    </w:p>
    <w:p w14:paraId="48E95726" w14:textId="77777777" w:rsidR="005B561C" w:rsidRPr="000F7C87" w:rsidRDefault="00000000">
      <w:pPr>
        <w:rPr>
          <w:szCs w:val="26"/>
        </w:rPr>
      </w:pPr>
      <w:r w:rsidRPr="000F7C87">
        <w:rPr>
          <w:szCs w:val="26"/>
        </w:rPr>
        <w:t>Bảng 2.4 cho thấy ba kênh khác nhau về quy mô và cơ chế. Đề tài cấp cơ sở, kênh duy nhất trong kỳ đã tạo ra sản phẩm có tiềm năng tạo lập tài sản trí tuệ, được Nhà trường cấp 424,75 triệu đồng trong năm năm. Quy chế đã có căn cứ chi cho bước xác lập quyền: Điều 35 Quyết định 213 giao Phòng Khoa học Công nghệ thực hiện việc nộp đơn và lệ phí tại cơ quan nhà nước, Điều 38 cho phép chi thuê ngoài và chi khác liên quan trực tiếp đến đề tài, Điều 13 Quyết định 217 coi lệ phí xác lập quyền là khoản được trừ khi chia lợi ích. Điều chưa thấy trong hồ sơ là dự toán riêng cho phí nộp đơn, phí đại diện, phí duy trì hiệu lực; cách tạm ứng và thanh toán khi đơn được nộp sau khi đề tài đã nghiệm thu; thời hạn và người chịu trách nhiệm đề xuất chi. Số liệu chi thực tế cho xác lập quyền trong kỳ cũng chưa được thống kê. Theo thông tin được cung cấp, Quỹ Học bổng sau tiến sĩ Ngô Xuân Độ có khoản chi phí khác có thể trang trải chi phí đăng ký nhưng chỉ dành cho đối tượng học bổng và hoạt động từ năm 2025; chưa có quy định chuyển tiếp giữa hai kênh.</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2.4. Số đề tài cấp cơ sở theo hình thức kinh phí và kinh phí Nhà trường cấp,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3" name="Biểu đồ 503" descr="Hình 2.4. Số đề tài cấp cơ sở theo hình thức kinh phí và kinh phí Nhà trường cấp, giai đoạn 2021 - 2025"/>
            <wp:cNvGraphicFramePr/>
            <a:graphic>
              <a:graphicData uri="http://schemas.openxmlformats.org/drawingml/2006/chart">
                <c:chart r:id="rId14"/>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Đề tài xếp theo năm ghi trong mã số; kinh phí đơn vị triệu đồng.</w:t>
      </w:r>
    </w:p>
    <w:p w14:paraId="48E95726" w14:textId="77777777" w:rsidR="005B561C" w:rsidRPr="000F7C87" w:rsidRDefault="00000000">
      <w:pPr>
        <w:rPr>
          <w:szCs w:val="26"/>
        </w:rPr>
      </w:pPr>
      <w:r w:rsidRPr="000F7C87">
        <w:rPr>
          <w:szCs w:val="26"/>
        </w:rPr>
        <w:t>Hình 2.4 cho thấy cơ chế cấp kinh phí đề tài cấp cơ sở thay đổi sau năm 2022: toàn bộ 6 đề tài mã số 2021 và 7 trên 10 đề tài mã số 2022 chỉ được quy đổi giờ nghiên cứu; từ năm 2023, phần lớn đề tài được cấp tiền và tổng kinh phí đạt 145 triệu đồng năm 2025. Mức cấp phân tán mạnh, trung vị 8,5 triệu đồng, cao nhất 80 triệu đồng. Cả 11 đề tài có sản phẩm tiềm năng đều thuộc nhóm 19 đề tài được cấp tiền và dùng 396,75 triệu đồng, tức 93,4% tổng kinh phí. Mối liên hệ này phù hợp với đặc điểm của các sản phẩm thực nghiệm, chủ yếu ở lĩnh vực dược, cần kinh phí vật tư; dữ liệu không đủ để kết luận kinh phí bằng tiền là nguyên nhân tạo ra sản phẩm. Hồ sơ hiện có cũng không cho biết dự toán của các đề tài này có khoản dành cho bước đăng ký hay không.</w:t>
      </w:r>
    </w:p>
    <w:p w14:paraId="48E95726" w14:textId="77777777" w:rsidR="005B561C" w:rsidRPr="000F7C87" w:rsidRDefault="00000000">
      <w:pPr>
        <w:rPr>
          <w:szCs w:val="26"/>
        </w:rPr>
      </w:pPr>
      <w:r w:rsidRPr="000F7C87">
        <w:rPr>
          <w:szCs w:val="26"/>
        </w:rPr>
        <w:t>Về khuyến khích, Quy chế chi tiêu nội bộ ban hành ngày 01 tháng 8 năm 2026 quy định kinh phí xét duyệt không quá 50 triệu đồng cho đề tài có đăng ký sở hữu trí tuệ và quy đổi giờ nghiên cứu cho văn bằng, với điều kiện đã có chứng nhận đăng ký thành công. Vì quy chế này ban hành sau kỳ đánh giá, phân tích dưới đây mô tả cơ chế hiện hành và có ý nghĩa đối với giai đoạn tới; định mức được đặt cạnh chế độ dành cho công bố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2.5. Giờ nghiên cứu quy đổi và mức thưởng bằng tiền theo loại sản phẩm khoa học</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04" name="Biểu đồ 504" descr="Hình 2.5. Giờ nghiên cứu quy đổi và mức thưởng bằng tiền theo loại sản phẩm khoa học"/>
            <wp:cNvGraphicFramePr/>
            <a:graphic>
              <a:graphicData uri="http://schemas.openxmlformats.org/drawingml/2006/chart">
                <c:chart r:id="rId15"/>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6 và Bảng 7, Quy chế chi tiêu nội bộ Trường Đại học Thành Đô ban hành ngày 01 tháng 8 năm 2026. Sáng chế chuẩn quốc tế là bằng độc quyền theo chuẩn Mỹ, châu Âu, Đông Bắc Á; sáng chế chuẩn Việt Nam là bằng độc quyền theo chuẩn Việt Nam, Trung Quốc, ASEAN. Mức thưởng là tổng tiền thưởng cho một bài báo.</w:t>
      </w:r>
    </w:p>
    <w:p w14:paraId="48E95726" w14:textId="77777777" w:rsidR="005B561C" w:rsidRPr="000F7C87" w:rsidRDefault="00000000">
      <w:pPr>
        <w:rPr>
          <w:szCs w:val="26"/>
        </w:rPr>
      </w:pPr>
      <w:r w:rsidRPr="000F7C87">
        <w:rPr>
          <w:szCs w:val="26"/>
        </w:rPr>
        <w:t>Hình 2.5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tức sau các giai đoạn thẩm định hình thức, công bố đơn và thẩm định nội dung theo Điều 119 Luật Sở hữu trí tuệ. Với cơ chế này, công bố trước là lựa chọn có lợi hơn về thời gian ghi nhận đối với giảng viên. Theo khoản 3 và khoản 4 Điều 60 Luật Sở hữu trí tuệ, đơn phải được nộp trong thời hạn mười hai tháng kể từ ngày bộc lộ thì sáng chế mới không bị coi là mất tính mới. Cấu trúc khuyến khích này vì vậy là một rủi ro cần xử lý cho giai đoạn tới; do quy chế chi tiêu áp dụng giai đoạn 2021 - 2025 chưa có trong hồ sơ, Đề tài không dùng cơ chế năm 2026 để giải thích kết quả của kỳ đánh giá.</w:t>
      </w:r>
    </w:p>
    <w:p w14:paraId="0DE297E1" w14:textId="77777777" w:rsidR="005B561C" w:rsidRPr="000F7C87" w:rsidRDefault="00000000">
      <w:pPr>
        <w:keepNext/>
        <w:spacing w:before="200" w:after="100"/>
        <w:ind w:firstLine="0"/>
        <w:outlineLvl w:val="2"/>
        <w:rPr>
          <w:szCs w:val="26"/>
        </w:rPr>
      </w:pPr>
      <w:r w:rsidRPr="000F7C87">
        <w:rPr>
          <w:b/>
          <w:szCs w:val="26"/>
        </w:rPr>
        <w:t>2.2.4. Hệ thống dữ liệu phục vụ quản lý</w:t>
      </w:r>
    </w:p>
    <w:p w14:paraId="48E95726" w14:textId="77777777" w:rsidR="005B561C" w:rsidRPr="000F7C87" w:rsidRDefault="00000000">
      <w:pPr>
        <w:rPr>
          <w:szCs w:val="26"/>
        </w:rPr>
      </w:pPr>
      <w:r w:rsidRPr="000F7C87">
        <w:rPr>
          <w:szCs w:val="26"/>
        </w:rPr>
        <w:t>Trong các danh mục thống kê của Phòng Khoa học Công nghệ mà Đề tài tiếp cận, gồm bài báo, sách, giáo trình, đề tài và tham luận, chưa có danh mục theo dõi tài sản trí tuệ đã đăng ký hoặc được cấp văn bằng, trong khi Điều 11 Quyết định 217 giao Phòng lập hồ sơ thống kê, theo dõi. Danh mục tài sản trí tuệ hiện có là tệp theo dõi đơn và văn bằng gồm hai bảng chưa thống nhất về trạng thái của 5 kiểu dáng công nghiệp, và không liên kết với danh mục đề tài. Hồ sơ nghiệm thu cho thấy 26 trên 38 đề tài khai tổng cộng 32 công bố; do danh mục bài báo không ghi mã đề tài, chưa thể xác định số bài báo thực sự phát sinh từ đề tài để đánh giá mức độ khai báo. Dữ liệu cũng chưa chuẩn hóa: tên đơn vị ghi nhiều cách, danh mục bài báo không có trường đơn vị, biểu mẫu giáo trình năm 2021 khác các năm sau, và năm của một đề tài có thể là năm ghi trong mã số, năm phê duyệt hoặc năm nghiệm thu.</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2.6. Khả năng tính toán bộ tiêu chí đánh giá hiệu quả quản lý quyền sở hữu trí tuệ từ dữ liệu hiện có</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5" name="Biểu đồ 505" descr="Hình 2.6. Khả năng tính toán bộ tiêu chí đánh giá hiệu quả quản lý quyền sở hữu trí tuệ từ dữ liệu hiện có"/>
            <wp:cNvGraphicFramePr/>
            <a:graphic>
              <a:graphicData uri="http://schemas.openxmlformats.org/drawingml/2006/chart">
                <c:chart r:id="rId16"/>
              </a:graphicData>
            </a:graphic>
          </wp:inline>
        </w:drawing>
      </w:r>
    </w:p>
    <w:p w14:paraId="645FDCAF" w14:textId="77777777" w:rsidR="005B561C" w:rsidRPr="000F7C87" w:rsidRDefault="00000000">
      <w:pPr>
        <w:spacing w:after="160"/>
        <w:ind w:firstLine="0"/>
        <w:rPr>
          <w:szCs w:val="26"/>
        </w:rPr>
      </w:pPr>
      <w:r w:rsidRPr="000F7C87">
        <w:rPr>
          <w:i/>
          <w:szCs w:val="26"/>
        </w:rPr>
        <w:t>Nguồn: Đánh giá của nhóm nghiên cứu đối với 16 tiêu chí tại Mục 1.4.2, căn cứ vào các danh mục và văn bản hiện có của Trường Đại học Thành Đô. Chi tiết từng tiêu chí tại tệp dữ liệu kèm theo.</w:t>
      </w:r>
    </w:p>
    <w:p w14:paraId="48E95726" w14:textId="77777777" w:rsidR="005B561C" w:rsidRPr="000F7C87" w:rsidRDefault="00000000">
      <w:pPr>
        <w:rPr>
          <w:szCs w:val="26"/>
        </w:rPr>
      </w:pPr>
      <w:r w:rsidRPr="000F7C87">
        <w:rPr>
          <w:szCs w:val="26"/>
        </w:rPr>
        <w:t>Hình 2.6 lượng hóa hệ quả: trong 16 tiêu chí đánh giá hiệu quả quản lý quyền sở hữu trí tuệ xây dựng tại Mục 1.4.2, chỉ 4 tiêu chí tính được đầy đủ, 5 tiêu chí tính được một phần và 7 tiêu chí chưa tính được; nhóm kết quả không có tiêu chí nào tính được đầy đủ. Nhà trường đo được số đơn và giấy chứng nhận đã có nhưng chưa đo được giá trị mà các quyền mang lại. Từ năm 2026, đây là nhóm thông tin phải công khai theo điểm đ khoản 3 Điều 28 Luật Giáo dục đại học số 125/2025/QH15.</w:t>
      </w:r>
    </w:p>
    <w:p w14:paraId="6067EC56" w14:textId="77777777" w:rsidR="005B561C" w:rsidRPr="000F7C87" w:rsidRDefault="00000000">
      <w:pPr>
        <w:keepNext/>
        <w:spacing w:before="280" w:after="160"/>
        <w:ind w:firstLine="0"/>
        <w:outlineLvl w:val="1"/>
        <w:rPr>
          <w:szCs w:val="26"/>
        </w:rPr>
      </w:pPr>
      <w:r w:rsidRPr="000F7C87">
        <w:rPr>
          <w:b/>
          <w:szCs w:val="26"/>
        </w:rPr>
        <w:t>2.3. Thực trạng tạo lập, xác lập và bảo vệ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2.3.1. Đối sánh giữa quy định pháp luật, quy chế nội bộ và thực tế phát sinh</w:t>
      </w:r>
    </w:p>
    <w:p w14:paraId="48E95726" w14:textId="77777777" w:rsidR="005B561C" w:rsidRPr="000F7C87" w:rsidRDefault="00000000">
      <w:pPr>
        <w:rPr>
          <w:szCs w:val="26"/>
        </w:rPr>
      </w:pPr>
      <w:r w:rsidRPr="000F7C87">
        <w:rPr>
          <w:szCs w:val="26"/>
        </w:rPr>
        <w:t>Bảng 2.5 đối sánh ba lớp: đối tượng quyền theo Luật Sở hữu trí tuệ, tài sản được liệt kê tại Điều 34 Quyết định 213 và Điều 3 Quyết định 217, và thực tế phát sinh giai đoạn 2021 - 2025.</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2.5.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11"/>
        <w:gridCol w:w="2093"/>
        <w:gridCol w:w="1511"/>
        <w:gridCol w:w="2093"/>
        <w:gridCol w:w="1860"/>
      </w:tblGrid>
      <w:tr>
        <w:trPr>
          <w:tblHeader/>
          <w:cantSplit/>
        </w:trPr>
        <w:tc>
          <w:tcPr>
            <w:tcW w:w="1511" w:type="dxa"/>
            <w:shd w:val="clear" w:color="auto" w:fill="DCE8F7"/>
            <w:vAlign w:val="center"/>
          </w:tcPr>
          <w:p>
            <w:pPr>
              <w:spacing w:before="20" w:after="20" w:line="252" w:lineRule="auto"/>
              <w:ind w:firstLine="0"/>
              <w:jc w:val="center"/>
            </w:pPr>
            <w:r>
              <w:rPr>
                <w:b/>
                <w:sz w:val="24"/>
              </w:rPr>
              <w:t xml:space="preserve">Nhóm quyền</w:t>
            </w:r>
          </w:p>
        </w:tc>
        <w:tc>
          <w:tcPr>
            <w:tcW w:w="2093" w:type="dxa"/>
            <w:shd w:val="clear" w:color="auto" w:fill="DCE8F7"/>
            <w:vAlign w:val="center"/>
          </w:tcPr>
          <w:p>
            <w:pPr>
              <w:spacing w:before="20" w:after="20" w:line="252" w:lineRule="auto"/>
              <w:ind w:firstLine="0"/>
              <w:jc w:val="center"/>
            </w:pPr>
            <w:r>
              <w:rPr>
                <w:b/>
                <w:sz w:val="24"/>
              </w:rPr>
              <w:t xml:space="preserve">Đối tượng</w:t>
            </w:r>
          </w:p>
        </w:tc>
        <w:tc>
          <w:tcPr>
            <w:tcW w:w="1511" w:type="dxa"/>
            <w:shd w:val="clear" w:color="auto" w:fill="DCE8F7"/>
            <w:vAlign w:val="center"/>
          </w:tcPr>
          <w:p>
            <w:pPr>
              <w:spacing w:before="20" w:after="20" w:line="252" w:lineRule="auto"/>
              <w:ind w:firstLine="0"/>
              <w:jc w:val="center"/>
            </w:pPr>
            <w:r>
              <w:rPr>
                <w:b/>
                <w:sz w:val="24"/>
              </w:rPr>
              <w:t xml:space="preserve">Quy chế có liệt kê</w:t>
            </w:r>
          </w:p>
        </w:tc>
        <w:tc>
          <w:tcPr>
            <w:tcW w:w="2093" w:type="dxa"/>
            <w:shd w:val="clear" w:color="auto" w:fill="DCE8F7"/>
            <w:vAlign w:val="center"/>
          </w:tcPr>
          <w:p>
            <w:pPr>
              <w:spacing w:before="20" w:after="20" w:line="252" w:lineRule="auto"/>
              <w:ind w:firstLine="0"/>
              <w:jc w:val="center"/>
            </w:pPr>
            <w:r>
              <w:rPr>
                <w:b/>
                <w:sz w:val="24"/>
              </w:rPr>
              <w:t xml:space="preserve">Thực tế phát sinh</w:t>
            </w:r>
          </w:p>
        </w:tc>
        <w:tc>
          <w:tcPr>
            <w:tcW w:w="1860" w:type="dxa"/>
            <w:shd w:val="clear" w:color="auto" w:fill="DCE8F7"/>
            <w:vAlign w:val="center"/>
          </w:tcPr>
          <w:p>
            <w:pPr>
              <w:spacing w:before="20" w:after="20" w:line="252" w:lineRule="auto"/>
              <w:ind w:firstLine="0"/>
              <w:jc w:val="center"/>
            </w:pPr>
            <w:r>
              <w:rPr>
                <w:b/>
                <w:sz w:val="24"/>
              </w:rPr>
              <w:t xml:space="preserve">Tình trạng xác lập,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Bài báo, sách</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405 bài báo, 12 sách</w:t>
            </w:r>
          </w:p>
        </w:tc>
        <w:tc>
          <w:tcPr>
            <w:tcW w:w="1860" w:type="dxa"/>
            <w:vAlign w:val="center"/>
          </w:tcPr>
          <w:p>
            <w:pPr>
              <w:spacing w:before="20" w:after="20" w:line="252" w:lineRule="auto"/>
              <w:ind w:firstLine="0"/>
              <w:jc w:val="left"/>
            </w:pPr>
            <w:r>
              <w:rPr>
                <w:sz w:val="24"/>
              </w:rPr>
              <w:t xml:space="preserve">Quyền phát sinh tự động; chưa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Giáo trình, tài liệu giảng dạy</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87 tài liệu</w:t>
            </w:r>
          </w:p>
        </w:tc>
        <w:tc>
          <w:tcPr>
            <w:tcW w:w="1860" w:type="dxa"/>
            <w:vAlign w:val="center"/>
          </w:tcPr>
          <w:p>
            <w:pPr>
              <w:spacing w:before="20" w:after="20" w:line="252" w:lineRule="auto"/>
              <w:ind w:firstLine="0"/>
              <w:jc w:val="left"/>
            </w:pPr>
            <w:r>
              <w:rPr>
                <w:sz w:val="24"/>
              </w:rPr>
              <w:t xml:space="preserve">Quyền phát sinh tự động; chưa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Chương trình đào tạo, ngân hàng đề thi, phần mềm</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Chưa thống kê</w:t>
            </w:r>
          </w:p>
        </w:tc>
        <w:tc>
          <w:tcPr>
            <w:tcW w:w="1860" w:type="dxa"/>
            <w:vAlign w:val="center"/>
          </w:tcPr>
          <w:p>
            <w:pPr>
              <w:spacing w:before="20" w:after="20" w:line="252" w:lineRule="auto"/>
              <w:ind w:firstLine="0"/>
              <w:jc w:val="left"/>
            </w:pPr>
            <w:r>
              <w:rPr>
                <w:sz w:val="24"/>
              </w:rPr>
              <w:t xml:space="preserve">Chưa thống kê</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Sưu tập dữ liệu</w:t>
            </w:r>
          </w:p>
        </w:tc>
        <w:tc>
          <w:tcPr>
            <w:tcW w:w="1511" w:type="dxa"/>
            <w:vAlign w:val="center"/>
          </w:tcPr>
          <w:p>
            <w:pPr>
              <w:spacing w:before="20" w:after="20" w:line="252" w:lineRule="auto"/>
              <w:ind w:firstLine="0"/>
              <w:jc w:val="left"/>
            </w:pPr>
            <w:r>
              <w:rPr>
                <w:sz w:val="24"/>
              </w:rPr>
              <w:t xml:space="preserve">Có, tại Quyết định 217</w:t>
            </w:r>
          </w:p>
        </w:tc>
        <w:tc>
          <w:tcPr>
            <w:tcW w:w="2093" w:type="dxa"/>
            <w:vAlign w:val="center"/>
          </w:tcPr>
          <w:p>
            <w:pPr>
              <w:spacing w:before="20" w:after="20" w:line="252" w:lineRule="auto"/>
              <w:ind w:firstLine="0"/>
              <w:jc w:val="left"/>
            </w:pPr>
            <w:r>
              <w:rPr>
                <w:sz w:val="24"/>
              </w:rPr>
              <w:t xml:space="preserve">Bộ mẫu cây thuốc, bộ tiêu bản</w:t>
            </w:r>
          </w:p>
        </w:tc>
        <w:tc>
          <w:tcPr>
            <w:tcW w:w="1860" w:type="dxa"/>
            <w:vAlign w:val="center"/>
          </w:tcPr>
          <w:p>
            <w:pPr>
              <w:spacing w:before="20" w:after="20" w:line="252" w:lineRule="auto"/>
              <w:ind w:firstLine="0"/>
              <w:jc w:val="left"/>
            </w:pPr>
            <w:r>
              <w:rPr>
                <w:sz w:val="24"/>
              </w:rPr>
              <w:t xml:space="preserve">Chưa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Logo, bộ nhận diện</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2 giấy chứng nhận</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Sáng chế</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1 đơn năm 2025; 1 đơn năm 2026</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Giải pháp hữu ích</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Công thức, quy trình từ đề tài</w:t>
            </w:r>
          </w:p>
        </w:tc>
        <w:tc>
          <w:tcPr>
            <w:tcW w:w="1860" w:type="dxa"/>
            <w:vAlign w:val="center"/>
          </w:tcPr>
          <w:p>
            <w:pPr>
              <w:spacing w:before="20" w:after="20" w:line="252" w:lineRule="auto"/>
              <w:ind w:firstLine="0"/>
              <w:jc w:val="left"/>
            </w:pPr>
            <w:r>
              <w:rPr>
                <w:sz w:val="24"/>
              </w:rPr>
              <w:t xml:space="preserve">Chưa có đơn</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Kiểu dáng công nghiệp</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5 hồ sơ có số hiệu văn bằng, trạng thái chưa xác minh</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Nhãn hiệu</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2 văn bằng, 1 đơn</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Bí mật kinh doanh</w:t>
            </w:r>
          </w:p>
        </w:tc>
        <w:tc>
          <w:tcPr>
            <w:tcW w:w="1511" w:type="dxa"/>
            <w:vAlign w:val="center"/>
          </w:tcPr>
          <w:p>
            <w:pPr>
              <w:spacing w:before="20" w:after="20" w:line="252" w:lineRule="auto"/>
              <w:ind w:firstLine="0"/>
              <w:jc w:val="left"/>
            </w:pPr>
            <w:r>
              <w:rPr>
                <w:sz w:val="24"/>
              </w:rPr>
              <w:t xml:space="preserve">Có, tại Quyết định 217</w:t>
            </w:r>
          </w:p>
        </w:tc>
        <w:tc>
          <w:tcPr>
            <w:tcW w:w="2093" w:type="dxa"/>
            <w:vAlign w:val="center"/>
          </w:tcPr>
          <w:p>
            <w:pPr>
              <w:spacing w:before="20" w:after="20" w:line="252" w:lineRule="auto"/>
              <w:ind w:firstLine="0"/>
              <w:jc w:val="left"/>
            </w:pPr>
            <w:r>
              <w:rPr>
                <w:sz w:val="24"/>
              </w:rPr>
              <w:t xml:space="preserve">Công thức chưa công bố</w:t>
            </w:r>
          </w:p>
        </w:tc>
        <w:tc>
          <w:tcPr>
            <w:tcW w:w="1860" w:type="dxa"/>
            <w:vAlign w:val="center"/>
          </w:tcPr>
          <w:p>
            <w:pPr>
              <w:spacing w:before="20" w:after="20" w:line="252" w:lineRule="auto"/>
              <w:ind w:firstLine="0"/>
              <w:jc w:val="left"/>
            </w:pPr>
            <w:r>
              <w:rPr>
                <w:sz w:val="24"/>
              </w:rPr>
              <w:t xml:space="preserve">Không áp dụng đăng ký</w:t>
            </w:r>
          </w:p>
        </w:tc>
      </w:tr>
    </w:tbl>
    <w:p w14:paraId="645FDCAF" w14:textId="77777777" w:rsidR="005B561C" w:rsidRPr="000F7C87" w:rsidRDefault="00000000">
      <w:pPr>
        <w:spacing w:after="160"/>
        <w:ind w:firstLine="0"/>
        <w:rPr>
          <w:szCs w:val="26"/>
        </w:rPr>
      </w:pPr>
      <w:r w:rsidRPr="000F7C87">
        <w:rPr>
          <w:i/>
          <w:szCs w:val="26"/>
        </w:rPr>
        <w:t>Nguồn: Nhóm nghiên cứu tổng hợp từ Luật Sở hữu trí tuệ, Quyết định 213, Quyết định 217 và các danh mục của Trường Đại học Thành Đô. Quyền tác giả phát sinh khi tác phẩm được định hình; chưa đăng ký không có nghĩa là chưa có quyền. Bảng không liệt kê quyền liên quan, thiết kế bố trí, chỉ dẫn địa lý và giống cây trồng do chưa phát sinh hoặc không thuộc phạm vi hoạt động của Nhà trường.</w:t>
      </w:r>
    </w:p>
    <w:p w14:paraId="48E95726" w14:textId="77777777" w:rsidR="005B561C" w:rsidRPr="000F7C87" w:rsidRDefault="00000000">
      <w:pPr>
        <w:rPr>
          <w:szCs w:val="26"/>
        </w:rPr>
      </w:pPr>
      <w:r w:rsidRPr="000F7C87">
        <w:rPr>
          <w:szCs w:val="26"/>
        </w:rPr>
        <w:t>Bảng 2.5 cho thấy Nhà trường phát sinh tài sản ở nhiều nhóm đối tượng nhưng mới có văn bằng, giấy chứng nhận hoặc đơn ở bốn nhóm. Giải pháp hữu ích và sưu tập dữ liệu, hai nhóm mà sản phẩm đề tài cấp cơ sở có tiềm năng nhiều nhất, đều đã có trong quy chế nhưng chưa có hồ sơ đăng ký. Giáo trình chưa được đăng ký quyền tác giả; quyền tác giả phát sinh từ khi tác phẩm được định hình, còn giấy chứng nhận đăng ký là chứng cứ phục vụ quản lý, chuyển giao và giải quyết tranh chấp. Khoảng trống vì vậy nằm ở khâu nhận diện và sàng lọc, không nằm ở phạm vi văn bản.</w:t>
      </w:r>
    </w:p>
    <w:p w14:paraId="0DE297E1" w14:textId="77777777" w:rsidR="005B561C" w:rsidRPr="000F7C87" w:rsidRDefault="00000000">
      <w:pPr>
        <w:keepNext/>
        <w:spacing w:before="200" w:after="100"/>
        <w:ind w:firstLine="0"/>
        <w:outlineLvl w:val="2"/>
        <w:rPr>
          <w:szCs w:val="26"/>
        </w:rPr>
      </w:pPr>
      <w:r w:rsidRPr="000F7C87">
        <w:rPr>
          <w:b/>
          <w:szCs w:val="26"/>
        </w:rPr>
        <w:t>2.3.2. Tài sản trí tuệ đã được xác lập quyền và đang xử lý</w:t>
      </w:r>
    </w:p>
    <w:p w14:paraId="48E95726" w14:textId="77777777" w:rsidR="005B561C" w:rsidRPr="000F7C87" w:rsidRDefault="00000000">
      <w:pPr>
        <w:rPr>
          <w:szCs w:val="26"/>
        </w:rPr>
      </w:pPr>
      <w:r w:rsidRPr="000F7C87">
        <w:rPr>
          <w:szCs w:val="26"/>
        </w:rPr>
        <w:t>Tệp theo dõi đơn và văn bằng ghi nhận 11 hồ sơ tài sản trí tuệ thuộc sở hữu hoặc đồng sở hữu của Nhà trường phát sinh trong kỳ 2021 - 2025 và 1 đơn sáng chế nộp năm 2026, được liệt kê tại Bảng 2.6 theo bốn nhóm trạng thái thống nhất: đã nộp đơn, đã chấp nhận đơn hợp lệ, đã cấp văn bằng hoặc giấy chứng nhận, và chưa xác minh.</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2.6. Hồ sơ tài sản trí tuệ thuộc sở hữu hoặc đồng sở hữu của Trường Đại học Thành Đô</w:t>
      </w:r>
    </w:p>
    <w:tbl>
      <w:tblPr>
        <w:tblStyle w:val="TableGrid"/>
        <w:tblW w:w="0" w:type="auto"/>
        <w:jc w:val="center"/>
        <w:tblLook w:val="04A0" w:firstRow="1" w:lastRow="0" w:firstColumn="1" w:lastColumn="0" w:noHBand="0" w:noVBand="1"/>
      </w:tblPr>
      <w:tblGrid>
        <w:gridCol w:w="507"/>
        <w:gridCol w:w="1239"/>
        <w:gridCol w:w="2253"/>
        <w:gridCol w:w="1915"/>
        <w:gridCol w:w="676"/>
        <w:gridCol w:w="1352"/>
        <w:gridCol w:w="1126"/>
      </w:tblGrid>
      <w:tr>
        <w:trPr>
          <w:tblHeader/>
          <w:cantSplit/>
        </w:trPr>
        <w:tc>
          <w:tcPr>
            <w:tcW w:w="507" w:type="dxa"/>
            <w:shd w:val="clear" w:color="auto" w:fill="DCE8F7"/>
            <w:vAlign w:val="center"/>
          </w:tcPr>
          <w:p>
            <w:pPr>
              <w:spacing w:before="20" w:after="20" w:line="252" w:lineRule="auto"/>
              <w:ind w:firstLine="0"/>
              <w:jc w:val="center"/>
            </w:pPr>
            <w:r>
              <w:rPr>
                <w:b/>
                <w:sz w:val="24"/>
              </w:rPr>
              <w:t xml:space="preserve">TT</w:t>
            </w:r>
          </w:p>
        </w:tc>
        <w:tc>
          <w:tcPr>
            <w:tcW w:w="1239" w:type="dxa"/>
            <w:shd w:val="clear" w:color="auto" w:fill="DCE8F7"/>
            <w:vAlign w:val="center"/>
          </w:tcPr>
          <w:p>
            <w:pPr>
              <w:spacing w:before="20" w:after="20" w:line="252" w:lineRule="auto"/>
              <w:ind w:firstLine="0"/>
              <w:jc w:val="center"/>
            </w:pPr>
            <w:r>
              <w:rPr>
                <w:b/>
                <w:sz w:val="24"/>
              </w:rPr>
              <w:t xml:space="preserve">Loại hình</w:t>
            </w:r>
          </w:p>
        </w:tc>
        <w:tc>
          <w:tcPr>
            <w:tcW w:w="2253" w:type="dxa"/>
            <w:shd w:val="clear" w:color="auto" w:fill="DCE8F7"/>
            <w:vAlign w:val="center"/>
          </w:tcPr>
          <w:p>
            <w:pPr>
              <w:spacing w:before="20" w:after="20" w:line="252" w:lineRule="auto"/>
              <w:ind w:firstLine="0"/>
              <w:jc w:val="center"/>
            </w:pPr>
            <w:r>
              <w:rPr>
                <w:b/>
                <w:sz w:val="24"/>
              </w:rPr>
              <w:t xml:space="preserve">Tên tài sản</w:t>
            </w:r>
          </w:p>
        </w:tc>
        <w:tc>
          <w:tcPr>
            <w:tcW w:w="1915" w:type="dxa"/>
            <w:shd w:val="clear" w:color="auto" w:fill="DCE8F7"/>
            <w:vAlign w:val="center"/>
          </w:tcPr>
          <w:p>
            <w:pPr>
              <w:spacing w:before="20" w:after="20" w:line="252" w:lineRule="auto"/>
              <w:ind w:firstLine="0"/>
              <w:jc w:val="center"/>
            </w:pPr>
            <w:r>
              <w:rPr>
                <w:b/>
                <w:sz w:val="24"/>
              </w:rPr>
              <w:t xml:space="preserve">Số đơn, số hiệu</w:t>
            </w:r>
          </w:p>
        </w:tc>
        <w:tc>
          <w:tcPr>
            <w:tcW w:w="676" w:type="dxa"/>
            <w:shd w:val="clear" w:color="auto" w:fill="DCE8F7"/>
            <w:vAlign w:val="center"/>
          </w:tcPr>
          <w:p>
            <w:pPr>
              <w:spacing w:before="20" w:after="20" w:line="252" w:lineRule="auto"/>
              <w:ind w:firstLine="0"/>
              <w:jc w:val="center"/>
            </w:pPr>
            <w:r>
              <w:rPr>
                <w:b/>
                <w:sz w:val="24"/>
              </w:rPr>
              <w:t xml:space="preserve">Năm</w:t>
            </w:r>
          </w:p>
        </w:tc>
        <w:tc>
          <w:tcPr>
            <w:tcW w:w="1352" w:type="dxa"/>
            <w:shd w:val="clear" w:color="auto" w:fill="DCE8F7"/>
            <w:vAlign w:val="center"/>
          </w:tcPr>
          <w:p>
            <w:pPr>
              <w:spacing w:before="20" w:after="20" w:line="252" w:lineRule="auto"/>
              <w:ind w:firstLine="0"/>
              <w:jc w:val="center"/>
            </w:pPr>
            <w:r>
              <w:rPr>
                <w:b/>
                <w:sz w:val="24"/>
              </w:rPr>
              <w:t xml:space="preserve">Trạng thái</w:t>
            </w:r>
          </w:p>
        </w:tc>
        <w:tc>
          <w:tcPr>
            <w:tcW w:w="1126" w:type="dxa"/>
            <w:shd w:val="clear" w:color="auto" w:fill="DCE8F7"/>
            <w:vAlign w:val="center"/>
          </w:tcPr>
          <w:p>
            <w:pPr>
              <w:spacing w:before="20" w:after="20" w:line="252" w:lineRule="auto"/>
              <w:ind w:firstLine="0"/>
              <w:jc w:val="center"/>
            </w:pPr>
            <w:r>
              <w:rPr>
                <w:b/>
                <w:sz w:val="24"/>
              </w:rPr>
              <w:t xml:space="preserve">Chủ sở hữu</w:t>
            </w:r>
          </w:p>
        </w:tc>
      </w:tr>
      <w:tr>
        <w:trPr/>
        <w:tc>
          <w:tcPr>
            <w:tcW w:w="507" w:type="dxa"/>
            <w:vAlign w:val="center"/>
          </w:tcPr>
          <w:p>
            <w:pPr>
              <w:spacing w:before="20" w:after="20" w:line="252" w:lineRule="auto"/>
              <w:ind w:firstLine="0"/>
              <w:jc w:val="center"/>
            </w:pPr>
            <w:r>
              <w:rPr>
                <w:sz w:val="24"/>
              </w:rPr>
              <w:t xml:space="preserve">1</w:t>
            </w:r>
          </w:p>
        </w:tc>
        <w:tc>
          <w:tcPr>
            <w:tcW w:w="1239" w:type="dxa"/>
            <w:vAlign w:val="center"/>
          </w:tcPr>
          <w:p>
            <w:pPr>
              <w:spacing w:before="20" w:after="20" w:line="252" w:lineRule="auto"/>
              <w:ind w:firstLine="0"/>
              <w:jc w:val="left"/>
            </w:pPr>
            <w:r>
              <w:rPr>
                <w:sz w:val="24"/>
              </w:rPr>
              <w:t xml:space="preserve">Quyền tác giả</w:t>
            </w:r>
          </w:p>
        </w:tc>
        <w:tc>
          <w:tcPr>
            <w:tcW w:w="2253" w:type="dxa"/>
            <w:vAlign w:val="center"/>
          </w:tcPr>
          <w:p>
            <w:pPr>
              <w:spacing w:before="20" w:after="20" w:line="252" w:lineRule="auto"/>
              <w:ind w:firstLine="0"/>
              <w:jc w:val="left"/>
            </w:pPr>
            <w:r>
              <w:rPr>
                <w:sz w:val="24"/>
              </w:rPr>
              <w:t xml:space="preserve">Bộ Logo Trường Đại học Thành Đô</w:t>
            </w:r>
          </w:p>
        </w:tc>
        <w:tc>
          <w:tcPr>
            <w:tcW w:w="1915" w:type="dxa"/>
            <w:vAlign w:val="center"/>
          </w:tcPr>
          <w:p>
            <w:pPr>
              <w:spacing w:before="20" w:after="20" w:line="252" w:lineRule="auto"/>
              <w:ind w:firstLine="0"/>
              <w:jc w:val="left"/>
            </w:pPr>
            <w:r>
              <w:rPr>
                <w:sz w:val="24"/>
              </w:rPr>
              <w:t xml:space="preserve">Giấy chứng nhận 6534/2021/QTG</w:t>
            </w:r>
          </w:p>
        </w:tc>
        <w:tc>
          <w:tcPr>
            <w:tcW w:w="676" w:type="dxa"/>
            <w:vAlign w:val="center"/>
          </w:tcPr>
          <w:p>
            <w:pPr>
              <w:spacing w:before="20" w:after="20" w:line="252" w:lineRule="auto"/>
              <w:ind w:firstLine="0"/>
              <w:jc w:val="center"/>
            </w:pPr>
            <w:r>
              <w:rPr>
                <w:sz w:val="24"/>
              </w:rPr>
              <w:t xml:space="preserve">2021</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2</w:t>
            </w:r>
          </w:p>
        </w:tc>
        <w:tc>
          <w:tcPr>
            <w:tcW w:w="1239" w:type="dxa"/>
            <w:vAlign w:val="center"/>
          </w:tcPr>
          <w:p>
            <w:pPr>
              <w:spacing w:before="20" w:after="20" w:line="252" w:lineRule="auto"/>
              <w:ind w:firstLine="0"/>
              <w:jc w:val="left"/>
            </w:pPr>
            <w:r>
              <w:rPr>
                <w:sz w:val="24"/>
              </w:rPr>
              <w:t xml:space="preserve">Quyền tác giả</w:t>
            </w:r>
          </w:p>
        </w:tc>
        <w:tc>
          <w:tcPr>
            <w:tcW w:w="2253" w:type="dxa"/>
            <w:vAlign w:val="center"/>
          </w:tcPr>
          <w:p>
            <w:pPr>
              <w:spacing w:before="20" w:after="20" w:line="252" w:lineRule="auto"/>
              <w:ind w:firstLine="0"/>
              <w:jc w:val="left"/>
            </w:pPr>
            <w:r>
              <w:rPr>
                <w:sz w:val="24"/>
              </w:rPr>
              <w:t xml:space="preserve">Bộ Logo Hệ sinh thái giáo dục Trường Đại học Thành Đô</w:t>
            </w:r>
          </w:p>
        </w:tc>
        <w:tc>
          <w:tcPr>
            <w:tcW w:w="1915" w:type="dxa"/>
            <w:vAlign w:val="center"/>
          </w:tcPr>
          <w:p>
            <w:pPr>
              <w:spacing w:before="20" w:after="20" w:line="252" w:lineRule="auto"/>
              <w:ind w:firstLine="0"/>
              <w:jc w:val="left"/>
            </w:pPr>
            <w:r>
              <w:rPr>
                <w:sz w:val="24"/>
              </w:rPr>
              <w:t xml:space="preserve">Giấy chứng nhận 5790/2023/QTG</w:t>
            </w:r>
          </w:p>
        </w:tc>
        <w:tc>
          <w:tcPr>
            <w:tcW w:w="676" w:type="dxa"/>
            <w:vAlign w:val="center"/>
          </w:tcPr>
          <w:p>
            <w:pPr>
              <w:spacing w:before="20" w:after="20" w:line="252" w:lineRule="auto"/>
              <w:ind w:firstLine="0"/>
              <w:jc w:val="center"/>
            </w:pPr>
            <w:r>
              <w:rPr>
                <w:sz w:val="24"/>
              </w:rPr>
              <w:t xml:space="preserve">2023</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3</w:t>
            </w:r>
          </w:p>
        </w:tc>
        <w:tc>
          <w:tcPr>
            <w:tcW w:w="1239" w:type="dxa"/>
            <w:vAlign w:val="center"/>
          </w:tcPr>
          <w:p>
            <w:pPr>
              <w:spacing w:before="20" w:after="20" w:line="252" w:lineRule="auto"/>
              <w:ind w:firstLine="0"/>
              <w:jc w:val="left"/>
            </w:pPr>
            <w:r>
              <w:rPr>
                <w:sz w:val="24"/>
              </w:rPr>
              <w:t xml:space="preserve">Nhãn hiệu</w:t>
            </w:r>
          </w:p>
        </w:tc>
        <w:tc>
          <w:tcPr>
            <w:tcW w:w="2253" w:type="dxa"/>
            <w:vAlign w:val="center"/>
          </w:tcPr>
          <w:p>
            <w:pPr>
              <w:spacing w:before="20" w:after="20" w:line="252" w:lineRule="auto"/>
              <w:ind w:firstLine="0"/>
              <w:jc w:val="left"/>
            </w:pPr>
            <w:r>
              <w:rPr>
                <w:sz w:val="24"/>
              </w:rPr>
              <w:t xml:space="preserve">Thanh do University</w:t>
            </w:r>
          </w:p>
        </w:tc>
        <w:tc>
          <w:tcPr>
            <w:tcW w:w="1915" w:type="dxa"/>
            <w:vAlign w:val="center"/>
          </w:tcPr>
          <w:p>
            <w:pPr>
              <w:spacing w:before="20" w:after="20" w:line="252" w:lineRule="auto"/>
              <w:ind w:firstLine="0"/>
              <w:jc w:val="left"/>
            </w:pPr>
            <w:r>
              <w:rPr>
                <w:sz w:val="24"/>
              </w:rPr>
              <w:t xml:space="preserve">Đơn 4-2021-34771; văn bằng 468353</w:t>
            </w:r>
          </w:p>
        </w:tc>
        <w:tc>
          <w:tcPr>
            <w:tcW w:w="676" w:type="dxa"/>
            <w:vAlign w:val="center"/>
          </w:tcPr>
          <w:p>
            <w:pPr>
              <w:spacing w:before="20" w:after="20" w:line="252" w:lineRule="auto"/>
              <w:ind w:firstLine="0"/>
              <w:jc w:val="center"/>
            </w:pPr>
            <w:r>
              <w:rPr>
                <w:sz w:val="24"/>
              </w:rPr>
              <w:t xml:space="preserve">2023</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4</w:t>
            </w:r>
          </w:p>
        </w:tc>
        <w:tc>
          <w:tcPr>
            <w:tcW w:w="1239" w:type="dxa"/>
            <w:vAlign w:val="center"/>
          </w:tcPr>
          <w:p>
            <w:pPr>
              <w:spacing w:before="20" w:after="20" w:line="252" w:lineRule="auto"/>
              <w:ind w:firstLine="0"/>
              <w:jc w:val="left"/>
            </w:pPr>
            <w:r>
              <w:rPr>
                <w:sz w:val="24"/>
              </w:rPr>
              <w:t xml:space="preserve">Nhãn hiệu</w:t>
            </w:r>
          </w:p>
        </w:tc>
        <w:tc>
          <w:tcPr>
            <w:tcW w:w="2253" w:type="dxa"/>
            <w:vAlign w:val="center"/>
          </w:tcPr>
          <w:p>
            <w:pPr>
              <w:spacing w:before="20" w:after="20" w:line="252" w:lineRule="auto"/>
              <w:ind w:firstLine="0"/>
              <w:jc w:val="left"/>
            </w:pPr>
            <w:r>
              <w:rPr>
                <w:sz w:val="24"/>
              </w:rPr>
              <w:t xml:space="preserve">Thado Edupark</w:t>
            </w:r>
          </w:p>
        </w:tc>
        <w:tc>
          <w:tcPr>
            <w:tcW w:w="1915" w:type="dxa"/>
            <w:vAlign w:val="center"/>
          </w:tcPr>
          <w:p>
            <w:pPr>
              <w:spacing w:before="20" w:after="20" w:line="252" w:lineRule="auto"/>
              <w:ind w:firstLine="0"/>
              <w:jc w:val="left"/>
            </w:pPr>
            <w:r>
              <w:rPr>
                <w:sz w:val="24"/>
              </w:rPr>
              <w:t xml:space="preserve">Đơn 4-2023-22141; văn bằng 545780</w:t>
            </w:r>
          </w:p>
        </w:tc>
        <w:tc>
          <w:tcPr>
            <w:tcW w:w="676" w:type="dxa"/>
            <w:vAlign w:val="center"/>
          </w:tcPr>
          <w:p>
            <w:pPr>
              <w:spacing w:before="20" w:after="20" w:line="252" w:lineRule="auto"/>
              <w:ind w:firstLine="0"/>
              <w:jc w:val="center"/>
            </w:pPr>
            <w:r>
              <w:rPr>
                <w:sz w:val="24"/>
              </w:rPr>
              <w:t xml:space="preserve">2025</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5</w:t>
            </w:r>
          </w:p>
        </w:tc>
        <w:tc>
          <w:tcPr>
            <w:tcW w:w="1239" w:type="dxa"/>
            <w:vAlign w:val="center"/>
          </w:tcPr>
          <w:p>
            <w:pPr>
              <w:spacing w:before="20" w:after="20" w:line="252" w:lineRule="auto"/>
              <w:ind w:firstLine="0"/>
              <w:jc w:val="left"/>
            </w:pPr>
            <w:r>
              <w:rPr>
                <w:sz w:val="24"/>
              </w:rPr>
              <w:t xml:space="preserve">Nhãn hiệu</w:t>
            </w:r>
          </w:p>
        </w:tc>
        <w:tc>
          <w:tcPr>
            <w:tcW w:w="2253" w:type="dxa"/>
            <w:vAlign w:val="center"/>
          </w:tcPr>
          <w:p>
            <w:pPr>
              <w:spacing w:before="20" w:after="20" w:line="252" w:lineRule="auto"/>
              <w:ind w:firstLine="0"/>
              <w:jc w:val="left"/>
            </w:pPr>
            <w:r>
              <w:rPr>
                <w:sz w:val="24"/>
              </w:rPr>
              <w:t xml:space="preserve">Double2n</w:t>
            </w:r>
          </w:p>
        </w:tc>
        <w:tc>
          <w:tcPr>
            <w:tcW w:w="1915" w:type="dxa"/>
            <w:vAlign w:val="center"/>
          </w:tcPr>
          <w:p>
            <w:pPr>
              <w:spacing w:before="20" w:after="20" w:line="252" w:lineRule="auto"/>
              <w:ind w:firstLine="0"/>
              <w:jc w:val="left"/>
            </w:pPr>
            <w:r>
              <w:rPr>
                <w:sz w:val="24"/>
              </w:rPr>
              <w:t xml:space="preserve">Đơn 4-2023-42540</w:t>
            </w:r>
          </w:p>
        </w:tc>
        <w:tc>
          <w:tcPr>
            <w:tcW w:w="676" w:type="dxa"/>
            <w:vAlign w:val="center"/>
          </w:tcPr>
          <w:p>
            <w:pPr>
              <w:spacing w:before="20" w:after="20" w:line="252" w:lineRule="auto"/>
              <w:ind w:firstLine="0"/>
              <w:jc w:val="center"/>
            </w:pPr>
            <w:r>
              <w:rPr>
                <w:sz w:val="24"/>
              </w:rPr>
              <w:t xml:space="preserve">2023</w:t>
            </w:r>
          </w:p>
        </w:tc>
        <w:tc>
          <w:tcPr>
            <w:tcW w:w="1352" w:type="dxa"/>
            <w:vAlign w:val="center"/>
          </w:tcPr>
          <w:p>
            <w:pPr>
              <w:spacing w:before="20" w:after="20" w:line="252" w:lineRule="auto"/>
              <w:ind w:firstLine="0"/>
              <w:jc w:val="left"/>
            </w:pPr>
            <w:r>
              <w:rPr>
                <w:sz w:val="24"/>
              </w:rPr>
              <w:t xml:space="preserve">Đã nộp đơn</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6</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Dung dịch vệ sinh phụ nữ</w:t>
            </w:r>
          </w:p>
        </w:tc>
        <w:tc>
          <w:tcPr>
            <w:tcW w:w="1915" w:type="dxa"/>
            <w:vAlign w:val="center"/>
          </w:tcPr>
          <w:p>
            <w:pPr>
              <w:spacing w:before="20" w:after="20" w:line="252" w:lineRule="auto"/>
              <w:ind w:firstLine="0"/>
              <w:jc w:val="left"/>
            </w:pPr>
            <w:r>
              <w:rPr>
                <w:sz w:val="24"/>
              </w:rPr>
              <w:t xml:space="preserve">Đơn 3-2023-02841; số hiệu 3-0039693-000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7</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Tinh dầu vỏ bưởi đào</w:t>
            </w:r>
          </w:p>
        </w:tc>
        <w:tc>
          <w:tcPr>
            <w:tcW w:w="1915" w:type="dxa"/>
            <w:vAlign w:val="center"/>
          </w:tcPr>
          <w:p>
            <w:pPr>
              <w:spacing w:before="20" w:after="20" w:line="252" w:lineRule="auto"/>
              <w:ind w:firstLine="0"/>
              <w:jc w:val="left"/>
            </w:pPr>
            <w:r>
              <w:rPr>
                <w:sz w:val="24"/>
              </w:rPr>
              <w:t xml:space="preserve">Đơn 3-2023-02842; số hiệu 3-0039694-000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8</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Xịt miệng - họng thảo dược</w:t>
            </w:r>
          </w:p>
        </w:tc>
        <w:tc>
          <w:tcPr>
            <w:tcW w:w="1915" w:type="dxa"/>
            <w:vAlign w:val="center"/>
          </w:tcPr>
          <w:p>
            <w:pPr>
              <w:spacing w:before="20" w:after="20" w:line="252" w:lineRule="auto"/>
              <w:ind w:firstLine="0"/>
              <w:jc w:val="left"/>
            </w:pPr>
            <w:r>
              <w:rPr>
                <w:sz w:val="24"/>
              </w:rPr>
              <w:t xml:space="preserve">Đơn 3-2023-02843; số hiệu 3-0039902-000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9</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Dầu gội nha đam - bưởi đào</w:t>
            </w:r>
          </w:p>
        </w:tc>
        <w:tc>
          <w:tcPr>
            <w:tcW w:w="1915" w:type="dxa"/>
            <w:vAlign w:val="center"/>
          </w:tcPr>
          <w:p>
            <w:pPr>
              <w:spacing w:before="20" w:after="20" w:line="252" w:lineRule="auto"/>
              <w:ind w:firstLine="0"/>
              <w:jc w:val="left"/>
            </w:pPr>
            <w:r>
              <w:rPr>
                <w:sz w:val="24"/>
              </w:rPr>
              <w:t xml:space="preserve">Đơn 3-2023-02844; số hiệu 3-0039695-000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10</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Kem ủ xả tóc chiết xuất từ Bưởi - Bơ - Dừa</w:t>
            </w:r>
          </w:p>
        </w:tc>
        <w:tc>
          <w:tcPr>
            <w:tcW w:w="1915" w:type="dxa"/>
            <w:vAlign w:val="center"/>
          </w:tcPr>
          <w:p>
            <w:pPr>
              <w:spacing w:before="20" w:after="20" w:line="252" w:lineRule="auto"/>
              <w:ind w:firstLine="0"/>
              <w:jc w:val="left"/>
            </w:pPr>
            <w:r>
              <w:rPr>
                <w:sz w:val="24"/>
              </w:rPr>
              <w:t xml:space="preserve">Đơn 3-2023-02845; số hiệu 3-0039696-000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11</w:t>
            </w:r>
          </w:p>
        </w:tc>
        <w:tc>
          <w:tcPr>
            <w:tcW w:w="1239" w:type="dxa"/>
            <w:vAlign w:val="center"/>
          </w:tcPr>
          <w:p>
            <w:pPr>
              <w:spacing w:before="20" w:after="20" w:line="252" w:lineRule="auto"/>
              <w:ind w:firstLine="0"/>
              <w:jc w:val="left"/>
            </w:pPr>
            <w:r>
              <w:rPr>
                <w:sz w:val="24"/>
              </w:rPr>
              <w:t xml:space="preserve">Sáng chế</w:t>
            </w:r>
          </w:p>
        </w:tc>
        <w:tc>
          <w:tcPr>
            <w:tcW w:w="2253" w:type="dxa"/>
            <w:vAlign w:val="center"/>
          </w:tcPr>
          <w:p>
            <w:pPr>
              <w:spacing w:before="20" w:after="20" w:line="252" w:lineRule="auto"/>
              <w:ind w:firstLine="0"/>
              <w:jc w:val="left"/>
            </w:pPr>
            <w:r>
              <w:rPr>
                <w:sz w:val="24"/>
              </w:rPr>
              <w:t xml:space="preserve">Hợp chất furofuran lignan glucoside và phương pháp chiết từ lá cây quế hoa</w:t>
            </w:r>
          </w:p>
        </w:tc>
        <w:tc>
          <w:tcPr>
            <w:tcW w:w="1915" w:type="dxa"/>
            <w:vAlign w:val="center"/>
          </w:tcPr>
          <w:p>
            <w:pPr>
              <w:spacing w:before="20" w:after="20" w:line="252" w:lineRule="auto"/>
              <w:ind w:firstLine="0"/>
              <w:jc w:val="left"/>
            </w:pPr>
            <w:r>
              <w:rPr>
                <w:sz w:val="24"/>
              </w:rPr>
              <w:t xml:space="preserve">Đơn 1-2025-07378</w:t>
            </w:r>
          </w:p>
        </w:tc>
        <w:tc>
          <w:tcPr>
            <w:tcW w:w="676" w:type="dxa"/>
            <w:vAlign w:val="center"/>
          </w:tcPr>
          <w:p>
            <w:pPr>
              <w:spacing w:before="20" w:after="20" w:line="252" w:lineRule="auto"/>
              <w:ind w:firstLine="0"/>
              <w:jc w:val="center"/>
            </w:pPr>
            <w:r>
              <w:rPr>
                <w:sz w:val="24"/>
              </w:rPr>
              <w:t xml:space="preserve">2025</w:t>
            </w:r>
          </w:p>
        </w:tc>
        <w:tc>
          <w:tcPr>
            <w:tcW w:w="1352" w:type="dxa"/>
            <w:vAlign w:val="center"/>
          </w:tcPr>
          <w:p>
            <w:pPr>
              <w:spacing w:before="20" w:after="20" w:line="252" w:lineRule="auto"/>
              <w:ind w:firstLine="0"/>
              <w:jc w:val="left"/>
            </w:pPr>
            <w:r>
              <w:rPr>
                <w:sz w:val="24"/>
              </w:rPr>
              <w:t xml:space="preserve">Đã nộp đơn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12</w:t>
            </w:r>
          </w:p>
        </w:tc>
        <w:tc>
          <w:tcPr>
            <w:tcW w:w="1239" w:type="dxa"/>
            <w:vAlign w:val="center"/>
          </w:tcPr>
          <w:p>
            <w:pPr>
              <w:spacing w:before="20" w:after="20" w:line="252" w:lineRule="auto"/>
              <w:ind w:firstLine="0"/>
              <w:jc w:val="left"/>
            </w:pPr>
            <w:r>
              <w:rPr>
                <w:sz w:val="24"/>
              </w:rPr>
              <w:t xml:space="preserve">Sáng chế</w:t>
            </w:r>
          </w:p>
        </w:tc>
        <w:tc>
          <w:tcPr>
            <w:tcW w:w="2253" w:type="dxa"/>
            <w:vAlign w:val="center"/>
          </w:tcPr>
          <w:p>
            <w:pPr>
              <w:spacing w:before="20" w:after="20" w:line="252" w:lineRule="auto"/>
              <w:ind w:firstLine="0"/>
              <w:jc w:val="left"/>
            </w:pPr>
            <w:r>
              <w:rPr>
                <w:sz w:val="24"/>
              </w:rPr>
              <w:t xml:space="preserve">Phương pháp chiết tách và phân lập hợp chất Isoembigenin từ cây Piper aduncum L</w:t>
            </w:r>
          </w:p>
        </w:tc>
        <w:tc>
          <w:tcPr>
            <w:tcW w:w="1915" w:type="dxa"/>
            <w:vAlign w:val="center"/>
          </w:tcPr>
          <w:p>
            <w:pPr>
              <w:spacing w:before="20" w:after="20" w:line="252" w:lineRule="auto"/>
              <w:ind w:firstLine="0"/>
              <w:jc w:val="left"/>
            </w:pPr>
            <w:r>
              <w:rPr>
                <w:sz w:val="24"/>
              </w:rPr>
              <w:t xml:space="preserve">Đơn 1-2026-07185</w:t>
            </w:r>
          </w:p>
        </w:tc>
        <w:tc>
          <w:tcPr>
            <w:tcW w:w="676" w:type="dxa"/>
            <w:vAlign w:val="center"/>
          </w:tcPr>
          <w:p>
            <w:pPr>
              <w:spacing w:before="20" w:after="20" w:line="252" w:lineRule="auto"/>
              <w:ind w:firstLine="0"/>
              <w:jc w:val="center"/>
            </w:pPr>
            <w:r>
              <w:rPr>
                <w:sz w:val="24"/>
              </w:rPr>
              <w:t xml:space="preserve">2026</w:t>
            </w:r>
          </w:p>
        </w:tc>
        <w:tc>
          <w:tcPr>
            <w:tcW w:w="1352" w:type="dxa"/>
            <w:vAlign w:val="center"/>
          </w:tcPr>
          <w:p>
            <w:pPr>
              <w:spacing w:before="20" w:after="20" w:line="252" w:lineRule="auto"/>
              <w:ind w:firstLine="0"/>
              <w:jc w:val="left"/>
            </w:pPr>
            <w:r>
              <w:rPr>
                <w:sz w:val="24"/>
              </w:rPr>
              <w:t xml:space="preserve">Đã nộp đơn</w:t>
            </w:r>
          </w:p>
        </w:tc>
        <w:tc>
          <w:tcPr>
            <w:tcW w:w="1126" w:type="dxa"/>
            <w:vAlign w:val="center"/>
          </w:tcPr>
          <w:p>
            <w:pPr>
              <w:spacing w:before="20" w:after="20" w:line="252" w:lineRule="auto"/>
              <w:ind w:firstLine="0"/>
              <w:jc w:val="left"/>
            </w:pPr>
            <w:r>
              <w:rPr>
                <w:sz w:val="24"/>
              </w:rPr>
              <w:t xml:space="preserve">Trường</w:t>
            </w:r>
          </w:p>
        </w:tc>
      </w:tr>
    </w:tbl>
    <w:p w14:paraId="645FDCAF" w14:textId="77777777" w:rsidR="005B561C" w:rsidRPr="000F7C87" w:rsidRDefault="00000000">
      <w:pPr>
        <w:spacing w:after="160"/>
        <w:ind w:firstLine="0"/>
        <w:rPr>
          <w:szCs w:val="26"/>
        </w:rPr>
      </w:pPr>
      <w:r w:rsidRPr="000F7C87">
        <w:rPr>
          <w:i/>
          <w:szCs w:val="26"/>
        </w:rPr>
        <w:t>Nguồn: Nhóm nghiên cứu tổng hợp từ tệp theo dõi đơn nhãn hiệu, kiểu dáng công nghiệp và thống kê văn bằng của Trường Đại học Thành Đô. Năm là năm cấp văn bằng, giấy chứng nhận đối với hồ sơ đã cấp và năm nộp đơn đối với hồ sơ đã nộp đơn; năm của 5 kiểu dáng ghi theo bảng thống kê văn bằng. Năm kiểu dáng có số hiệu văn bằng tại bảng thống kê văn bằng nhưng được ghi chờ cấp bằng tại bảng theo dõi đơn nên được xếp nhóm chưa xác minh. Bảng theo dõi đơn có một dòng sáng chế ghi chấp nhận đơn hợp lệ nhưng không ghi số đơn nên chưa gán được cho hồ sơ nào. Hồ sơ số 12 nộp năm 2026, ngoài kỳ đánh giá. Không gồm tài sản của pháp nhân UNIGO và của cá nhân.</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2.7. Hồ sơ tài sản trí tuệ của Nhà trường trong kỳ 2021 - 2025 theo loại hình và tình trạng pháp lý</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015999"/>
            <wp:effectExtent l="0" t="0" r="0" b="0"/>
            <wp:docPr id="506" name="Biểu đồ 506" descr="Hình 2.7. Hồ sơ tài sản trí tuệ của Nhà trường trong kỳ 2021 - 2025 theo loại hình và tình trạng pháp lý"/>
            <wp:cNvGraphicFramePr/>
            <a:graphic>
              <a:graphicData uri="http://schemas.openxmlformats.org/drawingml/2006/chart">
                <c:chart r:id="rId17"/>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2.6. Không gồm đơn sáng chế nộp năm 2026. Nhóm chưa xác minh là 5 kiểu dáng công nghiệp có số hiệu văn bằng tại bảng thống kê văn bằng nhưng được ghi là chờ cấp bằng tại bảng theo dõi đơn.</w:t>
      </w:r>
    </w:p>
    <w:p w14:paraId="48E95726" w14:textId="77777777" w:rsidR="005B561C" w:rsidRPr="000F7C87" w:rsidRDefault="00000000">
      <w:pPr>
        <w:rPr>
          <w:szCs w:val="26"/>
        </w:rPr>
      </w:pPr>
      <w:r w:rsidRPr="000F7C87">
        <w:rPr>
          <w:szCs w:val="26"/>
        </w:rPr>
        <w:t>Bảng 2.6 và Hình 2.7 cho thấy 11 hồ sơ trong kỳ hình thành từ ba luồng. Luồng thương hiệu gồm 4 tài sản do Nhà trường đơn sở hữu, đều đã được cấp văn bằng hoặc giấy chứng nhận: hai giấy chứng nhận quyền tác giả đối với bộ logo và hai văn bằng nhãn hiệu. Luồng hợp tác doanh nghiệp gồm 5 kiểu dáng công nghiệp và 1 đơn nhãn hiệu đồng sở hữu với một doanh nghiệp đối tác; đây là thành công nổi bật trong chiến lược hợp tác đại học với doanh nghiệp mà Ban Giám hiệu đã dày công kết nối. Năm kiểu dáng đã có số hiệu văn bằng tại bảng thống kê, nhưng trạng thái cần được xác nhận trước khi tính là văn bằng đã cấp. Luồng nghiên cứu có 1 đơn sáng chế nộp năm 2025 trong kỳ và 1 đơn nộp năm 2026. Như vậy, số văn bằng, giấy chứng nhận xác định được trong kỳ là 4; nếu 5 kiểu dáng được xác nhận, con số này là 9. Tổng số hồ sơ không được dùng như tổng số quyền đã được cấp.</w:t>
      </w:r>
    </w:p>
    <w:p w14:paraId="48E95726" w14:textId="77777777" w:rsidR="005B561C" w:rsidRPr="000F7C87" w:rsidRDefault="00000000">
      <w:pPr>
        <w:rPr>
          <w:szCs w:val="26"/>
        </w:rPr>
      </w:pPr>
      <w:r w:rsidRPr="000F7C87">
        <w:rPr>
          <w:szCs w:val="26"/>
        </w:rPr>
        <w:t>Giai đoạn tới, Nhà trường có thể tận dụng đà hợp tác này để phát triển thêm tài sản do chính Nhà trường đơn sở hữu từ kết quả nghiên cứu, nhất là công thức và quy trình, những đối tượng mà kiểu dáng công nghiệp không bảo hộ. Giải pháp hữu ích, loại hình phù hợp với nhiều sản phẩm đề tài cấp cơ sở, chưa có hồ sơ nào. Về bảo vệ quyền, hồ sơ Đề tài tiếp cận không ghi nhận tranh chấp, khiếu nại hay xử lý xâm phạm liên quan đến Nhà trường; điều này chưa đủ để kết luận không có hành vi xâm phạm, vì Nhà trường chưa có cơ chế theo dõi xâm phạm. Nếu 5 kiểu dáng được xác nhận cấp cùng năm, thời hạn gia hạn sẽ trùng nhau, nên cần được đưa vào sổ theo dõi thống nhất.</w:t>
      </w:r>
    </w:p>
    <w:p w14:paraId="0DE297E1" w14:textId="77777777" w:rsidR="005B561C" w:rsidRPr="000F7C87" w:rsidRDefault="00000000">
      <w:pPr>
        <w:keepNext/>
        <w:spacing w:before="200" w:after="100"/>
        <w:ind w:firstLine="0"/>
        <w:outlineLvl w:val="2"/>
        <w:rPr>
          <w:szCs w:val="26"/>
        </w:rPr>
      </w:pPr>
      <w:r w:rsidRPr="000F7C87">
        <w:rPr>
          <w:b/>
          <w:szCs w:val="26"/>
        </w:rPr>
        <w:t>2.3.3. Sản phẩm đề tài có tiềm năng tạo lập tài sản trí tuệ</w:t>
      </w:r>
    </w:p>
    <w:p w14:paraId="48E95726" w14:textId="77777777" w:rsidR="005B561C" w:rsidRPr="000F7C87" w:rsidRDefault="00000000">
      <w:pPr>
        <w:rPr>
          <w:szCs w:val="26"/>
        </w:rPr>
      </w:pPr>
      <w:r w:rsidRPr="000F7C87">
        <w:rPr>
          <w:szCs w:val="26"/>
        </w:rPr>
        <w:t>Rà soát cột sản phẩm nghiệm thu của 38 đề tài cấp cơ sở cho thấy 11 đề tài có sản phẩm cụ thể ngoài báo cáo và bài báo có tiềm năng tạo lập tài sản trí tuệ, được liệt kê tại Bảng 2.7. Đây là đánh giá sơ bộ dựa trên mô tả sản phẩm; khả năng bảo hộ thực tế còn phụ thuộc vào tính mới, trình độ sáng tạo, khả năng áp dụng và tình trạng bộc lộ của từng sản phẩm, chưa được thẩm định.</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2.7. Đề tài cấp cơ sở có sản phẩm tiềm năng tạo lập tài sản trí tuệ, giai đoạn 2021 - 2025</w:t>
      </w:r>
    </w:p>
    <w:tbl>
      <w:tblPr>
        <w:tblStyle w:val="TableGrid"/>
        <w:tblW w:w="0" w:type="auto"/>
        <w:jc w:val="center"/>
        <w:tblLook w:val="04A0" w:firstRow="1" w:lastRow="0" w:firstColumn="1" w:lastColumn="0" w:noHBand="0" w:noVBand="1"/>
      </w:tblPr>
      <w:tblGrid>
        <w:gridCol w:w="808"/>
        <w:gridCol w:w="1617"/>
        <w:gridCol w:w="2657"/>
        <w:gridCol w:w="1848"/>
        <w:gridCol w:w="1039"/>
        <w:gridCol w:w="1097"/>
      </w:tblGrid>
      <w:tr>
        <w:trPr>
          <w:tblHeader/>
          <w:cantSplit/>
        </w:trPr>
        <w:tc>
          <w:tcPr>
            <w:tcW w:w="808" w:type="dxa"/>
            <w:shd w:val="clear" w:color="auto" w:fill="DCE8F7"/>
            <w:vAlign w:val="center"/>
          </w:tcPr>
          <w:p>
            <w:pPr>
              <w:spacing w:before="20" w:after="20" w:line="252" w:lineRule="auto"/>
              <w:ind w:firstLine="0"/>
              <w:jc w:val="center"/>
            </w:pPr>
            <w:r>
              <w:rPr>
                <w:b/>
                <w:sz w:val="24"/>
              </w:rPr>
              <w:t xml:space="preserve">Mã số</w:t>
            </w:r>
          </w:p>
        </w:tc>
        <w:tc>
          <w:tcPr>
            <w:tcW w:w="1617" w:type="dxa"/>
            <w:shd w:val="clear" w:color="auto" w:fill="DCE8F7"/>
            <w:vAlign w:val="center"/>
          </w:tcPr>
          <w:p>
            <w:pPr>
              <w:spacing w:before="20" w:after="20" w:line="252" w:lineRule="auto"/>
              <w:ind w:firstLine="0"/>
              <w:jc w:val="center"/>
            </w:pPr>
            <w:r>
              <w:rPr>
                <w:b/>
                <w:sz w:val="24"/>
              </w:rPr>
              <w:t xml:space="preserve">Đơn vị chủ trì</w:t>
            </w:r>
          </w:p>
        </w:tc>
        <w:tc>
          <w:tcPr>
            <w:tcW w:w="2657" w:type="dxa"/>
            <w:shd w:val="clear" w:color="auto" w:fill="DCE8F7"/>
            <w:vAlign w:val="center"/>
          </w:tcPr>
          <w:p>
            <w:pPr>
              <w:spacing w:before="20" w:after="20" w:line="252" w:lineRule="auto"/>
              <w:ind w:firstLine="0"/>
              <w:jc w:val="center"/>
            </w:pPr>
            <w:r>
              <w:rPr>
                <w:b/>
                <w:sz w:val="24"/>
              </w:rPr>
              <w:t xml:space="preserve">Sản phẩm nghiệm thu</w:t>
            </w:r>
          </w:p>
        </w:tc>
        <w:tc>
          <w:tcPr>
            <w:tcW w:w="1848" w:type="dxa"/>
            <w:shd w:val="clear" w:color="auto" w:fill="DCE8F7"/>
            <w:vAlign w:val="center"/>
          </w:tcPr>
          <w:p>
            <w:pPr>
              <w:spacing w:before="20" w:after="20" w:line="252" w:lineRule="auto"/>
              <w:ind w:firstLine="0"/>
              <w:jc w:val="center"/>
            </w:pPr>
            <w:r>
              <w:rPr>
                <w:b/>
                <w:sz w:val="24"/>
              </w:rPr>
              <w:t xml:space="preserve">Nhóm quyền dự kiến</w:t>
            </w:r>
          </w:p>
        </w:tc>
        <w:tc>
          <w:tcPr>
            <w:tcW w:w="1039" w:type="dxa"/>
            <w:shd w:val="clear" w:color="auto" w:fill="DCE8F7"/>
            <w:vAlign w:val="center"/>
          </w:tcPr>
          <w:p>
            <w:pPr>
              <w:spacing w:before="20" w:after="20" w:line="252" w:lineRule="auto"/>
              <w:ind w:firstLine="0"/>
              <w:jc w:val="center"/>
            </w:pPr>
            <w:r>
              <w:rPr>
                <w:b/>
                <w:sz w:val="24"/>
              </w:rPr>
              <w:t xml:space="preserve">Nghiệm thu</w:t>
            </w:r>
          </w:p>
        </w:tc>
        <w:tc>
          <w:tcPr>
            <w:tcW w:w="1097" w:type="dxa"/>
            <w:shd w:val="clear" w:color="auto" w:fill="DCE8F7"/>
            <w:vAlign w:val="center"/>
          </w:tcPr>
          <w:p>
            <w:pPr>
              <w:spacing w:before="20" w:after="20" w:line="252" w:lineRule="auto"/>
              <w:ind w:firstLine="0"/>
              <w:jc w:val="center"/>
            </w:pPr>
            <w:r>
              <w:rPr>
                <w:b/>
                <w:sz w:val="24"/>
              </w:rPr>
              <w:t xml:space="preserve">Tình trạng</w:t>
            </w:r>
          </w:p>
        </w:tc>
      </w:tr>
      <w:tr>
        <w:trPr/>
        <w:tc>
          <w:tcPr>
            <w:tcW w:w="808" w:type="dxa"/>
            <w:vAlign w:val="center"/>
          </w:tcPr>
          <w:p>
            <w:pPr>
              <w:spacing w:before="20" w:after="20" w:line="252" w:lineRule="auto"/>
              <w:ind w:firstLine="0"/>
              <w:jc w:val="center"/>
            </w:pPr>
            <w:r>
              <w:rPr>
                <w:sz w:val="24"/>
              </w:rPr>
              <w:t xml:space="preserve">37-2022</w:t>
            </w:r>
          </w:p>
        </w:tc>
        <w:tc>
          <w:tcPr>
            <w:tcW w:w="1617" w:type="dxa"/>
            <w:vAlign w:val="center"/>
          </w:tcPr>
          <w:p>
            <w:pPr>
              <w:spacing w:before="20" w:after="20" w:line="252" w:lineRule="auto"/>
              <w:ind w:firstLine="0"/>
              <w:jc w:val="left"/>
            </w:pPr>
            <w:r>
              <w:rPr>
                <w:sz w:val="24"/>
              </w:rPr>
              <w:t xml:space="preserve">Khoa Công nghệ kỹ thuật Ô tô</w:t>
            </w:r>
          </w:p>
        </w:tc>
        <w:tc>
          <w:tcPr>
            <w:tcW w:w="2657" w:type="dxa"/>
            <w:vAlign w:val="center"/>
          </w:tcPr>
          <w:p>
            <w:pPr>
              <w:spacing w:before="20" w:after="20" w:line="252" w:lineRule="auto"/>
              <w:ind w:firstLine="0"/>
              <w:jc w:val="left"/>
            </w:pPr>
            <w:r>
              <w:rPr>
                <w:sz w:val="24"/>
              </w:rPr>
              <w:t xml:space="preserve">Mô hình kiểm tra và sửa chữa hệ thống khởi động điện trên ô tô</w:t>
            </w:r>
          </w:p>
        </w:tc>
        <w:tc>
          <w:tcPr>
            <w:tcW w:w="1848" w:type="dxa"/>
            <w:vAlign w:val="center"/>
          </w:tcPr>
          <w:p>
            <w:pPr>
              <w:spacing w:before="20" w:after="20" w:line="252" w:lineRule="auto"/>
              <w:ind w:firstLine="0"/>
              <w:jc w:val="left"/>
            </w:pPr>
            <w:r>
              <w:rPr>
                <w:sz w:val="24"/>
              </w:rPr>
              <w:t xml:space="preserve">Kiểu dáng công nghiệp hoặc giải pháp hữu ích</w:t>
            </w:r>
          </w:p>
        </w:tc>
        <w:tc>
          <w:tcPr>
            <w:tcW w:w="1039" w:type="dxa"/>
            <w:vAlign w:val="center"/>
          </w:tcPr>
          <w:p>
            <w:pPr>
              <w:spacing w:before="20" w:after="20" w:line="252" w:lineRule="auto"/>
              <w:ind w:firstLine="0"/>
              <w:jc w:val="center"/>
            </w:pPr>
            <w:r>
              <w:rPr>
                <w:sz w:val="24"/>
              </w:rPr>
              <w:t xml:space="preserve">09/11/2022</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39-2022</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Sản phẩm cầm máu dạng màng</w:t>
            </w:r>
          </w:p>
        </w:tc>
        <w:tc>
          <w:tcPr>
            <w:tcW w:w="1848" w:type="dxa"/>
            <w:vAlign w:val="center"/>
          </w:tcPr>
          <w:p>
            <w:pPr>
              <w:spacing w:before="20" w:after="20" w:line="252" w:lineRule="auto"/>
              <w:ind w:firstLine="0"/>
              <w:jc w:val="left"/>
            </w:pPr>
            <w:r>
              <w:rPr>
                <w:sz w:val="24"/>
              </w:rPr>
              <w:t xml:space="preserve">Giải pháp hữu ích hoặc sáng chế</w:t>
            </w:r>
          </w:p>
        </w:tc>
        <w:tc>
          <w:tcPr>
            <w:tcW w:w="1039" w:type="dxa"/>
            <w:vAlign w:val="center"/>
          </w:tcPr>
          <w:p>
            <w:pPr>
              <w:spacing w:before="20" w:after="20" w:line="252" w:lineRule="auto"/>
              <w:ind w:firstLine="0"/>
              <w:jc w:val="center"/>
            </w:pPr>
            <w:r>
              <w:rPr>
                <w:sz w:val="24"/>
              </w:rPr>
              <w:t xml:space="preserve">10/11/2022</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40-2022</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Bộ mẫu cây thuốc</w:t>
            </w:r>
          </w:p>
        </w:tc>
        <w:tc>
          <w:tcPr>
            <w:tcW w:w="1848" w:type="dxa"/>
            <w:vAlign w:val="center"/>
          </w:tcPr>
          <w:p>
            <w:pPr>
              <w:spacing w:before="20" w:after="20" w:line="252" w:lineRule="auto"/>
              <w:ind w:firstLine="0"/>
              <w:jc w:val="left"/>
            </w:pPr>
            <w:r>
              <w:rPr>
                <w:sz w:val="24"/>
              </w:rPr>
              <w:t xml:space="preserve">Quyền tác giả, sưu tập dữ liệu; cần đánh giá thêm</w:t>
            </w:r>
          </w:p>
        </w:tc>
        <w:tc>
          <w:tcPr>
            <w:tcW w:w="1039" w:type="dxa"/>
            <w:vAlign w:val="center"/>
          </w:tcPr>
          <w:p>
            <w:pPr>
              <w:spacing w:before="20" w:after="20" w:line="252" w:lineRule="auto"/>
              <w:ind w:firstLine="0"/>
              <w:jc w:val="center"/>
            </w:pPr>
            <w:r>
              <w:rPr>
                <w:sz w:val="24"/>
              </w:rPr>
              <w:t xml:space="preserve">10/11/2022</w:t>
            </w:r>
          </w:p>
        </w:tc>
        <w:tc>
          <w:tcPr>
            <w:tcW w:w="1097" w:type="dxa"/>
            <w:vAlign w:val="center"/>
          </w:tcPr>
          <w:p>
            <w:pPr>
              <w:spacing w:before="20" w:after="20" w:line="252" w:lineRule="auto"/>
              <w:ind w:firstLine="0"/>
              <w:jc w:val="left"/>
            </w:pPr>
            <w:r>
              <w:rPr>
                <w:sz w:val="24"/>
              </w:rPr>
              <w:t xml:space="preserve">Chưa đăng ký</w:t>
            </w:r>
          </w:p>
        </w:tc>
      </w:tr>
      <w:tr>
        <w:trPr/>
        <w:tc>
          <w:tcPr>
            <w:tcW w:w="808" w:type="dxa"/>
            <w:vAlign w:val="center"/>
          </w:tcPr>
          <w:p>
            <w:pPr>
              <w:spacing w:before="20" w:after="20" w:line="252" w:lineRule="auto"/>
              <w:ind w:firstLine="0"/>
              <w:jc w:val="center"/>
            </w:pPr>
            <w:r>
              <w:rPr>
                <w:sz w:val="24"/>
              </w:rPr>
              <w:t xml:space="preserve">08-2023</w:t>
            </w:r>
          </w:p>
        </w:tc>
        <w:tc>
          <w:tcPr>
            <w:tcW w:w="1617" w:type="dxa"/>
            <w:vAlign w:val="center"/>
          </w:tcPr>
          <w:p>
            <w:pPr>
              <w:spacing w:before="20" w:after="20" w:line="252" w:lineRule="auto"/>
              <w:ind w:firstLine="0"/>
              <w:jc w:val="left"/>
            </w:pPr>
            <w:r>
              <w:rPr>
                <w:sz w:val="24"/>
              </w:rPr>
              <w:t xml:space="preserve">Viện Nghiên cứu giáo dục và Chuyển giao tri thức</w:t>
            </w:r>
          </w:p>
        </w:tc>
        <w:tc>
          <w:tcPr>
            <w:tcW w:w="2657" w:type="dxa"/>
            <w:vAlign w:val="center"/>
          </w:tcPr>
          <w:p>
            <w:pPr>
              <w:spacing w:before="20" w:after="20" w:line="252" w:lineRule="auto"/>
              <w:ind w:firstLine="0"/>
              <w:jc w:val="left"/>
            </w:pPr>
            <w:r>
              <w:rPr>
                <w:sz w:val="24"/>
              </w:rPr>
              <w:t xml:space="preserve">Tinh dầu Citrus grandis, hồ sơ ghi chuyển giao cho Trường thương mại hóa</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13/11/2023</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06-2024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Xà phòng hữu cơ tảo biển kèm quy trình và công thức</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07-2024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100 tiêu bản hiển vi và cẩm nang phát hiện giun sán</w:t>
            </w:r>
          </w:p>
        </w:tc>
        <w:tc>
          <w:tcPr>
            <w:tcW w:w="1848" w:type="dxa"/>
            <w:vAlign w:val="center"/>
          </w:tcPr>
          <w:p>
            <w:pPr>
              <w:spacing w:before="20" w:after="20" w:line="252" w:lineRule="auto"/>
              <w:ind w:firstLine="0"/>
              <w:jc w:val="left"/>
            </w:pPr>
            <w:r>
              <w:rPr>
                <w:sz w:val="24"/>
              </w:rPr>
              <w:t xml:space="preserve">Quyền tác giả, sưu tập dữ liệu</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đăng ký</w:t>
            </w:r>
          </w:p>
        </w:tc>
      </w:tr>
      <w:tr>
        <w:trPr/>
        <w:tc>
          <w:tcPr>
            <w:tcW w:w="808" w:type="dxa"/>
            <w:vAlign w:val="center"/>
          </w:tcPr>
          <w:p>
            <w:pPr>
              <w:spacing w:before="20" w:after="20" w:line="252" w:lineRule="auto"/>
              <w:ind w:firstLine="0"/>
              <w:jc w:val="center"/>
            </w:pPr>
            <w:r>
              <w:rPr>
                <w:sz w:val="24"/>
              </w:rPr>
              <w:t xml:space="preserve">08-2024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Rutin độ tinh khiết 90% kèm quy trình chiết xuất, tinh chế</w:t>
            </w:r>
          </w:p>
        </w:tc>
        <w:tc>
          <w:tcPr>
            <w:tcW w:w="1848" w:type="dxa"/>
            <w:vAlign w:val="center"/>
          </w:tcPr>
          <w:p>
            <w:pPr>
              <w:spacing w:before="20" w:after="20" w:line="252" w:lineRule="auto"/>
              <w:ind w:firstLine="0"/>
              <w:jc w:val="left"/>
            </w:pPr>
            <w:r>
              <w:rPr>
                <w:sz w:val="24"/>
              </w:rPr>
              <w:t xml:space="preserve">Giải pháp hữu ích hoặc sáng chế</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09-2024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Thang thuốc 100 ml kèm công thức và quy trình sắc</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06-2025</w:t>
            </w:r>
          </w:p>
        </w:tc>
        <w:tc>
          <w:tcPr>
            <w:tcW w:w="1617" w:type="dxa"/>
            <w:vAlign w:val="center"/>
          </w:tcPr>
          <w:p>
            <w:pPr>
              <w:spacing w:before="20" w:after="20" w:line="252" w:lineRule="auto"/>
              <w:ind w:firstLine="0"/>
              <w:jc w:val="left"/>
            </w:pPr>
            <w:r>
              <w:rPr>
                <w:sz w:val="24"/>
              </w:rPr>
              <w:t xml:space="preserve">Viện Y - Dược</w:t>
            </w:r>
          </w:p>
        </w:tc>
        <w:tc>
          <w:tcPr>
            <w:tcW w:w="2657" w:type="dxa"/>
            <w:vAlign w:val="center"/>
          </w:tcPr>
          <w:p>
            <w:pPr>
              <w:spacing w:before="20" w:after="20" w:line="252" w:lineRule="auto"/>
              <w:ind w:firstLine="0"/>
              <w:jc w:val="left"/>
            </w:pPr>
            <w:r>
              <w:rPr>
                <w:sz w:val="24"/>
              </w:rPr>
              <w:t xml:space="preserve">Công thức cồn thuốc xoa bóp, hồ sơ ghi dự kiến đăng ký giải pháp hữu ích</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25/12/2025</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07-2025</w:t>
            </w:r>
          </w:p>
        </w:tc>
        <w:tc>
          <w:tcPr>
            <w:tcW w:w="1617" w:type="dxa"/>
            <w:vAlign w:val="center"/>
          </w:tcPr>
          <w:p>
            <w:pPr>
              <w:spacing w:before="20" w:after="20" w:line="252" w:lineRule="auto"/>
              <w:ind w:firstLine="0"/>
              <w:jc w:val="left"/>
            </w:pPr>
            <w:r>
              <w:rPr>
                <w:sz w:val="24"/>
              </w:rPr>
              <w:t xml:space="preserve">Viện Y - Dược</w:t>
            </w:r>
          </w:p>
        </w:tc>
        <w:tc>
          <w:tcPr>
            <w:tcW w:w="2657" w:type="dxa"/>
            <w:vAlign w:val="center"/>
          </w:tcPr>
          <w:p>
            <w:pPr>
              <w:spacing w:before="20" w:after="20" w:line="252" w:lineRule="auto"/>
              <w:ind w:firstLine="0"/>
              <w:jc w:val="left"/>
            </w:pPr>
            <w:r>
              <w:rPr>
                <w:sz w:val="24"/>
              </w:rPr>
              <w:t xml:space="preserve">Quy trình bào chế viên ngậm giảm ho, hồ sơ ghi dự kiến đăng ký giải pháp hữu ích</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25/12/2025</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09-2025</w:t>
            </w:r>
          </w:p>
        </w:tc>
        <w:tc>
          <w:tcPr>
            <w:tcW w:w="1617" w:type="dxa"/>
            <w:vAlign w:val="center"/>
          </w:tcPr>
          <w:p>
            <w:pPr>
              <w:spacing w:before="20" w:after="20" w:line="252" w:lineRule="auto"/>
              <w:ind w:firstLine="0"/>
              <w:jc w:val="left"/>
            </w:pPr>
            <w:r>
              <w:rPr>
                <w:sz w:val="24"/>
              </w:rPr>
              <w:t xml:space="preserve">Viện Y - Dược</w:t>
            </w:r>
          </w:p>
        </w:tc>
        <w:tc>
          <w:tcPr>
            <w:tcW w:w="2657" w:type="dxa"/>
            <w:vAlign w:val="center"/>
          </w:tcPr>
          <w:p>
            <w:pPr>
              <w:spacing w:before="20" w:after="20" w:line="252" w:lineRule="auto"/>
              <w:ind w:firstLine="0"/>
              <w:jc w:val="left"/>
            </w:pPr>
            <w:r>
              <w:rPr>
                <w:sz w:val="24"/>
              </w:rPr>
              <w:t xml:space="preserve">Chiết xuất lá Quế hoa, hồ sơ ghi giai đoạn 2 là sáng chế</w:t>
            </w:r>
          </w:p>
        </w:tc>
        <w:tc>
          <w:tcPr>
            <w:tcW w:w="1848" w:type="dxa"/>
            <w:vAlign w:val="center"/>
          </w:tcPr>
          <w:p>
            <w:pPr>
              <w:spacing w:before="20" w:after="20" w:line="252" w:lineRule="auto"/>
              <w:ind w:firstLine="0"/>
              <w:jc w:val="left"/>
            </w:pPr>
            <w:r>
              <w:rPr>
                <w:sz w:val="24"/>
              </w:rPr>
              <w:t xml:space="preserve">Sáng chế</w:t>
            </w:r>
          </w:p>
        </w:tc>
        <w:tc>
          <w:tcPr>
            <w:tcW w:w="1039" w:type="dxa"/>
            <w:vAlign w:val="center"/>
          </w:tcPr>
          <w:p>
            <w:pPr>
              <w:spacing w:before="20" w:after="20" w:line="252" w:lineRule="auto"/>
              <w:ind w:firstLine="0"/>
              <w:jc w:val="center"/>
            </w:pPr>
            <w:r>
              <w:rPr>
                <w:sz w:val="24"/>
              </w:rPr>
              <w:t xml:space="preserve">25/12/2025</w:t>
            </w:r>
          </w:p>
        </w:tc>
        <w:tc>
          <w:tcPr>
            <w:tcW w:w="1097" w:type="dxa"/>
            <w:vAlign w:val="center"/>
          </w:tcPr>
          <w:p>
            <w:pPr>
              <w:spacing w:before="20" w:after="20" w:line="252" w:lineRule="auto"/>
              <w:ind w:firstLine="0"/>
              <w:jc w:val="left"/>
            </w:pPr>
            <w:r>
              <w:rPr>
                <w:sz w:val="24"/>
              </w:rPr>
              <w:t xml:space="preserve">Đã nộp đơn năm 2025</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Nhóm quyền dự kiến là đánh giá sơ bộ dựa trên mô tả sản phẩm trong hồ sơ nghiệm thu; tình trạng đối chiếu với tệp theo dõi đơn và văn bằng của Nhà trường.</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2.8. Sản phẩm đề tài cấp cơ sở có tiềm năng tạo lập tài sản trí tuệ theo nhóm quyền dự kiến</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160000"/>
            <wp:effectExtent l="0" t="0" r="0" b="0"/>
            <wp:docPr id="507" name="Biểu đồ 507" descr="Hình 2.8. Sản phẩm đề tài cấp cơ sở có tiềm năng tạo lập tài sản trí tuệ theo nhóm quyền dự kiến"/>
            <wp:cNvGraphicFramePr/>
            <a:graphic>
              <a:graphicData uri="http://schemas.openxmlformats.org/drawingml/2006/chart">
                <c:chart r:id="rId18"/>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2.7.</w:t>
      </w:r>
    </w:p>
    <w:p w14:paraId="48E95726" w14:textId="77777777" w:rsidR="005B561C" w:rsidRPr="000F7C87" w:rsidRDefault="00000000">
      <w:pPr>
        <w:rPr>
          <w:szCs w:val="26"/>
        </w:rPr>
      </w:pPr>
      <w:r w:rsidRPr="000F7C87">
        <w:rPr>
          <w:szCs w:val="26"/>
        </w:rPr>
        <w:t>Hình 2.8 cho thấy 9 trên 11 sản phẩm thuộc nhóm sở hữu công nghiệp và giải pháp hữu ích là hình thức dự kiến phù hợp với 8 sản phẩm. Loại hình này không đòi hỏi trình độ sáng tạo như sáng chế, có thời hạn bảo hộ ngắn hơn và phù hợp với quy mô đề tài cấp cơ sở, nhưng chưa có hồ sơ nào được nộp theo hình thức này. Mười trên 11 sản phẩm thuộc lĩnh vực dược, nên tiềm năng sở hữu công nghiệp của Nhà trường có thể được quản lý có trọng tâm.</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2.9. Chuỗi chuyển hóa từ đề tài cấp cơ sở sang đơn đăng ký sở hữu công nghiệp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72000"/>
            <wp:effectExtent l="0" t="0" r="0" b="0"/>
            <wp:docPr id="508" name="Biểu đồ 508" descr="Hình 2.9. Chuỗi chuyển hóa từ đề tài cấp cơ sở sang đơn đăng ký sở hữu công nghiệp"/>
            <wp:cNvGraphicFramePr/>
            <a:graphic>
              <a:graphicData uri="http://schemas.openxmlformats.org/drawingml/2006/chart">
                <c:chart r:id="rId19"/>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danh mục đề tài cấp cơ sở và Bảng 2.7. Chuỗi chỉ xét sở hữu công nghiệp, không gồm 2 sản phẩm thuộc quyền tác giả. Cột thứ hai gồm các đề tài mang mã số từ năm 2021 đến năm 2024, đều nghiệm thu trước ngày 31 tháng 5 năm 2025.</w:t>
      </w:r>
    </w:p>
    <w:p w14:paraId="48E95726" w14:textId="77777777" w:rsidR="005B561C" w:rsidRPr="000F7C87" w:rsidRDefault="00000000">
      <w:pPr>
        <w:rPr>
          <w:szCs w:val="26"/>
        </w:rPr>
      </w:pPr>
      <w:r w:rsidRPr="000F7C87">
        <w:rPr>
          <w:szCs w:val="26"/>
        </w:rPr>
        <w:t>Hình 2.9 cho thấy, trong chuỗi sở hữu công nghiệp, 9 trên 38 đề tài, tức 23,7%, có sản phẩm tiềm năng, và 1 trên 9 đề tài, tức 11,1%, đã có đơn. Với 31 đề tài mang mã số 2021 - 2024, đều nghiệm thu trước ngày 31 tháng 5 năm 2025, 6 đề tài có sản phẩm tiềm năng sở hữu công nghiệp nhưng chưa đề tài nào có đơn trong tệp theo dõi. Đây là điểm đứt gãy của chuỗi. Trong điều kiện hồ sơ hiện có, Đề tài nhận định điểm nghẽn nằm ở một khoảng trống kỹ thuật tại khâu nối giữa nghiệm thu và đăng ký: thiếu một biểu mẫu rà soát tại thời điểm nghiệm thu. Các biểu mẫu đề xuất, thuyết minh, hợp đồng và nghiệm thu tại Quyết định 213 đã có mục về đăng ký sở hữu trí tuệ ở dạng sản phẩm dự kiến, tiêu chí chấm điểm và tình trạng đăng ký, nhưng chưa yêu cầu sàng lọc khả năng bảo hộ và tình trạng bộc lộ của các sản phẩm khác. Với sản phẩm đã bộc lộ công khai quá mười hai tháng, khả năng đăng ký sáng chế, giải pháp hữu ích không còn theo khoản 3 Điều 60 Luật Sở hữu trí tuệ, nên khâu sàng lọc cần được thiết lập sớm.</w:t>
      </w:r>
    </w:p>
    <w:p w14:paraId="48E95726" w14:textId="77777777" w:rsidR="005B561C" w:rsidRPr="000F7C87" w:rsidRDefault="00000000">
      <w:pPr>
        <w:rPr>
          <w:szCs w:val="26"/>
        </w:rPr>
      </w:pPr>
      <w:r w:rsidRPr="000F7C87">
        <w:rPr>
          <w:szCs w:val="26"/>
        </w:rPr>
        <w:t>Đề tài chiết xuất lá Quế hoa mã số 09-2025, nghiệm thu ngày 25 tháng 12 năm 2025, là đề tài cấp cơ sở duy nhất trong kỳ có sản phẩm được nộp đơn sáng chế; đơn số 1-2025-07378 được nộp trong năm 2025. Trường hợp này cho thấy kênh chuyển hóa có thể vận hành trong điều kiện hiện có, nhưng mới có một trường hợp, do một chủ nhiệm đồng thời chủ trì đề tài cấp quốc gia, nên chưa đủ để coi là một quy trình. Hai đề tài 06-2025 và 07-2025, nghiệm thu ngày 25 tháng 12 năm 2025, ghi dự kiến đăng ký giải pháp hữu ích nhưng chưa có đơn trong tệp theo dõi; nếu kết quả đã được bộc lộ, thời hạn mười hai tháng kể từ ngày bộc lộ cần được kiểm tra ngay. Đề tài tinh dầu Citrus grandis mã số 08-2023 có liên hệ về tên gọi với kiểu dáng tinh dầu vỏ bưởi đào, nhưng hồ sơ chưa đủ để khẳng định; kể cả khi liên hệ được xác nhận, kiểu dáng chỉ bảo hộ hình dáng bên ngoài, còn công thức và quy trình chiết xuất chưa được đăng ký. Hai danh mục không có trường liên kết, nên chưa thể theo dõi một sản phẩm nghiên cứu đến khi xác lập quyền.</w:t>
      </w:r>
    </w:p>
    <w:p w14:paraId="6067EC56" w14:textId="77777777" w:rsidR="005B561C" w:rsidRPr="000F7C87" w:rsidRDefault="00000000">
      <w:pPr>
        <w:keepNext/>
        <w:spacing w:before="280" w:after="160"/>
        <w:ind w:firstLine="0"/>
        <w:outlineLvl w:val="1"/>
        <w:rPr>
          <w:szCs w:val="26"/>
        </w:rPr>
      </w:pPr>
      <w:r w:rsidRPr="000F7C87">
        <w:rPr>
          <w:b/>
          <w:szCs w:val="26"/>
        </w:rPr>
        <w:t>2.4. Thực trạng sử dụng, chuyển giao và khai thác tài sản trí tuệ</w:t>
      </w:r>
    </w:p>
    <w:p w14:paraId="48E95726" w14:textId="77777777" w:rsidR="005B561C" w:rsidRPr="000F7C87" w:rsidRDefault="00000000">
      <w:pPr>
        <w:rPr>
          <w:szCs w:val="26"/>
        </w:rPr>
      </w:pPr>
      <w:r w:rsidRPr="000F7C87">
        <w:rPr>
          <w:szCs w:val="26"/>
        </w:rPr>
        <w:t>Khai thác tài sản trí tuệ tại Nhà trường được xem xét ở ba mức: sử dụng nội bộ, chuyển giao trong hệ thống và khai thác có thu phí.</w:t>
      </w:r>
    </w:p>
    <w:p w14:paraId="48E95726" w14:textId="77777777" w:rsidR="005B561C" w:rsidRPr="000F7C87" w:rsidRDefault="00000000">
      <w:pPr>
        <w:rPr>
          <w:szCs w:val="26"/>
        </w:rPr>
      </w:pPr>
      <w:r w:rsidRPr="000F7C87">
        <w:rPr>
          <w:szCs w:val="26"/>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có thể phụ thuộc vào biểu mẫu nghiệm thu hơn là bản chất đề tài.</w:t>
      </w:r>
    </w:p>
    <w:p w14:paraId="48E95726" w14:textId="77777777" w:rsidR="005B561C" w:rsidRPr="000F7C87" w:rsidRDefault="00000000">
      <w:pPr>
        <w:rPr>
          <w:szCs w:val="26"/>
        </w:rPr>
      </w:pPr>
      <w:r w:rsidRPr="000F7C87">
        <w:rPr>
          <w:szCs w:val="26"/>
        </w:rPr>
        <w:t>Ở mức chuyển giao trong hệ thống, đề tài tinh dầu Citrus grandis năm 2023 do Viện Nghiên cứu giáo dục và Chuyển giao tri thức chủ trì ghi sản phẩm là chuyển giao công nghệ cho Nhà trường thương mại hóa, nhưng hồ sơ Đề tài tiếp cận không có hợp đồng, biên bản chuyển giao hay kết quả thương mại hóa kèm theo.</w:t>
      </w:r>
    </w:p>
    <w:p w14:paraId="48E95726" w14:textId="77777777" w:rsidR="005B561C" w:rsidRPr="000F7C87" w:rsidRDefault="00000000">
      <w:pPr>
        <w:rPr>
          <w:szCs w:val="26"/>
        </w:rPr>
      </w:pPr>
      <w:r w:rsidRPr="000F7C87">
        <w:rPr>
          <w:szCs w:val="26"/>
        </w:rPr>
        <w:t>Ở mức khai thác có thu phí, theo thống kê do Viện Nghiên cứu giáo dục và Chuyển giao tri thức cung cấp, giai đoạn 2023 - 2024 có năm hợp đồng.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tác giả. Ba hợp đồng còn lại là dịch vụ đào tạo, giảng dạy, tổng trị giá 100 triệu đồng, thuộc khai thác tri thức chuyên môn chứ không phải khai thác một tài sản đã xác lập quyền. Đề tài chưa tiếp cận bản hợp đồng để đối chiếu.</w:t>
      </w:r>
    </w:p>
    <w:p w14:paraId="48E95726" w14:textId="77777777" w:rsidR="005B561C" w:rsidRPr="000F7C87" w:rsidRDefault="00000000">
      <w:pPr>
        <w:rPr>
          <w:szCs w:val="26"/>
        </w:rPr>
      </w:pPr>
      <w:r w:rsidRPr="000F7C87">
        <w:rPr>
          <w:szCs w:val="26"/>
        </w:rPr>
        <w:t>Như vậy, khai thác tài sản trí tuệ hiện chủ yếu ở dạng phi thương mại, phục vụ đào tạo của chính Nhà trường. Khai thác có thu phí ghi nhận được mới có hai hợp đồng, do một đơn vị thực hiện và đối với sách chuyên khảo; các văn bằng, giấy chứng nhận hiện có chưa ghi nhận giao dịch chuyển giao quyền trong hồ sơ. Đây cũng là nội dung có dữ liệu mỏng nhất, vì hệ thống thống kê chưa theo dõi việc sử dụng và khai thác tài sản trí tuệ; bản thân việc thiếu dữ liệu này là một phát hiện về thực trạng quản lý.</w:t>
      </w:r>
    </w:p>
    <w:p w14:paraId="6067EC56" w14:textId="77777777" w:rsidR="005B561C" w:rsidRPr="000F7C87" w:rsidRDefault="00000000">
      <w:pPr>
        <w:keepNext/>
        <w:spacing w:before="280" w:after="160"/>
        <w:ind w:firstLine="0"/>
        <w:outlineLvl w:val="1"/>
        <w:rPr>
          <w:szCs w:val="26"/>
        </w:rPr>
      </w:pPr>
      <w:r w:rsidRPr="000F7C87">
        <w:rPr>
          <w:b/>
          <w:szCs w:val="26"/>
        </w:rPr>
        <w:t>2.5. Đánh giá chung về công tác quản lý quyền sở hữu trí tuệ tại Trường Đại học Thành Đô</w:t>
      </w:r>
    </w:p>
    <w:p w14:paraId="48E95726" w14:textId="77777777" w:rsidR="005B561C" w:rsidRPr="000F7C87" w:rsidRDefault="00000000">
      <w:pPr>
        <w:rPr>
          <w:szCs w:val="26"/>
        </w:rPr>
      </w:pPr>
      <w:r w:rsidRPr="000F7C87">
        <w:rPr>
          <w:szCs w:val="26"/>
        </w:rPr>
        <w:t>Kết quả hai năm 2024 - 2025 được đối chiếu trước hết với Kế hoạch hoạt động khoa học công nghệ giai đoạn 2024 - 2028 ban hành kèm Kế hoạch số 07/KH-ĐHTĐ ngày 01 tháng 7 năm 2024. Đây là thước đo khách quan vì do chính Nhà trường đặt ra, và 2024 - 2025 là hai năm đầu của kế hoạch.</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2.10. Tỷ lệ thực hiện so với chỉ tiêu Kế hoạch 07/KH-ĐHTĐ, cộng dồn hai năm 2024 - 2025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4464000"/>
            <wp:effectExtent l="0" t="0" r="0" b="0"/>
            <wp:docPr id="509" name="Biểu đồ 509" descr="Hình 2.10. Tỷ lệ thực hiện so với chỉ tiêu Kế hoạch 07/KH-ĐHTĐ, cộng dồn hai năm 2024 - 2025"/>
            <wp:cNvGraphicFramePr/>
            <a:graphic>
              <a:graphicData uri="http://schemas.openxmlformats.org/drawingml/2006/chart">
                <c:chart r:id="rId20"/>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mục 2.2.4 Kế hoạch số 07/KH-ĐHTĐ ngày 01 tháng 7 năm 2024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48E95726" w14:textId="77777777" w:rsidR="005B561C" w:rsidRPr="000F7C87" w:rsidRDefault="00000000">
      <w:pPr>
        <w:rPr>
          <w:szCs w:val="26"/>
        </w:rPr>
      </w:pPr>
      <w:r w:rsidRPr="000F7C87">
        <w:rPr>
          <w:szCs w:val="26"/>
        </w:rPr>
        <w:t>Hình 2.10 cho thấy 6 trên 9 chỉ tiêu xác định được đạt hoặc vượt kế hoạch. Nhóm công bố vượt xa chỉ tiêu: bài báo tạp chí khoa học quốc tế đạt 85 bài so với 30 bài, tức 283%; sách có chỉ số ISBN 267%; bài báo kỷ yếu hội thảo cấp Trường 223%; bài báo trong nước 165%; riêng bài báo hội thảo khoa học quốc tế đạt 91%. Nhóm đề tài và học liệu dao động quanh kế hoạch, từ 90% với giáo trình, tài liệu tham khảo lưu hành nội bộ được nghiệm thu đến 150% với đề tài cấp Bộ, Nhà nước. Chỉ tiêu chuyển giao công nghệ năm 2025 chưa đạt.</w:t>
      </w:r>
    </w:p>
    <w:p w14:paraId="48E95726" w14:textId="77777777" w:rsidR="005B561C" w:rsidRPr="000F7C87" w:rsidRDefault="00000000">
      <w:pPr>
        <w:rPr>
          <w:szCs w:val="26"/>
        </w:rPr>
      </w:pPr>
      <w:r w:rsidRPr="000F7C87">
        <w:rPr>
          <w:szCs w:val="26"/>
        </w:rPr>
        <w:t>Chỉ tiêu 1.11 “Công nhận sáng chế, phát minh, KDCN, bản quyền tác giả”, tổng 4 cho hai năm, chưa xác định được tỷ lệ thực hiện. Trong phạm vi chỉ tiêu, không gồm nhãn hiệu, hai năm 2024 - 2025 chỉ có 5 kiểu dáng công nghiệp ghi năm 2024 nhưng trạng thái chưa thống nhất; giấy chứng nhận quyền tác giả năm 2025 thuộc pháp nhân UNIGO. Nếu 5 kiểu dáng được xác nhận cấp năm 2024, kết quả là 5 trên 4, tức 125%, và cả 5 đều hình thành qua hợp tác doanh nghiệp, không từ đề tài. Do Kế hoạch gộp sáng chế với kiểu dáng công nghiệp và quyền tác giả trong một chỉ tiêu, chỉ tiêu này có thể được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p w14:paraId="0DE297E1" w14:textId="77777777" w:rsidR="005B561C" w:rsidRPr="000F7C87" w:rsidRDefault="00000000">
      <w:pPr>
        <w:keepNext/>
        <w:spacing w:before="200" w:after="100"/>
        <w:ind w:firstLine="0"/>
        <w:outlineLvl w:val="2"/>
        <w:rPr>
          <w:szCs w:val="26"/>
        </w:rPr>
      </w:pPr>
      <w:r w:rsidRPr="000F7C87">
        <w:rPr>
          <w:b/>
          <w:szCs w:val="26"/>
        </w:rPr>
        <w:t>2.5.1. Kết quả đạt được</w:t>
      </w:r>
    </w:p>
    <w:p w14:paraId="48E95726" w14:textId="77777777" w:rsidR="005B561C" w:rsidRPr="000F7C87" w:rsidRDefault="00000000">
      <w:pPr>
        <w:rPr>
          <w:szCs w:val="26"/>
        </w:rPr>
      </w:pPr>
      <w:r w:rsidRPr="000F7C87">
        <w:rPr>
          <w:szCs w:val="26"/>
        </w:rPr>
        <w:t>Thứ nhất, Nhà trường có tầm nhìn sớm về thể chế sở hữu trí tuệ. Quyết định 213 năm 2021 đã dành một chương riêng với phạm vi tài sản khá đầy đủ, quy trình đăng ký một cửa và căn cứ chi cho thủ tục xác lập quyền; Quyết định 217 ngày 21 tháng 11 năm 2024 tiếp tục ban hành quy chế chuyên biệt, mở rộng phạm vi tài sản, bổ sung nguyên tắc công bố và bảo mật, phân công đầu mối và quy định các hành vi xâm phạm quyền tác giả. Cả hai văn bản đều ra đời trước khi Luật số 93/2025/QH15 và Luật số 131/2025/QH15 được ban hành.</w:t>
      </w:r>
    </w:p>
    <w:p w14:paraId="48E95726" w14:textId="77777777" w:rsidR="005B561C" w:rsidRPr="000F7C87" w:rsidRDefault="00000000">
      <w:pPr>
        <w:rPr>
          <w:szCs w:val="26"/>
        </w:rPr>
      </w:pPr>
      <w:r w:rsidRPr="000F7C87">
        <w:rPr>
          <w:szCs w:val="26"/>
        </w:rPr>
        <w:t>Thứ hai, trong kỳ 2021 - 2025, Nhà trường có 11 hồ sơ tài sản trí tuệ thuộc sở hữu hoặc đồng sở hữu, trong đó 4 tài sản đã được cấp văn bằng, giấy chứng nhận và 5 kiểu dáng công nghiệp đã có số hiệu văn bằng cần xác nhận trạng thái. Nhóm thương hiệu gồm tên trường, bộ nhận diện và thương hiệu hệ sinh thái được bảo hộ từ năm 2021. 5 kiểu dáng công nghiệp và 1 đơn nhãn hiệu đồng sở hữu là thành công nổi bật trong chiến lược hợp tác đại học với doanh nghiệp mà Ban Giám hiệu đã dày công kết nối.</w:t>
      </w:r>
    </w:p>
    <w:p w14:paraId="48E95726" w14:textId="77777777" w:rsidR="005B561C" w:rsidRPr="000F7C87" w:rsidRDefault="00000000">
      <w:pPr>
        <w:rPr>
          <w:szCs w:val="26"/>
        </w:rPr>
      </w:pPr>
      <w:r w:rsidRPr="000F7C87">
        <w:rPr>
          <w:szCs w:val="26"/>
        </w:rPr>
        <w:t>Thứ ba, năng lực nghiên cứu tăng nhanh: số bài báo tăng bình quân 62,7% một năm, đạt 1,11 bài trên một giảng viên năm 2025; 6 trên 9 chỉ tiêu khoa học công nghệ xác định được của Kế hoạch 07/KH-ĐHTĐ đạt hoặc vượt; ba đề tài cấp quốc gia với tổng kinh phí 4,67 tỷ đồng được phê duyệt.</w:t>
      </w:r>
    </w:p>
    <w:p w14:paraId="48E95726" w14:textId="77777777" w:rsidR="005B561C" w:rsidRPr="000F7C87" w:rsidRDefault="00000000">
      <w:pPr>
        <w:rPr>
          <w:szCs w:val="26"/>
        </w:rPr>
      </w:pPr>
      <w:r w:rsidRPr="000F7C87">
        <w:rPr>
          <w:szCs w:val="26"/>
        </w:rPr>
        <w:t>Thứ tư, đội ngũ có tiềm năng tạo lập tài sản trí tuệ, nhất là ở khối ngành Y - Dược: 11 trên 38 đề tài cấp cơ sở có sản phẩm tiềm năng, trong đó 9 thuộc sở hữu công nghiệp; kênh chuyển hóa từ đề tài sang đơn sáng chế đã có trường hợp đầu tiên với đề tài chiết xuất lá Quế hoa năm 2025, và năm 2026 có thêm một đơn sáng chế.</w:t>
      </w:r>
    </w:p>
    <w:p w14:paraId="48E95726" w14:textId="77777777" w:rsidR="005B561C" w:rsidRPr="000F7C87" w:rsidRDefault="00000000">
      <w:pPr>
        <w:rPr>
          <w:szCs w:val="26"/>
        </w:rPr>
      </w:pPr>
      <w:r w:rsidRPr="000F7C87">
        <w:rPr>
          <w:szCs w:val="26"/>
        </w:rPr>
        <w:t>Thứ năm, các biểu mẫu đề xuất, thuyết minh, hợp đồng và nghiệm thu tại Quyết định 213 đã có mục về đăng ký sở hữu trí tuệ, tạo nền để bổ sung nội dung sàng lọc; từ năm 2025, theo thông tin được cung cấp, Nhà trường có thêm Quỹ Học bổng sau tiến sĩ Ngô Xuân Độ với cơ chế đồng sở hữu văn bằng.</w:t>
      </w:r>
    </w:p>
    <w:p w14:paraId="0DE297E1" w14:textId="77777777" w:rsidR="005B561C" w:rsidRPr="000F7C87" w:rsidRDefault="00000000">
      <w:pPr>
        <w:keepNext/>
        <w:spacing w:before="200" w:after="100"/>
        <w:ind w:firstLine="0"/>
        <w:outlineLvl w:val="2"/>
        <w:rPr>
          <w:szCs w:val="26"/>
        </w:rPr>
      </w:pPr>
      <w:r w:rsidRPr="000F7C87">
        <w:rPr>
          <w:b/>
          <w:szCs w:val="26"/>
        </w:rPr>
        <w:t>2.5.2. Hạn chế</w:t>
      </w:r>
    </w:p>
    <w:p w14:paraId="48E95726" w14:textId="77777777" w:rsidR="005B561C" w:rsidRPr="000F7C87" w:rsidRDefault="00000000">
      <w:pPr>
        <w:rPr>
          <w:szCs w:val="26"/>
        </w:rPr>
      </w:pPr>
      <w:r w:rsidRPr="000F7C87">
        <w:rPr>
          <w:szCs w:val="26"/>
        </w:rPr>
        <w:t>Thứ nhất, kết quả nghiên cứu chưa được chuyển hóa thành quyền tương xứng với tiềm năng: 9 đề tài có sản phẩm tiềm năng sở hữu công nghiệp nhưng mới 1 đề tài có đơn; 6 đề tài mã số 2021 - 2024 có sản phẩm tiềm năng sở hữu công nghiệp chưa có đơn, và 2 sản phẩm thuộc quyền tác giả chưa được đăng ký.</w:t>
      </w:r>
    </w:p>
    <w:p w14:paraId="48E95726" w14:textId="77777777" w:rsidR="005B561C" w:rsidRPr="000F7C87" w:rsidRDefault="00000000">
      <w:pPr>
        <w:rPr>
          <w:szCs w:val="26"/>
        </w:rPr>
      </w:pPr>
      <w:r w:rsidRPr="000F7C87">
        <w:rPr>
          <w:szCs w:val="26"/>
        </w:rPr>
        <w:t>Thứ hai, các quy định nội bộ ban hành ở những thời điểm khác nhau chưa làm rõ phạm vi và thứ tự áp dụng giữa các quy định về lợi ích của tác giả, chưa phân biệt thưởng, thù lao và phần chia nguồn thu; điểm a khoản 4 Điều 36 Quyết định 213 cần được rà soát theo Điều 28 và Điều 73 Luật số 93/2025/QH15 đối với các trường hợp thuộc phạm vi áp dụng của Luật mới.</w:t>
      </w:r>
    </w:p>
    <w:p w14:paraId="48E95726" w14:textId="77777777" w:rsidR="005B561C" w:rsidRPr="000F7C87" w:rsidRDefault="00000000">
      <w:pPr>
        <w:rPr>
          <w:szCs w:val="26"/>
        </w:rPr>
      </w:pPr>
      <w:r w:rsidRPr="000F7C87">
        <w:rPr>
          <w:szCs w:val="26"/>
        </w:rPr>
        <w:t>Thứ ba, luồng thương hiệu và luồng nghiên cứu vận hành tách biệt: danh mục tài sản và danh mục sản phẩm đề tài do hai bộ phận lập, chưa có trường liên kết, nên sản phẩm nghiên cứu chưa được theo dõi liên tục đến khi xác lập quyền.</w:t>
      </w:r>
    </w:p>
    <w:p w14:paraId="48E95726" w14:textId="77777777" w:rsidR="005B561C" w:rsidRPr="000F7C87" w:rsidRDefault="00000000">
      <w:pPr>
        <w:rPr>
          <w:szCs w:val="26"/>
        </w:rPr>
      </w:pPr>
      <w:r w:rsidRPr="000F7C87">
        <w:rPr>
          <w:szCs w:val="26"/>
        </w:rPr>
        <w:t>Thứ tư, tài sản do Nhà trường đơn sở hữu hình thành từ kết quả nghiên cứu còn ít: ngoài 4 tài sản thương hiệu, trong kỳ mới có 1 đơn sáng chế; các hồ sơ sở hữu công nghiệp khác đều hình thành qua hợp tác doanh nghiệp.</w:t>
      </w:r>
    </w:p>
    <w:p w14:paraId="48E95726" w14:textId="77777777" w:rsidR="005B561C" w:rsidRPr="000F7C87" w:rsidRDefault="00000000">
      <w:pPr>
        <w:rPr>
          <w:szCs w:val="26"/>
        </w:rPr>
      </w:pPr>
      <w:r w:rsidRPr="000F7C87">
        <w:rPr>
          <w:szCs w:val="26"/>
        </w:rPr>
        <w:t>Thứ năm, hệ thống dữ liệu chưa đáp ứng đầy đủ yêu cầu quản lý và nghĩa vụ công khai: chưa có danh mục tài sản trí tuệ trong hệ thống thống kê, hai bảng theo dõi chưa thống nhất trạng thái 5 kiểu dáng, danh mục bài báo không liên kết với đề tài, 7 trên 16 tiêu chí đánh giá chưa tính được.</w:t>
      </w:r>
    </w:p>
    <w:p w14:paraId="48E95726" w14:textId="77777777" w:rsidR="005B561C" w:rsidRPr="000F7C87" w:rsidRDefault="00000000">
      <w:pPr>
        <w:rPr>
          <w:szCs w:val="26"/>
        </w:rPr>
      </w:pPr>
      <w:r w:rsidRPr="000F7C87">
        <w:rPr>
          <w:szCs w:val="26"/>
        </w:rPr>
        <w:t>Thứ sáu, hoạt động khai thác có thu phí còn ở quy mô nhỏ: hai hợp đồng chuyển giao quyền sử dụng tác phẩm trong năm năm; các văn bằng, giấy chứng nhận hiện có chưa ghi nhận giao dịch chuyển giao quyền.</w:t>
      </w:r>
    </w:p>
    <w:p w14:paraId="48E95726" w14:textId="77777777" w:rsidR="005B561C" w:rsidRPr="000F7C87" w:rsidRDefault="00000000">
      <w:pPr>
        <w:rPr>
          <w:szCs w:val="26"/>
        </w:rPr>
      </w:pPr>
      <w:r w:rsidRPr="000F7C87">
        <w:rPr>
          <w:szCs w:val="26"/>
        </w:rPr>
        <w:t>Thứ bảy, quy trình nghiệm thu đề tài trước đây chủ yếu tập trung đánh giá mức độ hoàn thành nhiệm vụ chuyên môn và bài báo công bố, chưa tích hợp tiêu chí sàng lọc và định hướng đăng ký bảo hộ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2.5.3. Nguyên nhân của hạn chế</w:t>
      </w:r>
    </w:p>
    <w:p w14:paraId="0DE297E1" w14:textId="77777777" w:rsidR="005B561C" w:rsidRPr="000F7C87" w:rsidRDefault="00000000">
      <w:pPr>
        <w:keepNext/>
        <w:spacing w:before="200" w:after="100"/>
        <w:ind w:firstLine="0"/>
        <w:rPr>
          <w:szCs w:val="26"/>
        </w:rPr>
      </w:pPr>
      <w:r w:rsidRPr="000F7C87">
        <w:rPr>
          <w:b/>
          <w:szCs w:val="26"/>
        </w:rPr>
        <w:t>a) Nguyên nhân khách quan</w:t>
      </w:r>
    </w:p>
    <w:p w14:paraId="48E95726" w14:textId="77777777" w:rsidR="005B561C" w:rsidRPr="000F7C87" w:rsidRDefault="00000000">
      <w:pPr>
        <w:rPr>
          <w:szCs w:val="26"/>
        </w:rPr>
      </w:pPr>
      <w:r w:rsidRPr="000F7C87">
        <w:rPr>
          <w:szCs w:val="26"/>
        </w:rPr>
        <w:t>Thứ nhất, độ trễ thể chế trước sự thay đổi dồn dập của pháp luật quốc gia giai đoạn 2025 - 2026. Luật Khoa học, công nghệ và đổi mới sáng tạo số 93/2025/QH15 có hiệu lực từ ngày 01 tháng 10 năm 2025, Luật Giáo dục đại học số 125/2025/QH15 có hiệu lực từ ngày 01 tháng 01 năm 2026, Luật số 131/2025/QH15 sửa đổi Luật Sở hữu trí tuệ có hiệu lực từ ngày 01 tháng 4 năm 2026; tiếp đó là Kết luận số 51-KL/TW ngày 17 tháng 6 năm 2026 và Quyết định số 1624/QĐ-TTg ngày 21 tháng 8 năm 2026. Các quy chế ban hành năm 2021 và 2024 được xây dựng theo khung pháp luật tại thời điểm ban hành, nên từ cuối năm 2025 cần được rà soát để xác định phạm vi áp dụng theo luật mới. Nguyên nhân này giải thích nhu cầu cập nhật quy chế, không giải thích kết quả xác lập quyền giai đoạn 2021 - 2024, khi các luật mới chưa có hiệu lực.</w:t>
      </w:r>
    </w:p>
    <w:p w14:paraId="48E95726" w14:textId="77777777" w:rsidR="005B561C" w:rsidRPr="000F7C87" w:rsidRDefault="00000000">
      <w:pPr>
        <w:rPr>
          <w:szCs w:val="26"/>
        </w:rPr>
      </w:pPr>
      <w:r w:rsidRPr="000F7C87">
        <w:rPr>
          <w:szCs w:val="26"/>
        </w:rPr>
        <w:t>Thứ hai, thủ tục xác lập quyền sở hữu công nghiệp kéo dài và phát sinh chi phí tra cứu, soạn đơn, lệ phí, phí duy trì; là trường tư thục, Nhà trường tự cân đối các khoản này từ nguồn thu của mình.</w:t>
      </w:r>
    </w:p>
    <w:p w14:paraId="48E95726" w14:textId="77777777" w:rsidR="005B561C" w:rsidRPr="000F7C87" w:rsidRDefault="00000000">
      <w:pPr>
        <w:rPr>
          <w:szCs w:val="26"/>
        </w:rPr>
      </w:pPr>
      <w:r w:rsidRPr="000F7C87">
        <w:rPr>
          <w:szCs w:val="26"/>
        </w:rPr>
        <w:t>Thứ ba, cơ cấu ngành chủ yếu thuộc kinh tế, quản lý, ngôn ngữ, giáo dục và pháp luật, vốn chủ yếu tạo ra tác phẩm thuộc quyền tác giả; tiềm năng sở hữu công nghiệp tập trung ở lĩnh vực dược.</w:t>
      </w:r>
    </w:p>
    <w:p w14:paraId="48E95726" w14:textId="77777777" w:rsidR="005B561C" w:rsidRPr="000F7C87" w:rsidRDefault="00000000">
      <w:pPr>
        <w:rPr>
          <w:szCs w:val="26"/>
        </w:rPr>
      </w:pPr>
      <w:r w:rsidRPr="000F7C87">
        <w:rPr>
          <w:szCs w:val="26"/>
        </w:rPr>
        <w:t>Các nguyên nhân khách quan giải thích vì sao quy mô tài sản trí tuệ còn nhỏ, song chưa giải thích đầy đủ vì sao 6 đề tài mã số 2021 - 2024 có sản phẩm tiềm năng sở hữu công nghiệp chưa có đơn.</w:t>
      </w:r>
    </w:p>
    <w:p w14:paraId="0DE297E1" w14:textId="77777777" w:rsidR="005B561C" w:rsidRPr="000F7C87" w:rsidRDefault="00000000">
      <w:pPr>
        <w:keepNext/>
        <w:spacing w:before="200" w:after="100"/>
        <w:ind w:firstLine="0"/>
        <w:rPr>
          <w:szCs w:val="26"/>
        </w:rPr>
      </w:pPr>
      <w:r w:rsidRPr="000F7C87">
        <w:rPr>
          <w:b/>
          <w:szCs w:val="26"/>
        </w:rPr>
        <w:t>b) Nguyên nhân chủ quan</w:t>
      </w:r>
    </w:p>
    <w:p w14:paraId="48E95726" w14:textId="77777777" w:rsidR="005B561C" w:rsidRPr="000F7C87" w:rsidRDefault="00000000">
      <w:pPr>
        <w:rPr>
          <w:szCs w:val="26"/>
        </w:rPr>
      </w:pPr>
      <w:r w:rsidRPr="000F7C87">
        <w:rPr>
          <w:szCs w:val="26"/>
        </w:rPr>
        <w:t>Các nguyên nhân chủ quan dưới đây là nhận định rút ra từ hồ sơ hiện có, cần được kiểm chứng thêm bằng hồ sơ thực hiện quy chế và ý kiến của chủ nhiệm đề tài.</w:t>
      </w:r>
    </w:p>
    <w:p w14:paraId="48E95726" w14:textId="77777777" w:rsidR="005B561C" w:rsidRPr="000F7C87" w:rsidRDefault="00000000">
      <w:pPr>
        <w:rPr>
          <w:szCs w:val="26"/>
        </w:rPr>
      </w:pPr>
      <w:r w:rsidRPr="000F7C87">
        <w:rPr>
          <w:szCs w:val="26"/>
        </w:rPr>
        <w:t>Về quy trình, đây là khoảng trống kỹ thuật cốt lõi: thiếu một biểu mẫu rà soát tại thời điểm nghiệm thu. Biểu mẫu hiện hành ghi nhận tình trạng đăng ký nhưng chưa yêu cầu sàng lọc khả năng bảo hộ và tình trạng bộc lộ, nên việc khởi động thủ tục phụ thuộc nhiều vào sự chủ động của chủ nhiệm đề tài khi nộp hồ sơ tại Phòng Khoa học Công nghệ theo Điều 35 Quyết định 213; mức độ thực hiện nhiệm vụ nhận diện của Phòng theo Điều 11 Quyết định 217 chưa được đánh giá.</w:t>
      </w:r>
    </w:p>
    <w:p w14:paraId="48E95726" w14:textId="77777777" w:rsidR="005B561C" w:rsidRPr="000F7C87" w:rsidRDefault="00000000">
      <w:pPr>
        <w:rPr>
          <w:szCs w:val="26"/>
        </w:rPr>
      </w:pPr>
      <w:r w:rsidRPr="000F7C87">
        <w:rPr>
          <w:szCs w:val="26"/>
        </w:rPr>
        <w:t>Về thể chế, các văn bản được ban hành ở những thời điểm và cho những kênh tài trợ khác nhau, chưa xác định rõ phạm vi và thứ tự áp dụng giữa các quy định về lợi ích của tác giả.</w:t>
      </w:r>
    </w:p>
    <w:p w14:paraId="48E95726" w14:textId="77777777" w:rsidR="005B561C" w:rsidRPr="000F7C87" w:rsidRDefault="00000000">
      <w:pPr>
        <w:rPr>
          <w:szCs w:val="26"/>
        </w:rPr>
      </w:pPr>
      <w:r w:rsidRPr="000F7C87">
        <w:rPr>
          <w:szCs w:val="26"/>
        </w:rPr>
        <w:t>Về nguồn lực, quy chế đã có căn cứ chi lệ phí và chi thuê ngoài, nhưng chưa thấy dự toán riêng, cách tạm ứng, thanh toán khi đơn được nộp sau nghiệm thu và người chịu trách nhiệm đề xuất chi; đơn vị đầu mối chưa có vị trí chuyên trách về sở hữu trí tuệ.</w:t>
      </w:r>
    </w:p>
    <w:p w14:paraId="48E95726" w14:textId="77777777" w:rsidR="005B561C" w:rsidRPr="000F7C87" w:rsidRDefault="00000000">
      <w:pPr>
        <w:rPr>
          <w:szCs w:val="26"/>
        </w:rPr>
      </w:pPr>
      <w:r w:rsidRPr="000F7C87">
        <w:rPr>
          <w:szCs w:val="26"/>
        </w:rPr>
        <w:t>Về động lực, quy chế chi tiêu áp dụng giai đoạn 2021 - 2025 chưa có trong hồ sơ nên chưa đánh giá được vai trò của cơ chế khuyến khích đối với kết quả của kỳ. Quy chế chi tiêu nội bộ năm 2026 ghi nhận văn bằng khi được cấp và chưa có tiền thưởng cho văn bằng, trong khi bài báo quốc tế được thưởng ngay khi đăng; đây là rủi ro cho giai đoạn tới.</w:t>
      </w:r>
    </w:p>
    <w:p w14:paraId="48E95726" w14:textId="77777777" w:rsidR="005B561C" w:rsidRPr="000F7C87" w:rsidRDefault="00000000">
      <w:pPr>
        <w:rPr>
          <w:szCs w:val="26"/>
        </w:rPr>
      </w:pPr>
      <w:r w:rsidRPr="000F7C87">
        <w:rPr>
          <w:szCs w:val="26"/>
        </w:rPr>
        <w:t>Về tổ chức, việc phân công theo chức năng cho bốn đơn vị là hợp lý nhưng chưa có luồng hồ sơ liên thông giữa các đơn vị.</w:t>
      </w:r>
    </w:p>
    <w:p w14:paraId="48E95726" w14:textId="77777777" w:rsidR="005B561C" w:rsidRPr="000F7C87" w:rsidRDefault="00000000">
      <w:pPr>
        <w:rPr>
          <w:szCs w:val="26"/>
        </w:rPr>
      </w:pPr>
      <w:r w:rsidRPr="000F7C87">
        <w:rPr>
          <w:szCs w:val="26"/>
        </w:rPr>
        <w:t>Về dữ liệu, chưa có danh mục tài sản trí tuệ liên kết với danh mục đề tài nên đơn vị đầu mối chưa có công cụ phát hiện sản phẩm cần rà soát.</w:t>
      </w:r>
    </w:p>
    <w:p w14:paraId="48E95726" w14:textId="77777777" w:rsidR="005B561C" w:rsidRPr="000F7C87" w:rsidRDefault="00000000">
      <w:pPr>
        <w:rPr>
          <w:szCs w:val="26"/>
        </w:rPr>
      </w:pPr>
      <w:r w:rsidRPr="000F7C87">
        <w:rPr>
          <w:szCs w:val="26"/>
        </w:rPr>
        <w:t>Về con người, lực lượng nghiên cứu nòng cốt còn mỏng so với quy mô và chưa được bồi dưỡng chuyên sâu về nhận diện, bảo hộ tài sản trí tuệ.</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2.11. Giả thuyết về chuỗi nguyên nhân dẫn đến việc sản phẩm có tiềm năng chưa được đăng ký bảo hộ</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772000"/>
            <wp:docPr id="510" name="Picture 510"/>
            <wp:cNvGraphicFramePr>
              <a:graphicFrameLocks noChangeAspect="1"/>
            </wp:cNvGraphicFramePr>
            <a:graphic>
              <a:graphicData uri="http://schemas.openxmlformats.org/drawingml/2006/picture">
                <pic:pic>
                  <pic:nvPicPr>
                    <pic:cNvPr id="0" name="chuoi_nguyen_nhan.png"/>
                    <pic:cNvPicPr/>
                  </pic:nvPicPr>
                  <pic:blipFill>
                    <a:blip r:embed="rId21"/>
                    <a:stretch>
                      <a:fillRect/>
                    </a:stretch>
                  </pic:blipFill>
                  <pic:spPr>
                    <a:xfrm>
                      <a:off x="0" y="0"/>
                      <a:ext cx="5580000" cy="2772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kết quả phân tích tại Mục 2.2 và Mục 2.3. Các mắt xích là giả thuyết cần được kiểm chứng.</w:t>
      </w:r>
    </w:p>
    <w:p w14:paraId="48E95726" w14:textId="77777777" w:rsidR="005B561C" w:rsidRPr="000F7C87" w:rsidRDefault="00000000">
      <w:pPr>
        <w:rPr>
          <w:szCs w:val="26"/>
        </w:rPr>
      </w:pPr>
      <w:r w:rsidRPr="000F7C87">
        <w:rPr>
          <w:szCs w:val="26"/>
        </w:rPr>
        <w:t>Hình 2.11 trình bày các nguyên nhân chủ quan dưới dạng một chuỗi giả thuyết. Dữ liệu hiện có cho thấy sản phẩm tiềm năng đã được tạo ra, nên điểm nghẽn nhiều khả năng nằm ở khâu nối giữa nghiệm thu và đăng ký: khi chưa có bước sàng lọc tại nghiệm thu, việc nhận diện phụ thuộc vào sự chủ động của chủ nhiệm đề tài; khi chưa có dự toán và người chịu trách nhiệm đề xuất chi cho bước đăng ký, thủ tục khó được khởi động; nếu kết quả đã được công bố quá mười hai tháng, khả năng đăng ký sáng chế, giải pháp hữu ích không còn. Mỗi mắt xích cần được kiểm chứng bằng hồ sơ thực hiện Điều 10, Điều 11 Quyết định 217 và ý kiến của chủ nhiệm đề tài. Hệ thống giải pháp tại Chương 3 vì vậy ưu tiên bước sàng lọc tại thời điểm nghiệm thu và trước khi công bố, đồng thời thiết kế cách đo để kiểm chứng các giả thuyết này.</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2</w:t>
      </w:r>
    </w:p>
    <w:p w14:paraId="48E95726" w14:textId="77777777" w:rsidR="005B561C" w:rsidRPr="000F7C87" w:rsidRDefault="00000000">
      <w:pPr>
        <w:rPr>
          <w:szCs w:val="26"/>
        </w:rPr>
      </w:pPr>
      <w:r w:rsidRPr="000F7C87">
        <w:rPr>
          <w:szCs w:val="26"/>
        </w:rPr>
        <w:t>Chương 2 đã phân tích thực trạng quản lý quyền sở hữu trí tuệ tại Trường Đại học Thành Đô giai đoạn 2021 - 2025 trên cơ sở các danh mục thống kê, văn bản nội bộ và kế hoạch của Nhà trường. Kết quả cho thấy Nhà trường có tầm nhìn thể chế sớm, năng lực công bố tăng nhanh, 11 hồ sơ tài sản trí tuệ trong kỳ, trong đó 4 tài sản đã được cấp văn bằng, giấy chứng nhận và 5 kiểu dáng cần xác nhận trạng thái, hợp tác doanh nghiệp hiệu quả và trường hợp đầu tiên chuyển đề tài thành đơn sáng chế. Tiềm năng tài sản trí tuệ, nhất là ở khối ngành Y - Dược, là rõ ràng: 11 trên 38 đề tài có sản phẩm tiềm năng tạo lập tài sản trí tuệ, trong đó 9 thuộc sở hữu công nghiệp, trong khi mới 1 đề tài có đơn.</w:t>
      </w:r>
    </w:p>
    <w:p w14:paraId="48E95726" w14:textId="77777777" w:rsidR="005B561C" w:rsidRPr="000F7C87" w:rsidRDefault="00000000">
      <w:pPr>
        <w:rPr>
          <w:szCs w:val="26"/>
        </w:rPr>
      </w:pPr>
      <w:r w:rsidRPr="000F7C87">
        <w:rPr>
          <w:szCs w:val="26"/>
        </w:rPr>
        <w:t>Về khách quan, pháp luật thay đổi dồn dập trong giai đoạn 2025 - 2026 tạo ra độ trễ thể chế đối với các quy chế ban hành trước đó, làm phát sinh nhu cầu rà soát phạm vi áp dụng từ cuối năm 2025. Về chủ quan, Đề tài nhận định khoảng trống kỹ thuật cốt lõi là thiếu một biểu mẫu rà soát tại thời điểm nghiệm thu, cùng với việc chưa có dự toán riêng cho bước đăng ký, chưa thống nhất cách hiểu và thứ tự áp dụng các quy định về lợi ích của tác giả, và chưa có dữ liệu liên thông; các nhận định này cần được kiểm chứng trong quá trình triển khai. Đây là căn cứ để Chương 3 đề xuất hệ thống giải pháp, trong đó bước sàng lọc tại nghiệm thu và trước khi công bố, cùng việc hoàn thiện quy chế theo phạm vi áp dụng của luật mới, là hai điểm ưu tiên.</w:t>
      </w:r>
    </w:p>
    <w:p w14:paraId="07734D5E" w14:textId="77777777" w:rsidR="005B561C" w:rsidRPr="000F7C87" w:rsidRDefault="00000000">
      <w:pPr>
        <w:keepNext/>
        <w:pageBreakBefore/>
        <w:spacing w:after="80"/>
        <w:ind w:firstLine="0"/>
        <w:jc w:val="center"/>
        <w:outlineLvl w:val="0"/>
        <w:rPr>
          <w:szCs w:val="26"/>
        </w:rPr>
      </w:pPr>
      <w:r w:rsidRPr="000F7C87">
        <w:rPr>
          <w:b/>
          <w:szCs w:val="26"/>
        </w:rPr>
        <w:t>CHƯƠNG 3</w:t>
      </w:r>
      <w:r>
        <w:br/>
      </w:r>
      <w:r w:rsidRPr="000F7C87">
        <w:rPr>
          <w:b/>
          <w:szCs w:val="26"/>
        </w:rPr>
        <w:t>HỆ THỐNG GIẢI PHÁP NÂNG CAO HIỆU QUẢ</w:t>
      </w:r>
      <w:r>
        <w:br/>
      </w:r>
      <w:r w:rsidRPr="000F7C87">
        <w:rPr>
          <w:b/>
          <w:szCs w:val="26"/>
        </w:rPr>
        <w:t>QUẢN LÝ QUYỀN SỞ HỮU TRÍ TUỆ TẠI TRƯỜNG ĐẠI HỌC THÀNH ĐÔ</w:t>
      </w:r>
      <w:r>
        <w:br/>
      </w:r>
      <w:r w:rsidRPr="000F7C87">
        <w:rPr>
          <w:b/>
          <w:szCs w:val="26"/>
        </w:rPr>
        <w:t>ĐÁP ỨNG KHUNG PHÁP LÝ MỚI</w:t>
      </w:r>
    </w:p>
    <w:p w14:paraId="6067EC56" w14:textId="77777777" w:rsidR="005B561C" w:rsidRPr="000F7C87" w:rsidRDefault="00000000">
      <w:pPr>
        <w:keepNext/>
        <w:spacing w:before="280" w:after="160"/>
        <w:ind w:firstLine="0"/>
        <w:outlineLvl w:val="1"/>
        <w:rPr>
          <w:szCs w:val="26"/>
        </w:rPr>
      </w:pPr>
      <w:r w:rsidRPr="000F7C87">
        <w:rPr>
          <w:b/>
          <w:szCs w:val="26"/>
        </w:rPr>
        <w:t>3.1. Định hướng và nguyên tắc xây dựng hệ thống giải pháp</w:t>
      </w:r>
    </w:p>
    <w:p w14:paraId="0DE297E1" w14:textId="77777777" w:rsidR="005B561C" w:rsidRPr="000F7C87" w:rsidRDefault="00000000">
      <w:pPr>
        <w:keepNext/>
        <w:spacing w:before="200" w:after="100"/>
        <w:ind w:firstLine="0"/>
        <w:outlineLvl w:val="2"/>
        <w:rPr>
          <w:szCs w:val="26"/>
        </w:rPr>
      </w:pPr>
      <w:r w:rsidRPr="000F7C87">
        <w:rPr>
          <w:b/>
          <w:szCs w:val="26"/>
        </w:rPr>
        <w:t>3.1.1. Căn cứ quy phạm pháp luật và thể chế vĩ mô mới điều chỉnh công tác quản lý sở hữu trí tuệ</w:t>
      </w:r>
    </w:p>
    <w:p w14:paraId="48E95726" w14:textId="77777777" w:rsidR="005B561C" w:rsidRPr="000F7C87" w:rsidRDefault="00000000">
      <w:pPr>
        <w:rPr>
          <w:szCs w:val="26"/>
        </w:rPr>
      </w:pPr>
      <w:r w:rsidRPr="000F7C87">
        <w:rPr>
          <w:szCs w:val="26"/>
        </w:rPr>
        <w:t xml:space="preserve">Trường Đại học Thành Đô là cơ sở giáo dục đại học tư thục hoạt động theo định hướng ứng dụng. Trong giai đoạn phát triển mới, công tác quản lý quyền sở hữu trí tuệ của Nhà trường được đặt trong bối cảnh tái cấu trúc thể chế vĩ mô với các căn cứ pháp lý và chỉ đạo chiến lược nền tảng sau:</w:t>
      </w:r>
    </w:p>
    <w:p w14:paraId="48E95726" w14:textId="77777777" w:rsidR="005B561C" w:rsidRPr="000F7C87" w:rsidRDefault="00000000">
      <w:pPr>
        <w:rPr>
          <w:szCs w:val="26"/>
        </w:rPr>
      </w:pPr>
      <w:r w:rsidRPr="000F7C87">
        <w:rPr>
          <w:szCs w:val="26"/>
          <w:b/>
        </w:rPr>
        <w:t xml:space="preserve">Thứ nhất,</w:t>
      </w:r>
      <w:r w:rsidRPr="000F7C87">
        <w:rPr>
          <w:szCs w:val="26"/>
        </w:rPr>
        <w:t xml:space="preserve"> Kết luận số 51-KL/TW ngày 17 tháng 6 năm 2026 của Bộ Chính trị về đẩy mạnh công tác sở hữu trí tuệ phục vụ phát triển kinh tế - xã hội trong tình hình mới, tại Mục 2.1 nhấn mạnh yêu cầu: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 Đây là chỉ đạo mang tính định hướng tư duy quản trị xuyên suốt cho toàn bộ hệ thống giải pháp mà Đề tài xây dựng. Chỉ đạo này đặt ra cho các cơ sở giáo dục đại học nhiệm vụ kép: vừa là chủ thể sáng tạo tri thức, vừa là hạt nhân kiến tạo hệ sinh thái sở hữu trí tuệ trong khu vực.</w:t>
      </w:r>
    </w:p>
    <w:p w14:paraId="48E95726" w14:textId="77777777" w:rsidR="005B561C" w:rsidRPr="000F7C87" w:rsidRDefault="00000000">
      <w:pPr>
        <w:rPr>
          <w:szCs w:val="26"/>
        </w:rPr>
      </w:pPr>
      <w:r w:rsidRPr="000F7C87">
        <w:rPr>
          <w:szCs w:val="26"/>
          <w:b/>
        </w:rPr>
        <w:t xml:space="preserve">Thứ hai,</w:t>
      </w:r>
      <w:r w:rsidRPr="000F7C87">
        <w:rPr>
          <w:szCs w:val="26"/>
        </w:rPr>
        <w:t xml:space="preserve"> Luật Giáo dục đại học số 125/2025/QH15 đã mở rộng đáng kể quyền và nghĩa vụ của cơ sở giáo dục đại học trong lĩnh vực sở hữu trí tuệ. Cụ thể: điểm e khoản 3 Điều 27 xác định đăng ký bản quyền hoặc bảo hộ, khai thác và phát triển tài sản trí tuệ là một nội dung của hoạt động khoa học, công nghệ và đổi mới sáng tạo trong cơ sở giáo dục đại học; Điều 28 khoản 1 khẳng định cơ sở giáo dục đại học được thành lập tổ chức khoa học công nghệ, doanh nghiệp khoa học công nghệ, doanh nghiệp quản lý tài sản trí tuệ và vốn đầu tư vào doanh nghiệp khoa học công nghệ. Đặc biệt, Điều 28 khoản 2 điểm d quy định quyền thực hiện định giá, xác lập quyền sở hữu, khai thác, góp vốn, phân chia lợi ích từ tài sản trí tuệ; Điều 28 khoản 3 điểm đ quy định nghĩa vụ công khai năng lực, kết quả hoạt động khoa học, công nghệ và đổi mới sáng tạo và cập nhật hằng năm trên Nền tảng số quản lý khoa học, công nghệ và đổi mới sáng tạo quốc gia; điểm d khoản 3 Điều 28 giao trách nhiệm thành lập và vận hành Quỹ phát triển khoa học và công nghệ. Những quy định này tạo ra hành lang pháp lý đầy đủ để Trường Đại học Thành Đô chuyển đổi mô hình quản lý sở hữu trí tuệ từ mô hình hành chính sang mô hình doanh nghiệp quản lý tài sản.</w:t>
      </w:r>
    </w:p>
    <w:p w14:paraId="48E95726" w14:textId="77777777" w:rsidR="005B561C" w:rsidRPr="000F7C87" w:rsidRDefault="00000000">
      <w:pPr>
        <w:rPr>
          <w:szCs w:val="26"/>
        </w:rPr>
      </w:pPr>
      <w:r w:rsidRPr="000F7C87">
        <w:rPr>
          <w:szCs w:val="26"/>
          <w:b/>
        </w:rPr>
        <w:t xml:space="preserve">Thứ ba,</w:t>
      </w:r>
      <w:r w:rsidRPr="000F7C87">
        <w:rPr>
          <w:szCs w:val="26"/>
        </w:rPr>
        <w:t xml:space="preserve"> Luật Khoa học, công nghệ và đổi mới sáng tạo số 93/2025/QH15 có hiệu lực thi hành từ ngày 01 tháng 10 năm 2025 điều chỉnh hai cơ chế lợi ích của tác giả. Một là, tại điểm b và điểm h khoản 7 Điều 71, Luật sửa khoản 1 Điều 135 Luật Sở hữu trí tuệ: chủ sở hữu trả thù lao cho tác giả sáng chế, kiểu dáng công nghiệp, thiết kế bố trí theo thỏa thuận; nếu không có thỏa thuận thì mức thù lao là 10% lợi nhuận trước thuế khi chủ sở hữu tự sử dụng, hoặc 15% tổng số tiền nhận được mỗi lần trước thuế khi chuyển giao quyền sử dụng; khoản 2 Điều 135 bị bãi bỏ. Hai là, Điều 28 quy định phân chia lợi nhuận từ thương mại hóa theo nguồn hình thành: chủ sở hữu tự quyết định đối với phần không sử dụng ngân sách nhà nước; đối với phần sử dụng ngân sách nhà nước, tổ chức chủ trì dùng lợi nhuận sau thuế để thưởng cho tác giả tối thiểu 30%, thưởng cho người tổ chức thương mại hóa, tái đầu tư và mục đích khác, và tác giả sáng chế, kiểu dáng công nghiệp, thiết kế bố trí còn hưởng quyền lợi theo Luật Sở hữu trí tuệ; khoản 3 và khoản 7 Điều 73 quy định chuyển tiếp theo thời điểm giao nhiệm vụ. Bên cạnh đó, khoản 2 Điều 25 quy định tổ chức chủ trì nhiệm vụ sử dụng ngân sách nhà nước được Nhà nước tự động giao quyền quản lý, sử dụng, quyền sở hữu phần kết quả tương ứng, không phải bồi hoàn chi phí; Điều 27 cho phép tổ chức được giao quyền tự quyết định hình thức, giá và phân chia lợi nhuận khi thương mại hóa; điểm b khoản 2 Điều 66 cho phép quỹ phát triển khoa học và công nghệ của tổ chức chi cho đăng ký, bảo hộ, quản lý, khai thác quyền sở hữu trí tuệ. Các quy định này là căn cứ để rà soát điểm a khoản 4 Điều 36 Quyết định số 213/QĐ-ĐHTĐ, gồm mức trần 100 triệu đồng, khoản nộp ngân sách nhà nước và cơ sở tính, đối với các trường hợp thuộc phạm vi áp dụng của Luật mới, như phân tích tại Mục 2.2.1.</w:t>
      </w:r>
    </w:p>
    <w:p w14:paraId="48E95726" w14:textId="77777777" w:rsidR="005B561C" w:rsidRPr="000F7C87" w:rsidRDefault="00000000">
      <w:pPr>
        <w:rPr>
          <w:szCs w:val="26"/>
        </w:rPr>
      </w:pPr>
      <w:r w:rsidRPr="000F7C87">
        <w:rPr>
          <w:szCs w:val="26"/>
          <w:b/>
        </w:rPr>
        <w:t xml:space="preserve">Thứ tư,</w:t>
      </w:r>
      <w:r w:rsidRPr="000F7C87">
        <w:rPr>
          <w:szCs w:val="26"/>
        </w:rPr>
        <w:t xml:space="preserve"> Luật sửa đổi, bổ sung một số điều của Luật Sở hữu trí tuệ số 131/2025/QH15 có hiệu lực thi hành từ ngày 01 tháng 4 năm 2026,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đăng ký các đối tượng nêu trên là kết quả của các đề tài này; việc đăng ký cần được chuẩn bị trước khi kết quả được công bố.</w:t>
      </w:r>
    </w:p>
    <w:p w14:paraId="48E95726" w14:textId="77777777" w:rsidR="005B561C" w:rsidRPr="000F7C87" w:rsidRDefault="00000000">
      <w:pPr>
        <w:rPr>
          <w:szCs w:val="26"/>
        </w:rPr>
      </w:pPr>
      <w:r w:rsidRPr="000F7C87">
        <w:rPr>
          <w:szCs w:val="26"/>
          <w:b/>
        </w:rPr>
        <w:t xml:space="preserve">Thứ năm,</w:t>
      </w:r>
      <w:r w:rsidRPr="000F7C87">
        <w:rPr>
          <w:szCs w:val="26"/>
        </w:rPr>
        <w:t xml:space="preserve"> Quyết định số 1624/QĐ-TTg ngày 21 tháng 8 năm 2026 của Thủ tướng Chính phủ về việc sửa đổi, bổ sung Quyết định số 1068/QĐ-TTg về Chiến lược Sở hữu trí tuệ đến năm 2030 là văn bản có ý nghĩa đặc biệt quan trọng đối với hệ thống giáo dục đại học. Quyết định đặt ra 5 yêu cầu trực tiếp đối với cơ sở giáo dục đại học mà Nhà trường cần đáp ứng, được viện dẫn theo khoản, điểm của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1:</w:t>
      </w:r>
      <w:r w:rsidRPr="000F7C87">
        <w:rPr>
          <w:szCs w:val="26"/>
        </w:rPr>
        <w:t xml:space="preserve"> Sử dụng các chỉ số đo lường về sở hữu trí tuệ làm căn cứ đánh giá hiệu quả hoạt động của trường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2:</w:t>
      </w:r>
      <w:r w:rsidRPr="000F7C87">
        <w:rPr>
          <w:szCs w:val="26"/>
        </w:rPr>
        <w:t xml:space="preserve"> Xác định các đối tượng quyền sở hữu trí tuệ cần đạt được đối với các kết quả nghiên cứu sử dụng ngân sách nhà nước; đối với cơ sở giáo dục khối kỹ thuật, công nghệ, tiến hành thủ tục đăng ký bảo hộ đồng thời với việc công bố bài báo khoa học về các kết quả nghiên cứu có tính ứng dụng cao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3:</w:t>
      </w:r>
      <w:r w:rsidRPr="000F7C87">
        <w:rPr>
          <w:szCs w:val="26"/>
        </w:rPr>
        <w:t xml:space="preserve"> Thúc đẩy hình thành các trung tâm đổi mới sáng tạo ươm tạo các đối tượng quyền sở hữu trí tuệ từ khâu hình thành ý tưởng (điểm d khoản 4) và phát triển các trung tâm tư vấn, hỗ trợ định giá, khai thác thương mại quyền sở hữu trí tuệ trong cơ sở giáo dục đại học (điểm a khoản 6);</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4:</w:t>
      </w:r>
      <w:r w:rsidRPr="000F7C87">
        <w:rPr>
          <w:szCs w:val="26"/>
        </w:rPr>
        <w:t xml:space="preserve"> Xây dựng chương trình giáo dục, đào tạo về sở hữu trí tuệ và nghiên cứu đưa sở hữu trí tuệ, kỹ năng khai thác thương mại quyền sở hữu trí tuệ thành nội dung học bắt buộc tại các cơ sở giáo dục đại học (điểm b khoản 8);</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5:</w:t>
      </w:r>
      <w:r w:rsidRPr="000F7C87">
        <w:rPr>
          <w:szCs w:val="26"/>
        </w:rPr>
        <w:t xml:space="preserve"> Chuẩn bị tham gia Đề án tăng cường hoạt động sở hữu trí tuệ của cơ sở giáo dục đại học do Bộ Giáo dục và Đào tạo chủ trì, dự thảo trình phê duyệt trong quý II năm 2027 và thực hiện giai đoạn 2027 - 2030.</w:t>
      </w:r>
    </w:p>
    <w:p w14:paraId="48E95726" w14:textId="77777777" w:rsidR="005B561C" w:rsidRPr="000F7C87" w:rsidRDefault="00000000">
      <w:pPr>
        <w:rPr>
          <w:szCs w:val="26"/>
        </w:rPr>
      </w:pPr>
      <w:r w:rsidRPr="000F7C87">
        <w:rPr>
          <w:szCs w:val="26"/>
        </w:rPr>
        <w:t xml:space="preserve">Bên cạnh đó, theo thông tin được cung cấp, Nhà trường tham gia Mạng lưới Trung tâm Hỗ trợ công nghệ và đổi mới sáng tạo từ năm 2023; nếu được xác nhận bằng văn bản, tư cách này giúp Nhà trường tiếp cận cơ sở dữ liệu sáng chế phục vụ tra cứu và đánh giá tính mới của kết quả nghiên cứu.</w:t>
      </w:r>
    </w:p>
    <w:p w14:paraId="48E95726" w14:textId="77777777" w:rsidR="005B561C" w:rsidRPr="000F7C87" w:rsidRDefault="00000000">
      <w:pPr>
        <w:rPr>
          <w:szCs w:val="26"/>
        </w:rPr>
      </w:pPr>
      <w:r w:rsidRPr="000F7C87">
        <w:rPr>
          <w:szCs w:val="26"/>
          <w:b/>
        </w:rPr>
        <w:t xml:space="preserve">Thứ sáu,</w:t>
      </w:r>
      <w:r w:rsidRPr="000F7C87">
        <w:rPr>
          <w:szCs w:val="26"/>
        </w:rPr>
        <w:t xml:space="preserve"> Chỉ thị số 02/CT-TTg ngày 30 tháng 01 năm 2026 của Thủ tướng Chính phủ về tăng cường thực thi quyền sở hữu trí tuệ giao Bộ Khoa học và Công nghệ xây dựng cơ sở dữ liệu quốc gia về thực thi quyền sở hữu trí tuệ, đưa vào vận hành trong năm 2026, tăng cường ứng dụng trí tuệ nhân tạo và công nghệ chuỗi khối trong bảo vệ quyền, đồng thời giao Bộ Giáo dục và Đào tạo nghiên cứu đưa chương trình giáo dục về sở hữu trí tuệ vào các hệ, cấp học phù hợp, tạo thêm căn cứ cho việc xây dựng hạ tầng số hóa dữ liệu tài sản trí tuệ tại Nhà trường.</w:t>
      </w:r>
    </w:p>
    <w:p w14:paraId="0DE297E1" w14:textId="77777777" w:rsidR="005B561C" w:rsidRPr="000F7C87" w:rsidRDefault="00000000">
      <w:pPr>
        <w:keepNext/>
        <w:spacing w:before="200" w:after="100"/>
        <w:ind w:firstLine="0"/>
        <w:outlineLvl w:val="2"/>
        <w:rPr>
          <w:szCs w:val="26"/>
        </w:rPr>
      </w:pPr>
      <w:r w:rsidRPr="000F7C87">
        <w:rPr>
          <w:b/>
          <w:szCs w:val="26"/>
        </w:rPr>
        <w:t>3.1.2. Phân tích điểm mạnh, điểm yếu, thời cơ và thách thức</w:t>
      </w:r>
    </w:p>
    <w:p w14:paraId="48E95726" w14:textId="77777777" w:rsidR="005B561C" w:rsidRPr="000F7C87" w:rsidRDefault="00000000">
      <w:pPr>
        <w:rPr>
          <w:szCs w:val="26"/>
        </w:rPr>
      </w:pPr>
      <w:r w:rsidRPr="000F7C87">
        <w:rPr>
          <w:szCs w:val="26"/>
        </w:rPr>
        <w:t xml:space="preserve">Trước khi xác định nguyên tắc và giải pháp, Đề tài tổng hợp các yếu tố bên trong rút ra từ kết quả đánh giá tại Chương 2 và các yếu tố bên ngoài từ khung pháp lý, chủ trương và yêu cầu quản lý sắp có hiệu lực thành ma trận điểm mạnh, điểm yếu, thời cơ và thách thức, thường gọi là ma trận SWOT. Điểm mạnh và điểm yếu phản ánh những gì Nhà trường đang có trong giai đoạn 2021 - 2025; thời cơ và thách thức phản ánh những thay đổi bên ngoài tác động đến Nhà trường trong giai đoạn triển khai giải pháp, trong đó có Thông tư số 83/2026/TT-BGDĐT ngày 30 tháng 9 năm 2026 quy định Chuẩn cơ sở giáo dục đại học, có hiệu lực từ ngày 15 tháng 11 năm 2026 và thay thế Thông tư số 01/2024/TT-BGDĐT. Thông tư này chưa áp dụng cho giai đoạn đánh giá tại Chương 2 nên chỉ được xem xét ở góc độ thời cơ và thách thức. Kết quả tổng hợp được trình bày tại Bảng 3.1.</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3.1. Ma trận điểm mạnh, điểm yếu, thời cơ và thách thức trong quản lý quyền sở hữu trí tuệ tại Trường Đại học Thành Đô</w:t>
      </w:r>
    </w:p>
    <w:tbl>
      <w:tblPr>
        <w:tblStyle w:val="TableGrid"/>
        <w:tblW w:w="0" w:type="auto"/>
        <w:jc w:val="center"/>
        <w:tblLook w:val="04A0" w:firstRow="1" w:lastRow="0" w:firstColumn="1" w:lastColumn="0" w:noHBand="0" w:noVBand="1"/>
      </w:tblPr>
      <w:tblGrid>
        <w:gridCol w:w="4535"/>
        <w:gridCol w:w="4535"/>
      </w:tblGrid>
      <w:tr>
        <w:trPr>
          <w:tblHeader/>
          <w:cantSplit/>
        </w:trPr>
        <w:tc>
          <w:tcPr>
            <w:tcW w:w="4535" w:type="dxa"/>
            <w:shd w:val="clear" w:color="auto" w:fill="DCE8F7"/>
            <w:vAlign w:val="center"/>
          </w:tcPr>
          <w:p>
            <w:pPr>
              <w:spacing w:before="20" w:after="20" w:line="252" w:lineRule="auto"/>
              <w:ind w:firstLine="0"/>
              <w:jc w:val="center"/>
            </w:pPr>
            <w:r>
              <w:rPr>
                <w:b/>
                <w:sz w:val="24"/>
              </w:rPr>
              <w:t xml:space="preserve">Điểm mạnh</w:t>
            </w:r>
          </w:p>
        </w:tc>
        <w:tc>
          <w:tcPr>
            <w:tcW w:w="4535" w:type="dxa"/>
            <w:shd w:val="clear" w:color="auto" w:fill="DCE8F7"/>
            <w:vAlign w:val="center"/>
          </w:tcPr>
          <w:p>
            <w:pPr>
              <w:spacing w:before="20" w:after="20" w:line="252" w:lineRule="auto"/>
              <w:ind w:firstLine="0"/>
              <w:jc w:val="center"/>
            </w:pPr>
            <w:r>
              <w:rPr>
                <w:b/>
                <w:sz w:val="24"/>
              </w:rPr>
              <w:t xml:space="preserve">Điểm yếu</w:t>
            </w:r>
          </w:p>
        </w:tc>
      </w:tr>
      <w:tr>
        <w:trPr/>
        <w:tc>
          <w:tcPr>
            <w:tcW w:w="4535" w:type="dxa"/>
            <w:vAlign w:val="center"/>
          </w:tcPr>
          <w:p>
            <w:pPr>
              <w:spacing w:before="20" w:after="20" w:line="252" w:lineRule="auto"/>
              <w:ind w:firstLine="0"/>
              <w:jc w:val="left"/>
            </w:pPr>
            <w:r>
              <w:rPr>
                <w:b/>
                <w:sz w:val="24"/>
              </w:rPr>
              <w:t xml:space="preserve">1. Có quy định nội bộ từ sớm:</w:t>
            </w:r>
            <w:r>
              <w:rPr>
                <w:sz w:val="24"/>
              </w:rPr>
              <w:t xml:space="preserve"> Quyết định 213 năm 2021 có chương riêng về sở hữu trí tuệ; Quyết định 217 năm 2024 là quy chế chuyên biệt, phạm vi tài sản rộng, đã quy định công bố, bảo mật, phân công đầu mối và hành vi xâm phạm quyền tác giả.</w:t>
            </w:r>
          </w:p>
          <w:p>
            <w:pPr>
              <w:spacing w:before="20" w:after="20" w:line="252" w:lineRule="auto"/>
              <w:ind w:firstLine="0"/>
              <w:jc w:val="left"/>
            </w:pPr>
            <w:r>
              <w:rPr>
                <w:b/>
                <w:sz w:val="24"/>
              </w:rPr>
              <w:t xml:space="preserve">2. Năng lực nghiên cứu tăng nhanh:</w:t>
            </w:r>
            <w:r>
              <w:rPr>
                <w:sz w:val="24"/>
              </w:rPr>
              <w:t xml:space="preserve"> số bài báo tăng từ 23 lên 161 bài giai đoạn 2021 - 2025; 71 trên 115 bài quốc tế có phân hạng Q; 6 trên 9 chỉ tiêu xác định được của Kế hoạch 07/KH-ĐHTĐ đạt hoặc vượt.</w:t>
            </w:r>
          </w:p>
          <w:p>
            <w:pPr>
              <w:spacing w:before="20" w:after="20" w:line="252" w:lineRule="auto"/>
              <w:ind w:firstLine="0"/>
              <w:jc w:val="left"/>
            </w:pPr>
            <w:r>
              <w:rPr>
                <w:b/>
                <w:sz w:val="24"/>
              </w:rPr>
              <w:t xml:space="preserve">3. Đã có sản phẩm tiềm năng bảo hộ:</w:t>
            </w:r>
            <w:r>
              <w:rPr>
                <w:sz w:val="24"/>
              </w:rPr>
              <w:t xml:space="preserve"> 11 trên 38 đề tài cấp cơ sở, trong đó 9 thuộc sở hữu công nghiệp và 8 có thể phù hợp với giải pháp hữu ích, tập trung ở lĩnh vực dược với 42 người trình độ tiến sĩ và tương đương tại Viện Y - Dược.</w:t>
            </w:r>
          </w:p>
          <w:p>
            <w:pPr>
              <w:spacing w:before="20" w:after="20" w:line="252" w:lineRule="auto"/>
              <w:ind w:firstLine="0"/>
              <w:jc w:val="left"/>
            </w:pPr>
            <w:r>
              <w:rPr>
                <w:b/>
                <w:sz w:val="24"/>
              </w:rPr>
              <w:t xml:space="preserve">4. Kênh chuyển hóa và hợp tác doanh nghiệp đã có kết quả:</w:t>
            </w:r>
            <w:r>
              <w:rPr>
                <w:sz w:val="24"/>
              </w:rPr>
              <w:t xml:space="preserve"> 1 đơn sáng chế từ đề tài năm 2025 và 1 đơn năm 2026; 4 văn bằng, giấy chứng nhận đã cấp; 5 kiểu dáng công nghiệp và 1 đơn nhãn hiệu từ chiến lược hợp tác doanh nghiệp mà Ban Giám hiệu đã dày công kết nối.</w:t>
            </w:r>
          </w:p>
          <w:p>
            <w:pPr>
              <w:spacing w:before="20" w:after="20" w:line="252" w:lineRule="auto"/>
              <w:ind w:firstLine="0"/>
              <w:jc w:val="left"/>
            </w:pPr>
            <w:r>
              <w:rPr>
                <w:b/>
                <w:sz w:val="24"/>
              </w:rPr>
              <w:t xml:space="preserve">5. Quy chế và biểu mẫu đã có nền tảng:</w:t>
            </w:r>
            <w:r>
              <w:rPr>
                <w:sz w:val="24"/>
              </w:rPr>
              <w:t xml:space="preserve"> Điều 35, Điều 38 Quyết định 213 có căn cứ chi lệ phí, thuê ngoài; biểu mẫu đề xuất, thuyết minh, hợp đồng, nghiệm thu đã có mục đăng ký sở hữu trí tuệ; 3 đề tài cấp quốc gia tổng 4,67 tỷ đồng; Quỹ Học bổng sau tiến sĩ Ngô Xuân Độ theo thông tin được cung cấp.</w:t>
            </w:r>
          </w:p>
        </w:tc>
        <w:tc>
          <w:tcPr>
            <w:tcW w:w="4535" w:type="dxa"/>
            <w:vAlign w:val="center"/>
          </w:tcPr>
          <w:p>
            <w:pPr>
              <w:spacing w:before="20" w:after="20" w:line="252" w:lineRule="auto"/>
              <w:ind w:firstLine="0"/>
              <w:jc w:val="left"/>
            </w:pPr>
            <w:r>
              <w:rPr>
                <w:b/>
                <w:sz w:val="24"/>
              </w:rPr>
              <w:t xml:space="preserve">1. Chuyển hóa chưa tương xứng tiềm năng:</w:t>
            </w:r>
            <w:r>
              <w:rPr>
                <w:sz w:val="24"/>
              </w:rPr>
              <w:t xml:space="preserve"> 1 trên 9 đề tài có sản phẩm tiềm năng sở hữu công nghiệp có đơn; 6 đề tài mã số 2021 - 2024 có sản phẩm tiềm năng sở hữu công nghiệp chưa có đơn.</w:t>
            </w:r>
          </w:p>
          <w:p>
            <w:pPr>
              <w:spacing w:before="20" w:after="20" w:line="252" w:lineRule="auto"/>
              <w:ind w:firstLine="0"/>
              <w:jc w:val="left"/>
            </w:pPr>
            <w:r>
              <w:rPr>
                <w:b/>
                <w:sz w:val="24"/>
              </w:rPr>
              <w:t xml:space="preserve">2. Quy định chưa làm rõ phạm vi áp dụng sau thay đổi pháp luật:</w:t>
            </w:r>
            <w:r>
              <w:rPr>
                <w:sz w:val="24"/>
              </w:rPr>
              <w:t xml:space="preserve"> chưa thống nhất thứ tự áp dụng các quy định về lợi ích của tác giả, chưa phân biệt thưởng, thù lao, phần chia nguồn thu; điểm a Điều 36 Quyết định 213 cần rà soát theo Điều 28, Điều 73 Luật số 93/2025/QH15; biểu mẫu chưa có nội dung sàng lọc khả năng bảo hộ.</w:t>
            </w:r>
          </w:p>
          <w:p>
            <w:pPr>
              <w:spacing w:before="20" w:after="20" w:line="252" w:lineRule="auto"/>
              <w:ind w:firstLine="0"/>
              <w:jc w:val="left"/>
            </w:pPr>
            <w:r>
              <w:rPr>
                <w:b/>
                <w:sz w:val="24"/>
              </w:rPr>
              <w:t xml:space="preserve">3. Phối hợp chưa liên thông:</w:t>
            </w:r>
            <w:r>
              <w:rPr>
                <w:sz w:val="24"/>
              </w:rPr>
              <w:t xml:space="preserve"> chức năng phân công cho 4 đơn vị nhưng chưa có luồng hồ sơ chung; chưa có vị trí chuyên trách sở hữu trí tuệ.</w:t>
            </w:r>
          </w:p>
          <w:p>
            <w:pPr>
              <w:spacing w:before="20" w:after="20" w:line="252" w:lineRule="auto"/>
              <w:ind w:firstLine="0"/>
              <w:jc w:val="left"/>
            </w:pPr>
            <w:r>
              <w:rPr>
                <w:b/>
                <w:sz w:val="24"/>
              </w:rPr>
              <w:t xml:space="preserve">4. Kinh phí cho bước đăng ký chưa được dự toán riêng:</w:t>
            </w:r>
            <w:r>
              <w:rPr>
                <w:sz w:val="24"/>
              </w:rPr>
              <w:t xml:space="preserve"> quy chế có căn cứ chi nhưng chưa thấy dự toán, cách tạm ứng và người đề xuất chi; theo Quy chế chi tiêu nội bộ năm 2026, văn bằng chưa có tiền thưởng và chỉ được ghi nhận khi được cấp.</w:t>
            </w:r>
          </w:p>
          <w:p>
            <w:pPr>
              <w:spacing w:before="20" w:after="20" w:line="252" w:lineRule="auto"/>
              <w:ind w:firstLine="0"/>
              <w:jc w:val="left"/>
            </w:pPr>
            <w:r>
              <w:rPr>
                <w:b/>
                <w:sz w:val="24"/>
              </w:rPr>
              <w:t xml:space="preserve">5. Dữ liệu và khai thác yếu:</w:t>
            </w:r>
            <w:r>
              <w:rPr>
                <w:sz w:val="24"/>
              </w:rPr>
              <w:t xml:space="preserve"> chưa có danh mục tài sản trí tuệ trong hệ thống thống kê, trạng thái 5 kiểu dáng chưa thống nhất, 7 trên 16 tiêu chí chưa tính được; khai thác có thu phí mới có 2 hợp đồng.</w:t>
            </w:r>
          </w:p>
        </w:tc>
      </w:tr>
      <w:tr>
        <w:trPr/>
        <w:tc>
          <w:tcPr>
            <w:tcW w:w="4535" w:type="dxa"/>
            <w:shd w:val="clear" w:color="auto" w:fill="DCE8F7"/>
            <w:vAlign w:val="center"/>
          </w:tcPr>
          <w:p>
            <w:pPr>
              <w:spacing w:before="20" w:after="20" w:line="252" w:lineRule="auto"/>
              <w:ind w:firstLine="0"/>
              <w:jc w:val="center"/>
            </w:pPr>
            <w:r>
              <w:rPr>
                <w:b/>
                <w:sz w:val="24"/>
              </w:rPr>
              <w:t xml:space="preserve">Thời cơ</w:t>
            </w:r>
          </w:p>
        </w:tc>
        <w:tc>
          <w:tcPr>
            <w:tcW w:w="4535" w:type="dxa"/>
            <w:shd w:val="clear" w:color="auto" w:fill="DCE8F7"/>
            <w:vAlign w:val="center"/>
          </w:tcPr>
          <w:p>
            <w:pPr>
              <w:spacing w:before="20" w:after="20" w:line="252" w:lineRule="auto"/>
              <w:ind w:firstLine="0"/>
              <w:jc w:val="center"/>
            </w:pPr>
            <w:r>
              <w:rPr>
                <w:b/>
                <w:sz w:val="24"/>
              </w:rPr>
              <w:t xml:space="preserve">Thách thức</w:t>
            </w:r>
          </w:p>
        </w:tc>
      </w:tr>
      <w:tr>
        <w:trPr/>
        <w:tc>
          <w:tcPr>
            <w:tcW w:w="4535" w:type="dxa"/>
            <w:vAlign w:val="center"/>
          </w:tcPr>
          <w:p>
            <w:pPr>
              <w:spacing w:before="20" w:after="20" w:line="252" w:lineRule="auto"/>
              <w:ind w:firstLine="0"/>
              <w:jc w:val="left"/>
            </w:pPr>
            <w:r>
              <w:rPr>
                <w:b/>
                <w:sz w:val="24"/>
              </w:rPr>
              <w:t xml:space="preserve">1. Khung pháp luật mới trao quyền:</w:t>
            </w:r>
            <w:r>
              <w:rPr>
                <w:sz w:val="24"/>
              </w:rPr>
              <w:t xml:space="preserve"> Luật số 93/2025/QH15 tự động giao quyền sở hữu kết quả cho tổ chức chủ trì, kể cả tổ chức ngoài công lập, và cho phép quỹ phát triển khoa học và công nghệ chi cho bảo hộ sở hữu trí tuệ; điểm c khoản 1 Điều 86 do Luật số 131/2025/QH15 bổ sung trao quyền đăng ký cho tổ chức chủ trì; Điều 28 Luật Giáo dục đại học số 125/2025/QH15 cho phép thành lập doanh nghiệp, định giá, góp vốn bằng tài sản trí tuệ.</w:t>
            </w:r>
          </w:p>
          <w:p>
            <w:pPr>
              <w:spacing w:before="20" w:after="20" w:line="252" w:lineRule="auto"/>
              <w:ind w:firstLine="0"/>
              <w:jc w:val="left"/>
            </w:pPr>
            <w:r>
              <w:rPr>
                <w:b/>
                <w:sz w:val="24"/>
              </w:rPr>
              <w:t xml:space="preserve">2. Chủ trương chiến lược thuận lợi:</w:t>
            </w:r>
            <w:r>
              <w:rPr>
                <w:sz w:val="24"/>
              </w:rPr>
              <w:t xml:space="preserve"> Kết luận số 51-KL/TW; Quyết định số 1624/QĐ-TTg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
          <w:p>
            <w:pPr>
              <w:spacing w:before="20" w:after="20" w:line="252" w:lineRule="auto"/>
              <w:ind w:firstLine="0"/>
              <w:jc w:val="left"/>
            </w:pPr>
            <w:r>
              <w:rPr>
                <w:b/>
                <w:sz w:val="24"/>
              </w:rPr>
              <w:t xml:space="preserve">3. Chuẩn cơ sở giáo dục đại học mới định giá văn bằng cao hơn:</w:t>
            </w:r>
            <w:r>
              <w:rPr>
                <w:sz w:val="24"/>
              </w:rPr>
              <w:t xml:space="preserve"> bằng giải pháp hữu ích được tính 3 sản phẩm quy đổi thay cho 1, bằng sáng chế 5 sản phẩm; khoản thu từ thương mại hóa kết quả nghiên cứu, sở hữu trí tuệ được tách riêng.</w:t>
            </w:r>
          </w:p>
          <w:p>
            <w:pPr>
              <w:spacing w:before="20" w:after="20" w:line="252" w:lineRule="auto"/>
              <w:ind w:firstLine="0"/>
              <w:jc w:val="left"/>
            </w:pPr>
            <w:r>
              <w:rPr>
                <w:b/>
                <w:sz w:val="24"/>
              </w:rPr>
              <w:t xml:space="preserve">4. Hạ tầng hỗ trợ mở rộng:</w:t>
            </w:r>
            <w:r>
              <w:rPr>
                <w:sz w:val="24"/>
              </w:rPr>
              <w:t xml:space="preserve"> Mạng lưới Trung tâm Hỗ trợ công nghệ và đổi mới sáng tạo; cơ sở dữ liệu quốc gia về thực thi quyền sở hữu trí tuệ theo Chỉ thị số 02/CT-TTg; Nghị định số 134/2026/NĐ-CP làm rõ quyền tác giả khi có sử dụng trí tuệ nhân tạo.</w:t>
            </w:r>
          </w:p>
          <w:p>
            <w:pPr>
              <w:spacing w:before="20" w:after="20" w:line="252" w:lineRule="auto"/>
              <w:ind w:firstLine="0"/>
              <w:jc w:val="left"/>
            </w:pPr>
            <w:r>
              <w:rPr>
                <w:b/>
                <w:sz w:val="24"/>
              </w:rPr>
              <w:t xml:space="preserve">5. Kênh hợp tác doanh nghiệp sẵn có:</w:t>
            </w:r>
            <w:r>
              <w:rPr>
                <w:sz w:val="24"/>
              </w:rPr>
              <w:t xml:space="preserve"> đối tác đã cùng Nhà trường có 6 hồ sơ đồng sở hữu, có thể trở thành kênh thương mại hóa cho sản phẩm dược liệu.</w:t>
            </w:r>
          </w:p>
        </w:tc>
        <w:tc>
          <w:tcPr>
            <w:tcW w:w="4535" w:type="dxa"/>
            <w:vAlign w:val="center"/>
          </w:tcPr>
          <w:p>
            <w:pPr>
              <w:spacing w:before="20" w:after="20" w:line="252" w:lineRule="auto"/>
              <w:ind w:firstLine="0"/>
              <w:jc w:val="left"/>
            </w:pPr>
            <w:r>
              <w:rPr>
                <w:b/>
                <w:sz w:val="24"/>
              </w:rPr>
              <w:t xml:space="preserve">1. Yêu cầu tuân thủ tăng từ ngày 15 tháng 11 năm 2026:</w:t>
            </w:r>
            <w:r>
              <w:rPr>
                <w:sz w:val="24"/>
              </w:rPr>
              <w:t xml:space="preserve"> nội dung quản trị bắt buộc về sở hữu trí tuệ, liêm chính khoa học, liêm chính học thuật; dữ liệu kết quả hoạt động phải nhất quán trên HEMIS; kết quả tự đánh giá phải công bố trước ngày 31 tháng 5 hằng năm.</w:t>
            </w:r>
          </w:p>
          <w:p>
            <w:pPr>
              <w:spacing w:before="20" w:after="20" w:line="252" w:lineRule="auto"/>
              <w:ind w:firstLine="0"/>
              <w:jc w:val="left"/>
            </w:pPr>
            <w:r>
              <w:rPr>
                <w:b/>
                <w:sz w:val="24"/>
              </w:rPr>
              <w:t xml:space="preserve">2. Sức ép công bố quốc tế:</w:t>
            </w:r>
            <w:r>
              <w:rPr>
                <w:sz w:val="24"/>
              </w:rPr>
              <w:t xml:space="preserve"> ngưỡng công bố WoS, Scopus là 0,3 trên một giảng viên quy đổi, ước tính năm 2025 của Nhà trường khoảng 0,31 và văn bằng không được tính; nguy cơ công bố trước khi nộp đơn làm mất tính mới sau mười hai tháng.</w:t>
            </w:r>
          </w:p>
          <w:p>
            <w:pPr>
              <w:spacing w:before="20" w:after="20" w:line="252" w:lineRule="auto"/>
              <w:ind w:firstLine="0"/>
              <w:jc w:val="left"/>
            </w:pPr>
            <w:r>
              <w:rPr>
                <w:b/>
                <w:sz w:val="24"/>
              </w:rPr>
              <w:t xml:space="preserve">3. Thủ tục dài, chi phí tự cân đối:</w:t>
            </w:r>
            <w:r>
              <w:rPr>
                <w:sz w:val="24"/>
              </w:rPr>
              <w:t xml:space="preserve"> thẩm định hình thức, công bố đơn, thẩm định nội dung theo Điều 119 Luật Sở hữu trí tuệ kéo dài nhiều tháng, phát sinh chi phí tra cứu, soạn đơn, lệ phí và duy trì; là trường tư thục, Nhà trường phải tự cân đối từ nguồn thu của mình.</w:t>
            </w:r>
          </w:p>
          <w:p>
            <w:pPr>
              <w:spacing w:before="20" w:after="20" w:line="252" w:lineRule="auto"/>
              <w:ind w:firstLine="0"/>
              <w:jc w:val="left"/>
            </w:pPr>
            <w:r>
              <w:rPr>
                <w:b/>
                <w:sz w:val="24"/>
              </w:rPr>
              <w:t xml:space="preserve">4. Pháp luật thay đổi nhanh, hướng dẫn chưa đồng bộ:</w:t>
            </w:r>
            <w:r>
              <w:rPr>
                <w:sz w:val="24"/>
              </w:rPr>
              <w:t xml:space="preserve"> sáu văn bản lớn trong giai đoạn 2025 - 2026; bảng tổng hợp cuối Phụ lục II Thông tư số 83/2026/TT-BGDĐT chưa nêu giải pháp hữu ích dù công thức đã tính.</w:t>
            </w:r>
          </w:p>
          <w:p>
            <w:pPr>
              <w:spacing w:before="20" w:after="20" w:line="252" w:lineRule="auto"/>
              <w:ind w:firstLine="0"/>
              <w:jc w:val="left"/>
            </w:pPr>
            <w:r>
              <w:rPr>
                <w:b/>
                <w:sz w:val="24"/>
              </w:rPr>
              <w:t xml:space="preserve">5. Yêu cầu tự chủ năng lực và rủi ro tranh chấp:</w:t>
            </w:r>
            <w:r>
              <w:rPr>
                <w:sz w:val="24"/>
              </w:rPr>
              <w:t xml:space="preserve">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r>
    </w:tbl>
    <w:p w14:paraId="645FDCAF" w14:textId="77777777" w:rsidR="005B561C" w:rsidRPr="000F7C87" w:rsidRDefault="00000000">
      <w:pPr>
        <w:spacing w:after="160"/>
        <w:ind w:firstLine="0"/>
        <w:rPr>
          <w:szCs w:val="26"/>
        </w:rPr>
      </w:pPr>
      <w:r w:rsidRPr="000F7C87">
        <w:rPr>
          <w:i/>
          <w:szCs w:val="26"/>
        </w:rPr>
        <w:t>Nguồn: Nhóm nghiên cứu tổng hợp từ kết quả Chương 2 và các văn bản nêu tại Mục 3.1.1. Ước tính chỉ số công bố tạm lấy 145 giảng viên theo danh sách năm 2026, quy đổi được 128,0 giảng viên theo Bảng 1 Phụ lục I Thông tư số 83/2026/TT-BGDĐT, coi 40 bài báo có phân hạng Q năm 2025 là bài thuộc WoS hoặc Scopus, chưa áp dụng hệ số lĩnh vực.</w:t>
      </w:r>
    </w:p>
    <w:p w14:paraId="48E95726" w14:textId="77777777" w:rsidR="005B561C" w:rsidRPr="000F7C87" w:rsidRDefault="00000000">
      <w:pPr>
        <w:rPr>
          <w:szCs w:val="26"/>
        </w:rPr>
      </w:pPr>
      <w:r w:rsidRPr="000F7C87">
        <w:rPr>
          <w:szCs w:val="26"/>
        </w:rPr>
        <w:t xml:space="preserve">Bảng 3.1 cho thấy ba đặc điểm. Thứ nhất, điểm mạnh của Nhà trường nằm ở nền tảng và đầu vào: quy chế đã có, năng lực nghiên cứu tăng, sản phẩm có tiềm năng bảo hộ đã hình thành và quy chế đã có căn cứ chi; điểm yếu nằm ở khâu nối và khâu vận hành: quy trình, động lực, bộ máy và dữ liệu. Thứ hai, phần lớn thời cơ bên ngoài đòi hỏi đúng những năng lực mà Nhà trường đang yếu: quyền đăng ký, định giá, góp vốn và chỉ số văn bằng chỉ tạo ra giá trị khi có quy trình nhận diện và nộp đơn vận hành thường xuyên. Thứ ba, sức ép thời gian là thách thức rõ nhất: yêu cầu tuân thủ của Chuẩn mới có hiệu lực ngay trong năm 2026, còn sức ép công bố quốc tế có thể làm mất tính mới của chính các sản phẩm có tiềm năng bảo hộ.</w:t>
      </w:r>
    </w:p>
    <w:p w14:paraId="48E95726" w14:textId="77777777" w:rsidR="005B561C" w:rsidRPr="000F7C87" w:rsidRDefault="00000000">
      <w:pPr>
        <w:rPr>
          <w:szCs w:val="26"/>
        </w:rPr>
      </w:pPr>
      <w:r w:rsidRPr="000F7C87">
        <w:rPr>
          <w:szCs w:val="26"/>
        </w:rPr>
        <w:t xml:space="preserve">Kết hợp các yếu tố bên trong và bên ngoài, Đề tài xác định bốn nhóm phương án tại Bảng 3.2, làm căn cứ lựa chọn và sắp xếp thứ tự ưu tiên của năm nhóm giải pháp tại Mục 3.2.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3.2. Các phương án kết hợp từ ma trận và giải pháp tương ứng</w:t>
      </w:r>
    </w:p>
    <w:tbl>
      <w:tblPr>
        <w:tblStyle w:val="TableGrid"/>
        <w:tblW w:w="0" w:type="auto"/>
        <w:jc w:val="center"/>
        <w:tblLook w:val="04A0" w:firstRow="1" w:lastRow="0" w:firstColumn="1" w:lastColumn="0" w:noHBand="0" w:noVBand="1"/>
      </w:tblPr>
      <w:tblGrid>
        <w:gridCol w:w="2055"/>
        <w:gridCol w:w="5562"/>
        <w:gridCol w:w="1451"/>
      </w:tblGrid>
      <w:tr>
        <w:trPr>
          <w:tblHeader/>
          <w:cantSplit/>
        </w:trPr>
        <w:tc>
          <w:tcPr>
            <w:tcW w:w="2055" w:type="dxa"/>
            <w:shd w:val="clear" w:color="auto" w:fill="DCE8F7"/>
            <w:vAlign w:val="center"/>
          </w:tcPr>
          <w:p>
            <w:pPr>
              <w:spacing w:before="20" w:after="20" w:line="252" w:lineRule="auto"/>
              <w:ind w:firstLine="0"/>
              <w:jc w:val="center"/>
            </w:pPr>
            <w:r>
              <w:rPr>
                <w:b/>
                <w:sz w:val="24"/>
              </w:rPr>
              <w:t xml:space="preserve">Nhóm phương án</w:t>
            </w:r>
          </w:p>
        </w:tc>
        <w:tc>
          <w:tcPr>
            <w:tcW w:w="5562" w:type="dxa"/>
            <w:shd w:val="clear" w:color="auto" w:fill="DCE8F7"/>
            <w:vAlign w:val="center"/>
          </w:tcPr>
          <w:p>
            <w:pPr>
              <w:spacing w:before="20" w:after="20" w:line="252" w:lineRule="auto"/>
              <w:ind w:firstLine="0"/>
              <w:jc w:val="center"/>
            </w:pPr>
            <w:r>
              <w:rPr>
                <w:b/>
                <w:sz w:val="24"/>
              </w:rPr>
              <w:t xml:space="preserve">Nội dung phương án</w:t>
            </w:r>
          </w:p>
        </w:tc>
        <w:tc>
          <w:tcPr>
            <w:tcW w:w="1451" w:type="dxa"/>
            <w:shd w:val="clear" w:color="auto" w:fill="DCE8F7"/>
            <w:vAlign w:val="center"/>
          </w:tcPr>
          <w:p>
            <w:pPr>
              <w:spacing w:before="20" w:after="20" w:line="252" w:lineRule="auto"/>
              <w:ind w:firstLine="0"/>
              <w:jc w:val="center"/>
            </w:pPr>
            <w:r>
              <w:rPr>
                <w:b/>
                <w:sz w:val="24"/>
              </w:rPr>
              <w:t xml:space="preserve">Giải pháp tương ứng</w:t>
            </w:r>
          </w:p>
        </w:tc>
      </w:tr>
      <w:tr>
        <w:trPr/>
        <w:tc>
          <w:tcPr>
            <w:tcW w:w="2055" w:type="dxa"/>
            <w:vAlign w:val="center"/>
          </w:tcPr>
          <w:p>
            <w:pPr>
              <w:spacing w:before="20" w:after="20" w:line="252" w:lineRule="auto"/>
              <w:ind w:firstLine="0"/>
              <w:jc w:val="left"/>
            </w:pPr>
            <w:r>
              <w:rPr>
                <w:sz w:val="24"/>
              </w:rPr>
              <w:t xml:space="preserve">Phát huy điểm mạnh để tận dụng thời cơ</w:t>
            </w:r>
          </w:p>
        </w:tc>
        <w:tc>
          <w:tcPr>
            <w:tcW w:w="5562" w:type="dxa"/>
            <w:vAlign w:val="center"/>
          </w:tcPr>
          <w:p>
            <w:pPr>
              <w:spacing w:before="20" w:after="20" w:line="252" w:lineRule="auto"/>
              <w:ind w:firstLine="0"/>
              <w:jc w:val="left"/>
            </w:pPr>
            <w:r>
              <w:rPr>
                <w:sz w:val="24"/>
              </w:rPr>
              <w:t xml:space="preserve">Đưa các sản phẩm dược có tiềm năng và kết quả ba đề tài cấp quốc gia vào sàng lọc để đăng ký giải pháp hữu ích, sáng chế theo quyền tại điểm c khoản 1 Điều 86 Luật Sở hữu trí tuệ; cùng Viện Nghiên cứu giáo dục và Chuyển giao tri thức chuẩn bị phương án tư vấn, định giá để tham gia chương trình thí điểm xác định giá trị quyền sở hữu trí tuệ theo Quyết định số 1624/QĐ-TTg.</w:t>
            </w:r>
          </w:p>
        </w:tc>
        <w:tc>
          <w:tcPr>
            <w:tcW w:w="1451" w:type="dxa"/>
            <w:vAlign w:val="center"/>
          </w:tcPr>
          <w:p>
            <w:pPr>
              <w:spacing w:before="20" w:after="20" w:line="252" w:lineRule="auto"/>
              <w:ind w:firstLine="0"/>
              <w:jc w:val="center"/>
            </w:pPr>
            <w:r>
              <w:rPr>
                <w:sz w:val="24"/>
              </w:rPr>
              <w:t xml:space="preserve">Giải pháp 2, 3, 4</w:t>
            </w:r>
          </w:p>
        </w:tc>
      </w:tr>
      <w:tr>
        <w:trPr/>
        <w:tc>
          <w:tcPr>
            <w:tcW w:w="2055" w:type="dxa"/>
            <w:vAlign w:val="center"/>
          </w:tcPr>
          <w:p>
            <w:pPr>
              <w:spacing w:before="20" w:after="20" w:line="252" w:lineRule="auto"/>
              <w:ind w:firstLine="0"/>
              <w:jc w:val="left"/>
            </w:pPr>
            <w:r>
              <w:rPr>
                <w:sz w:val="24"/>
              </w:rPr>
              <w:t xml:space="preserve">Khắc phục điểm yếu nhờ thời cơ</w:t>
            </w:r>
          </w:p>
        </w:tc>
        <w:tc>
          <w:tcPr>
            <w:tcW w:w="5562" w:type="dxa"/>
            <w:vAlign w:val="center"/>
          </w:tcPr>
          <w:p>
            <w:pPr>
              <w:spacing w:before="20" w:after="20" w:line="252" w:lineRule="auto"/>
              <w:ind w:firstLine="0"/>
              <w:jc w:val="left"/>
            </w:pPr>
            <w:r>
              <w:rPr>
                <w:sz w:val="24"/>
              </w:rPr>
              <w:t xml:space="preserve">Dựa vào Điều 28, Điều 73 Luật số 93/2025/QH15 và Điều 135 Luật Sở hữu trí tuệ để làm rõ phạm vi áp dụng các quy định về lợi ích của tác giả, rà soát mức trần 100 triệu đồng cho các trường hợp thuộc phạm vi Luật mới; dùng chỉ số văn bằng của Chuẩn mới và Quyết định số 1624/QĐ-TTg để đưa văn bằng vào đánh giá, khen thưởng.</w:t>
            </w:r>
          </w:p>
        </w:tc>
        <w:tc>
          <w:tcPr>
            <w:tcW w:w="1451" w:type="dxa"/>
            <w:vAlign w:val="center"/>
          </w:tcPr>
          <w:p>
            <w:pPr>
              <w:spacing w:before="20" w:after="20" w:line="252" w:lineRule="auto"/>
              <w:ind w:firstLine="0"/>
              <w:jc w:val="center"/>
            </w:pPr>
            <w:r>
              <w:rPr>
                <w:sz w:val="24"/>
              </w:rPr>
              <w:t xml:space="preserve">Giải pháp 1, 4</w:t>
            </w:r>
          </w:p>
        </w:tc>
      </w:tr>
      <w:tr>
        <w:trPr/>
        <w:tc>
          <w:tcPr>
            <w:tcW w:w="2055" w:type="dxa"/>
            <w:vAlign w:val="center"/>
          </w:tcPr>
          <w:p>
            <w:pPr>
              <w:spacing w:before="20" w:after="20" w:line="252" w:lineRule="auto"/>
              <w:ind w:firstLine="0"/>
              <w:jc w:val="left"/>
            </w:pPr>
            <w:r>
              <w:rPr>
                <w:sz w:val="24"/>
              </w:rPr>
              <w:t xml:space="preserve">Phát huy điểm mạnh để vượt thách thức</w:t>
            </w:r>
          </w:p>
        </w:tc>
        <w:tc>
          <w:tcPr>
            <w:tcW w:w="5562" w:type="dxa"/>
            <w:vAlign w:val="center"/>
          </w:tcPr>
          <w:p>
            <w:pPr>
              <w:spacing w:before="20" w:after="20" w:line="252" w:lineRule="auto"/>
              <w:ind w:firstLine="0"/>
              <w:jc w:val="left"/>
            </w:pPr>
            <w:r>
              <w:rPr>
                <w:sz w:val="24"/>
              </w:rPr>
              <w:t xml:space="preserve">Biến cách làm của đơn sáng chế từ đề tài năm 2025 thành bước sàng lọc trước khi công bố và tại nghiệm thu, để vừa giữ ngưỡng công bố quốc tế vừa không mất tính mới; dùng Quyết định 217 làm nền cho nội dung quản trị bắt buộc về sở hữu trí tuệ và liêm chính.</w:t>
            </w:r>
          </w:p>
        </w:tc>
        <w:tc>
          <w:tcPr>
            <w:tcW w:w="1451" w:type="dxa"/>
            <w:vAlign w:val="center"/>
          </w:tcPr>
          <w:p>
            <w:pPr>
              <w:spacing w:before="20" w:after="20" w:line="252" w:lineRule="auto"/>
              <w:ind w:firstLine="0"/>
              <w:jc w:val="center"/>
            </w:pPr>
            <w:r>
              <w:rPr>
                <w:sz w:val="24"/>
              </w:rPr>
              <w:t xml:space="preserve">Giải pháp 1, 3</w:t>
            </w:r>
          </w:p>
        </w:tc>
      </w:tr>
      <w:tr>
        <w:trPr/>
        <w:tc>
          <w:tcPr>
            <w:tcW w:w="2055" w:type="dxa"/>
            <w:vAlign w:val="center"/>
          </w:tcPr>
          <w:p>
            <w:pPr>
              <w:spacing w:before="20" w:after="20" w:line="252" w:lineRule="auto"/>
              <w:ind w:firstLine="0"/>
              <w:jc w:val="left"/>
            </w:pPr>
            <w:r>
              <w:rPr>
                <w:sz w:val="24"/>
              </w:rPr>
              <w:t xml:space="preserve">Giảm điểm yếu và phòng tránh thách thức</w:t>
            </w:r>
          </w:p>
        </w:tc>
        <w:tc>
          <w:tcPr>
            <w:tcW w:w="5562" w:type="dxa"/>
            <w:vAlign w:val="center"/>
          </w:tcPr>
          <w:p>
            <w:pPr>
              <w:spacing w:before="20" w:after="20" w:line="252" w:lineRule="auto"/>
              <w:ind w:firstLine="0"/>
              <w:jc w:val="left"/>
            </w:pPr>
            <w:r>
              <w:rPr>
                <w:sz w:val="24"/>
              </w:rPr>
              <w:t xml:space="preserve">Lập danh mục số tài sản trí tuệ liên thông với báo cáo trên HEMIS và Nền tảng số quốc gia; lập dự toán phí xác lập quyền và giao đầu mối; đào tạo giảng viên về bộc lộ an toàn trước khi công bố.</w:t>
            </w:r>
          </w:p>
        </w:tc>
        <w:tc>
          <w:tcPr>
            <w:tcW w:w="1451" w:type="dxa"/>
            <w:vAlign w:val="center"/>
          </w:tcPr>
          <w:p>
            <w:pPr>
              <w:spacing w:before="20" w:after="20" w:line="252" w:lineRule="auto"/>
              <w:ind w:firstLine="0"/>
              <w:jc w:val="center"/>
            </w:pPr>
            <w:r>
              <w:rPr>
                <w:sz w:val="24"/>
              </w:rPr>
              <w:t xml:space="preserve">Giải pháp 2, 4, 5</w:t>
            </w:r>
          </w:p>
        </w:tc>
      </w:tr>
    </w:tbl>
    <w:p w14:paraId="645FDCAF" w14:textId="77777777" w:rsidR="005B561C" w:rsidRPr="000F7C87" w:rsidRDefault="00000000">
      <w:pPr>
        <w:spacing w:after="160"/>
        <w:ind w:firstLine="0"/>
        <w:rPr>
          <w:szCs w:val="26"/>
        </w:rPr>
      </w:pPr>
      <w:r w:rsidRPr="000F7C87">
        <w:rPr>
          <w:i/>
          <w:szCs w:val="26"/>
        </w:rPr>
        <w:t>Nguồn: Nhóm nghiên cứu xây dựng từ Bảng 3.1.</w:t>
      </w:r>
    </w:p>
    <w:p w14:paraId="48E95726" w14:textId="77777777" w:rsidR="005B561C" w:rsidRPr="000F7C87" w:rsidRDefault="00000000">
      <w:pPr>
        <w:rPr>
          <w:szCs w:val="26"/>
        </w:rPr>
      </w:pPr>
      <w:r w:rsidRPr="000F7C87">
        <w:rPr>
          <w:szCs w:val="26"/>
        </w:rPr>
        <w:t xml:space="preserve">Trong bốn nhóm phương án, hai nhóm khắc phục điểm yếu nhờ thời cơ và phát huy điểm mạnh để vượt thách thức được ưu tiên triển khai trước, vì chúng xử lý trực tiếp điểm nghẽn ở khâu nối giữa nghiệm thu và đăng ký, đồng thời đáp ứng yêu cầu tuân thủ của Chuẩn mới trước kỳ tự đánh giá tháng 5 năm 2027. Hai nhóm còn lại được triển khai theo lộ trình tại Mục 3.4.1.</w:t>
      </w:r>
    </w:p>
    <w:p w14:paraId="0DE297E1" w14:textId="77777777" w:rsidR="005B561C" w:rsidRPr="000F7C87" w:rsidRDefault="00000000">
      <w:pPr>
        <w:keepNext/>
        <w:spacing w:before="200" w:after="100"/>
        <w:ind w:firstLine="0"/>
        <w:outlineLvl w:val="2"/>
        <w:rPr>
          <w:szCs w:val="26"/>
        </w:rPr>
      </w:pPr>
      <w:r w:rsidRPr="000F7C87">
        <w:rPr>
          <w:b/>
          <w:szCs w:val="26"/>
        </w:rPr>
        <w:t>3.1.3. Các nguyên tắc xây dựng giải pháp</w:t>
      </w:r>
    </w:p>
    <w:p w14:paraId="48E95726" w14:textId="77777777" w:rsidR="005B561C" w:rsidRPr="000F7C87" w:rsidRDefault="00000000">
      <w:pPr>
        <w:rPr>
          <w:szCs w:val="26"/>
        </w:rPr>
      </w:pPr>
      <w:r w:rsidRPr="000F7C87">
        <w:rPr>
          <w:szCs w:val="26"/>
        </w:rPr>
        <w:t xml:space="preserve">Dữ liệu thực trạng tại Chương 2 cho thấy điểm nghẽn nằm ở khâu nối giữa nghiệm thu và đăng ký: 9 trên 38 đề tài có sản phẩm tiềm năng sở hữu công nghiệp nhưng chỉ 1 đề tài có đơn, trong khi năng lực công bố tập trung ở một nhóm nhỏ với hệ số Gini 0,832. Điểm nghẽn này liên quan đồng thời đến quy chế, quy trình, cơ chế tài chính, năng lực đầu mối và dữ liệu. Kết hợp với phân tích tại Mục 3.1.2, hệ thống giải pháp được xây dựng dựa trên năm nguyên tắc chỉ đạo:</w:t>
      </w:r>
    </w:p>
    <w:p w14:paraId="48E95726" w14:textId="77777777" w:rsidR="005B561C" w:rsidRPr="000F7C87" w:rsidRDefault="00000000">
      <w:pPr>
        <w:rPr>
          <w:szCs w:val="26"/>
        </w:rPr>
      </w:pPr>
      <w:r w:rsidRPr="000F7C87">
        <w:rPr>
          <w:szCs w:val="26"/>
          <w:b/>
        </w:rPr>
        <w:t xml:space="preserve">Nguyên tắc 1:</w:t>
      </w:r>
      <w:r w:rsidRPr="000F7C87">
        <w:rPr>
          <w:szCs w:val="26"/>
        </w:rPr>
        <w:t xml:space="preserve"> Chuyển từ quản lý hành chính thụ động sang kiến tạo hệ sinh thái đồng hành và kích hoạt phong trào sáng tạo, theo tinh thần Kết luận số 51-KL/TW. Bộ phận quản trị đóng vai trò là nhà ươm tạo, hỗ trợ nhà nghiên cứu ngay từ khâu ý tưởng, thay vì chỉ tiếp nhận hồ sơ khi kết quả đã hoàn thành. Nguyên tắc này đặt trọng tâm vào việc kích hoạt phong trào đăng ký bảo hộ sở hữu trí tuệ trên diện rộng, thay đổi nhận thức của giảng viên từ "nghiên cứu xong mới tính" sang "nghiên cứu gắn liền với bảo hộ ngay từ đầu".</w:t>
      </w:r>
    </w:p>
    <w:p w14:paraId="48E95726" w14:textId="77777777" w:rsidR="005B561C" w:rsidRPr="000F7C87" w:rsidRDefault="00000000">
      <w:pPr>
        <w:rPr>
          <w:szCs w:val="26"/>
        </w:rPr>
      </w:pPr>
      <w:r w:rsidRPr="000F7C87">
        <w:rPr>
          <w:szCs w:val="26"/>
          <w:b/>
        </w:rPr>
        <w:t xml:space="preserve">Nguyên tắc 2:</w:t>
      </w:r>
      <w:r w:rsidRPr="000F7C87">
        <w:rPr>
          <w:szCs w:val="26"/>
        </w:rPr>
        <w:t xml:space="preserve"> Bảo đảm tính hệ thống, đồng bộ và đáp ứng đầy đủ yêu cầu của khung pháp lý mới (Luật số 125/2025/QH15, Luật số 93/2025/QH15, Luật số 131/2025/QH15 và Quyết định số 1624/QĐ-TTg). Mỗi giải pháp đều được thiết kế để đáp ứng trực tiếp một hoặc nhiều yêu cầu cụ thể của các văn bản pháp luật mới, đồng thời chuẩn bị cho các yêu cầu của Thông tư số 83/2026/TT-BGDĐT, tránh tình trạng đề xuất giải pháp chung chung không gắn với căn cứ pháp lý.</w:t>
      </w:r>
    </w:p>
    <w:p w14:paraId="48E95726" w14:textId="77777777" w:rsidR="005B561C" w:rsidRPr="000F7C87" w:rsidRDefault="00000000">
      <w:pPr>
        <w:rPr>
          <w:szCs w:val="26"/>
        </w:rPr>
      </w:pPr>
      <w:r w:rsidRPr="000F7C87">
        <w:rPr>
          <w:szCs w:val="26"/>
          <w:b/>
        </w:rPr>
        <w:t xml:space="preserve">Nguyên tắc 3:</w:t>
      </w:r>
      <w:r w:rsidRPr="000F7C87">
        <w:rPr>
          <w:szCs w:val="26"/>
        </w:rPr>
        <w:t xml:space="preserve"> Bảo đảm tính khả thi và kế thừa, gắn liền với điều kiện thực tế của Trường Đại học Thành Đô. Giải pháp không đề xuất thay đổi đột ngột bộ máy tổ chức hiện hành mà kế thừa sự phân công đã có tại Điều 11 Quyết định 217: Phòng Khoa học Công nghệ nhận diện, lập hồ sơ theo dõi và xúc tiến thương mại hóa tài sản trí tuệ; Bộ phận Pháp chế thuộc Trung tâm Dịch vụ và Quản trị hành chính tổng hợp thực hiện thủ tục xác lập quyền. Quy chế, biểu mẫu hiện có được hoàn thiện thay vì thay thế; các đề xuất cần nhiều nguồn lực được triển khai theo giai đoạn, kèm điều kiện chuyển bước.</w:t>
      </w:r>
    </w:p>
    <w:p w14:paraId="48E95726" w14:textId="77777777" w:rsidR="005B561C" w:rsidRPr="000F7C87" w:rsidRDefault="00000000">
      <w:pPr>
        <w:rPr>
          <w:szCs w:val="26"/>
        </w:rPr>
      </w:pPr>
      <w:r w:rsidRPr="000F7C87">
        <w:rPr>
          <w:szCs w:val="26"/>
          <w:b/>
        </w:rPr>
        <w:t xml:space="preserve">Nguyên tắc 4:</w:t>
      </w:r>
      <w:r w:rsidRPr="000F7C87">
        <w:rPr>
          <w:szCs w:val="26"/>
        </w:rPr>
        <w:t xml:space="preserve"> Chủ động sàng lọc và xem xét bảo mật từ khâu đề xuất, trước mọi hoạt động công bố, trình diễn và tại thời điểm nghiệm thu. Nguyên tắc này nhằm hạn chế việc bỏ sót kết quả có tiềm năng bảo hộ và ngăn ngừa nguy cơ bộc lộ công khai làm mất tính mới của sáng chế trước khi kịp nộp đơn đăng ký.</w:t>
      </w:r>
    </w:p>
    <w:p w14:paraId="48E95726" w14:textId="77777777" w:rsidR="005B561C" w:rsidRPr="000F7C87" w:rsidRDefault="00000000">
      <w:pPr>
        <w:rPr>
          <w:szCs w:val="26"/>
        </w:rPr>
      </w:pPr>
      <w:r w:rsidRPr="000F7C87">
        <w:rPr>
          <w:szCs w:val="26"/>
          <w:b/>
        </w:rPr>
        <w:t xml:space="preserve">Nguyên tắc 5:</w:t>
      </w:r>
      <w:r w:rsidRPr="000F7C87">
        <w:rPr>
          <w:szCs w:val="26"/>
        </w:rPr>
        <w:t xml:space="preserve"> Hài hòa lợi ích kinh tế và quyền nhân thân giữa Nhà trường, tập thể tác giả và các pháp nhân thành viên trong hệ sinh thái giáo dục. Cơ chế phân chia lợi ích được xác định theo nguồn hình thành tài sản, thời điểm giao nhiệm vụ và loại đối tượng, phân biệt thưởng, thù lao, nhuận bút và phần chia nguồn thu; phần do Nhà trường tự quyết phải đủ hấp dẫn để tạo động lực cho giảng viên, đồng thời bảo đảm nguồn tái đầu tư cho quỹ phát triển khoa học công nghệ của Nhà trường.</w:t>
      </w:r>
    </w:p>
    <w:p w14:paraId="6067EC56" w14:textId="77777777" w:rsidR="005B561C" w:rsidRPr="000F7C87" w:rsidRDefault="00000000">
      <w:pPr>
        <w:keepNext/>
        <w:spacing w:before="280" w:after="160"/>
        <w:ind w:firstLine="0"/>
        <w:outlineLvl w:val="1"/>
        <w:rPr>
          <w:szCs w:val="26"/>
        </w:rPr>
      </w:pPr>
      <w:r w:rsidRPr="000F7C87">
        <w:rPr>
          <w:b/>
          <w:szCs w:val="26"/>
        </w:rPr>
        <w:t>3.2. Hệ thống giải pháp cụ thể</w:t>
      </w:r>
    </w:p>
    <w:p w14:paraId="48E95726" w14:textId="77777777" w:rsidR="005B561C" w:rsidRPr="000F7C87" w:rsidRDefault="00000000">
      <w:pPr>
        <w:rPr>
          <w:szCs w:val="26"/>
        </w:rPr>
      </w:pPr>
      <w:r w:rsidRPr="000F7C87">
        <w:rPr>
          <w:szCs w:val="26"/>
        </w:rPr>
        <w:t xml:space="preserve">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từ hoàn thiện thể chế nội bộ, kiện toàn tổ chức, chuẩn hóa quy trình, hoàn thiện cơ chế tài chính đến phát triển văn hóa và đào tạo. Mỗi nhóm giải pháp gắn với một hoặc nhiều hạn chế tại Mục 2.5.2 và một hoặc nhiều phương án kết hợp tại Bảng 3.2; chủ trì, phối hợp, nguồn lực, thời gian, sản phẩm đầu ra và cách đánh giá của từng giải pháp được tổng hợp tại Mục 3.2.6.</w:t>
      </w:r>
    </w:p>
    <w:p w14:paraId="0DE297E1" w14:textId="77777777" w:rsidR="005B561C" w:rsidRPr="000F7C87" w:rsidRDefault="00000000">
      <w:pPr>
        <w:keepNext/>
        <w:spacing w:before="200" w:after="100"/>
        <w:ind w:firstLine="0"/>
        <w:outlineLvl w:val="2"/>
        <w:rPr>
          <w:szCs w:val="26"/>
        </w:rPr>
      </w:pPr>
      <w:r w:rsidRPr="000F7C87">
        <w:rPr>
          <w:b/>
          <w:szCs w:val="26"/>
        </w:rPr>
        <w:t>3.2.1. Giải pháp 1: Hoàn thiện cơ chế, chính sách và hệ thống quy chế nội bộ về quản lý quyền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Kết quả phân tích tại Chương 2 cho thấy các quy định nội bộ liên quan đến lợi ích của tác giả nằm ở bốn văn bản, gồm Quyết định số 213/QĐ-ĐHTĐ, Quyết định số 217/QĐ-ĐHTĐ ngày 21 tháng 11 năm 2024 ban hành Quy chế quản trị tài sản trí tuệ, Quy chế chi tiêu nội bộ và Điều lệ Quỹ Học bổng sau tiến sĩ Ngô Xuân Độ, được ban hành ở những thời điểm và cho những kênh tài trợ khác nhau. Các quy định này chưa xung đột trong cùng một tình huống, nhưng chưa làm rõ phạm vi và thứ tự áp dụng, chưa phân biệt thưởng, thù lao, nhuận bút và phần chia nguồn thu, và điểm a khoản 4 Điều 36 Quyết định 213 cần được rà soát theo Điều 28, Điều 73 Luật số 93/2025/QH15 đối với các trường hợp thuộc phạm vi của Luật mới; đây là hạn chế thứ hai tại Mục 2.5.2. Quyết định 217 đã mở rộng phạm vi tài sản, quy định công bố, bảo mật, phân công trách nhiệm và hành vi xâm phạm quyền tác giả tại Điều 14, nhưng không dẫn chiếu Chương VI Quyết định 213; Thông tư số 83/2026/TT-BGDĐT xếp liêm chính khoa học, liêm chính học thuật cùng nhóm nội dung quản trị bắt buộc về sở hữu trí tuệ.</w:t>
      </w:r>
    </w:p>
    <w:p w14:paraId="48E95726" w14:textId="77777777" w:rsidR="005B561C" w:rsidRPr="000F7C87" w:rsidRDefault="00000000">
      <w:pPr>
        <w:rPr>
          <w:szCs w:val="26"/>
        </w:rPr>
      </w:pPr>
      <w:r w:rsidRPr="000F7C87">
        <w:rPr>
          <w:szCs w:val="26"/>
        </w:rPr>
        <w:t xml:space="preserve">Giải pháp này nhằm hoàn thiện Quy chế quản trị tài sản trí tuệ trên nền Quyết định 217, hợp nhất các quy định về sở hữu trí tuệ tại Chương VI Quyết định 213, xác định rõ phạm vi và thứ tự áp dụng, bảo đảm phù hợp với pháp luật hiện hành và tạo nền tảng thể chế cho các giải pháp tiếp theo.</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Theo khoản 3 Điều 17 Quyết định 217, Bộ phận Pháp chế chủ trì tham mưu sửa đổi Quy chế khi pháp luật thay đổi. Quy chế sửa đổi, hợp nhất các quy định về sở hữu trí tuệ của Quyết định số 213/QĐ-ĐHTĐ và Quyết định số 217/QĐ-ĐHTĐ, cần bảo đảm các nội dung trọng tâm sau:</w:t>
      </w:r>
    </w:p>
    <w:p w14:paraId="48E95726" w14:textId="77777777" w:rsidR="005B561C" w:rsidRPr="000F7C87" w:rsidRDefault="00000000">
      <w:pPr>
        <w:rPr>
          <w:szCs w:val="26"/>
        </w:rPr>
      </w:pPr>
      <w:r w:rsidRPr="000F7C87">
        <w:rPr>
          <w:szCs w:val="26"/>
        </w:rPr>
        <w:t xml:space="preserve">- </w:t>
      </w:r>
      <w:r w:rsidRPr="000F7C87">
        <w:rPr>
          <w:szCs w:val="26"/>
          <w:b/>
        </w:rPr>
        <w:t xml:space="preserve">Về phạm vi bảo hộ:</w:t>
      </w:r>
      <w:r w:rsidRPr="000F7C87">
        <w:rPr>
          <w:szCs w:val="26"/>
        </w:rPr>
        <w:t xml:space="preserve"> Thống nhất một danh mục đối tượng duy nhất trên cơ sở Điều 3 Quy chế ban hành kèm Quyết định 217, bao gồm: sáng chế, giải pháp hữu ích, kiểu dáng công nghiệp, thiết kế bố trí, nhãn hiệu, quyền tác giả đối với giáo trình và tài liệu giảng dạy số, sưu tập dữ liệu, bí mật kinh doanh và phần mềm máy tính. Đây là yêu cầu cấp bách khi Nhà trường ngày càng mở rộng hoạt động đào tạo trực tuyến và phát triển học liệu số.</w:t>
      </w:r>
    </w:p>
    <w:p w14:paraId="48E95726" w14:textId="77777777" w:rsidR="005B561C" w:rsidRPr="000F7C87" w:rsidRDefault="00000000">
      <w:pPr>
        <w:rPr>
          <w:szCs w:val="26"/>
        </w:rPr>
      </w:pPr>
      <w:r w:rsidRPr="000F7C87">
        <w:rPr>
          <w:szCs w:val="26"/>
        </w:rPr>
        <w:t xml:space="preserve">- </w:t>
      </w:r>
      <w:r w:rsidRPr="000F7C87">
        <w:rPr>
          <w:szCs w:val="26"/>
          <w:b/>
        </w:rPr>
        <w:t xml:space="preserve">Về lợi ích của tác giả và phân chia nguồn thu:</w:t>
      </w:r>
      <w:r w:rsidRPr="000F7C87">
        <w:rPr>
          <w:szCs w:val="26"/>
        </w:rPr>
        <w:t xml:space="preserve"> Thiết kế theo ba lớp, xác định theo nguồn hình thành tài sản, thời điểm giao nhiệm vụ và loại đối tượng. Lớp thứ nhất là nghĩa vụ theo luật: đối với phần kết quả sử dụng ngân sách nhà nước thuộc phạm vi Điều 28 Luật số 93/2025/QH15, gồm nhiệm vụ giao từ ngày 01 tháng 10 năm 2025 và trường hợp tại khoản 7 Điều 73, thưởng cho tác giả không thấp hơn 30% lợi nhuận sau thuế hoặc 30% giá trị kết quả khi góp vốn, không áp mức trần làm phần thưởng thấp hơn mức này và không giữ khoản nộp ngân sách nhà nước như một tỷ lệ cố định; đối với nhiệm vụ phê duyệt trước ngày 01 tháng 10 năm 2025 không thuộc khoản 7 Điều 73, áp dụng văn bản có hiệu lực tại thời điểm phê duyệt; đối với sáng chế, kiểu dáng công nghiệp, thiết kế bố trí, quy định thù lao theo Điều 135 Luật Sở hữu trí tuệ như một khoản riêng và xác định rõ quy chế hoặc hợp đồng có phải là thỏa thuận về thù lao hay không. Lớp thứ hai là phần do Nhà trường tự quyết đối với tài sản không sử dụng ngân sách nhà nước theo khoản 2 Điều 28: tỷ lệ thưởng cho tác giả, phần cho đơn vị có tác giả và quỹ phát triển khoa học công nghệ, quan hệ với quy định trích 50% kinh phí chuyển giao công nghệ tại Quy chế chi tiêu nội bộ. Lớp thứ ba là nhuận bút cho sách, giáo trình theo Quy chế chi tiêu nội bộ, giữ nguyên khoản 2 Điều 13 Quyết định 217. Các phương án tỷ lệ cụ thể cho lớp thứ hai, như dành tỷ lệ cao hơn cho tác giả trong năm đầu phát sinh doanh thu, chỉ là phương án tham khảo và cần được mô phỏng trên một số tình huống chuyển giao trước khi đưa vào quy chế; Quy chế không áp một công thức chung cho mọi tài sản và mọi nguồn kinh phí.</w:t>
      </w:r>
    </w:p>
    <w:p w14:paraId="48E95726" w14:textId="77777777" w:rsidR="005B561C" w:rsidRPr="000F7C87" w:rsidRDefault="00000000">
      <w:pPr>
        <w:rPr>
          <w:szCs w:val="26"/>
        </w:rPr>
      </w:pPr>
      <w:r w:rsidRPr="000F7C87">
        <w:rPr>
          <w:szCs w:val="26"/>
        </w:rPr>
        <w:t xml:space="preserve">- </w:t>
      </w:r>
      <w:r w:rsidRPr="000F7C87">
        <w:rPr>
          <w:szCs w:val="26"/>
          <w:b/>
        </w:rPr>
        <w:t xml:space="preserve">Về quan hệ pháp lý:</w:t>
      </w:r>
      <w:r w:rsidRPr="000F7C87">
        <w:rPr>
          <w:szCs w:val="26"/>
        </w:rPr>
        <w:t xml:space="preserve"> Quy định rõ trách nhiệm pháp lý của từng bên trong quan hệ sở hữu trí tuệ: quyền và nghĩa vụ của Nhà trường với tư cách là chủ sở hữu, quyền nhân thân và quyền tài sản của tác giả, cơ chế xử lý tranh chấp nội bộ và quy trình chuyển nhượng quyền sở hữu khi tác giả chuyển công tác.</w:t>
      </w:r>
    </w:p>
    <w:p w14:paraId="48E95726" w14:textId="77777777" w:rsidR="005B561C" w:rsidRPr="000F7C87" w:rsidRDefault="00000000">
      <w:pPr>
        <w:rPr>
          <w:szCs w:val="26"/>
        </w:rPr>
      </w:pPr>
      <w:r w:rsidRPr="000F7C87">
        <w:rPr>
          <w:szCs w:val="26"/>
        </w:rPr>
        <w:t xml:space="preserve">- </w:t>
      </w:r>
      <w:r w:rsidRPr="000F7C87">
        <w:rPr>
          <w:szCs w:val="26"/>
          <w:b/>
        </w:rPr>
        <w:t xml:space="preserve">Về liêm chính khoa học, liêm chính học thuật:</w:t>
      </w:r>
      <w:r w:rsidRPr="000F7C87">
        <w:rPr>
          <w:szCs w:val="26"/>
        </w:rPr>
        <w:t xml:space="preserve"> Hoàn thiện và mở rộng Điều 14 Quyết định 217 về hành vi xâm phạm quyền tác giả, bổ sung trách nhiệm kiểm tra trùng lặp, công khai việc sử dụng trí tuệ nhân tạo phù hợp với Điều 5a Nghị định số 134/2026/NĐ-CP và quy trình xử lý vi phạm, để Quy chế hợp nhất đáp ứng nội dung quản trị bắt buộc về sở hữu trí tuệ, liêm chính khoa học, liêm chính học thuật theo Thông tư số 83/2026/TT-BGDĐT.</w:t>
      </w:r>
    </w:p>
    <w:p w14:paraId="48E95726" w14:textId="77777777" w:rsidR="005B561C" w:rsidRPr="000F7C87" w:rsidRDefault="00000000">
      <w:pPr>
        <w:rPr>
          <w:szCs w:val="26"/>
        </w:rPr>
      </w:pPr>
      <w:r w:rsidRPr="000F7C87">
        <w:rPr>
          <w:szCs w:val="26"/>
        </w:rPr>
        <w:t xml:space="preserve">- </w:t>
      </w:r>
      <w:r w:rsidRPr="000F7C87">
        <w:rPr>
          <w:szCs w:val="26"/>
          <w:b/>
        </w:rPr>
        <w:t xml:space="preserve">Về nhãn hiệu hệ sinh thái:</w:t>
      </w:r>
      <w:r w:rsidRPr="000F7C87">
        <w:rPr>
          <w:szCs w:val="26"/>
        </w:rPr>
        <w:t xml:space="preserve"> Lồng ghép quy định về quản lý nhãn hiệu hệ sinh thái (bao gồm nhãn hiệu Trường Đại học Thành Đô và các pháp nhân thành viên) và cơ chế cấp phép sử dụng nhãn hiệu cho các đơn vị trực thuộc.</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Bộ phận Pháp chế (thuộc Trung tâm Dịch vụ và Quản trị hành chính tổng hợp) chủ trì soạn thảo dự thảo Quy chế. Phòng Khoa học Công nghệ rà soát tính phù hợp chuyên môn. Hội đồng Khoa học và Đào tạo thẩm định nội dung. Hiệu trưởng trình Hội đồng trường phê duyệt ban hành. Trong quá trình soạn thảo, Bộ phận Pháp chế cần tham vấn ý kiến của đại diện giảng viên các khoa chuyên môn và Viện Nghiên cứu giáo dục và Chuyển giao tri thức để bảo đảm tính thực tế và sự đồng thuận của cộng đồng học thuật.</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Bố trí nguồn kinh phí tư vấn pháp lý chuyên sâu từ ngân sách thường xuyên cho việc thuê chuyên gia sở hữu trí tuệ tham gia rà soát dự thảo Quy chế. Rà soát đồng bộ Quy chế chi tiêu nội bộ và Điều lệ Quỹ Học bổng sau tiến sĩ Ngô Xuân Độ để bảo đảm thống nhất về cơ chế tài chính hỗ trợ hoạt động sở hữu trí tuệ. Thời gian hoàn thành dự kiến: trình dự thảo trong quý IV năm 2026 và ban hành trước ngày 31 tháng 5 năm 2027, thời hạn công bố kết quả tự đánh giá Chuẩn cơ sở giáo dục đại học năm đầu áp dụng Thông tư số 83/2026/TT-BGDĐT.</w:t>
      </w:r>
    </w:p>
    <w:p w14:paraId="0DE297E1" w14:textId="77777777" w:rsidR="005B561C" w:rsidRPr="000F7C87" w:rsidRDefault="00000000">
      <w:pPr>
        <w:keepNext/>
        <w:spacing w:before="200" w:after="100"/>
        <w:ind w:firstLine="0"/>
        <w:outlineLvl w:val="2"/>
        <w:rPr>
          <w:szCs w:val="26"/>
        </w:rPr>
      </w:pPr>
      <w:r w:rsidRPr="000F7C87">
        <w:rPr>
          <w:b/>
          <w:szCs w:val="26"/>
        </w:rPr>
        <w:t>3.2.2. Giải pháp 2: Kiện toàn mô hình tổ chức bộ máy, thiết lập cơ chế phối hợp liên phòng ban và nâng cao năng lực chuyên trách</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tại Chương 2 cho thấy công việc quản lý sở hữu trí tuệ được phân cho bốn đơn vị, Phòng Khoa học Công nghệ có 2 nhân sự kiêm nhiều mảng và chưa có vị trí chuyên trách, giữa các đơn vị chưa có luồng hồ sơ liên thông; đây là hạn chế thứ ba tại Mục 2.5.2. Điều 11 Quyết định 217 đã giao Phòng Khoa học Công nghệ quản lý chung và Bộ phận Pháp chế thực hiện thủ tục, nhưng mức độ thực hiện các nhiệm vụ này chưa được đánh giá. Giải pháp này nhằm bảo đảm các nhiệm vụ đã giao có người thực hiện, có quy chế phối hợp và có số liệu về khối lượng công việc để quyết định bước kiện toàn tiếp theo.</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Bố trí nhân sự theo giai đoạn. Ở giai đoạn 1, giao một nhân sự hiện có của Phòng Khoa học Công nghệ và một nhân sự của Bộ phận Pháp chế làm đầu mối kiêm nhiệm, cử tham gia tập huấn của Cục Sở hữu trí tuệ về tra cứu sáng chế, soạn bản mô tả và định giá tài sản trí tuệ; thuê tổ chức đại diện sở hữu công nghiệp cho các hồ sơ sáng chế, giải pháp hữu ích. Ở giai đoạn 2, căn cứ số liệu của thí điểm và năm đầu áp dụng, xem xét bố trí vị trí chuyên trách khi khối lượng công việc đạt ngưỡng đề xuất, chẳng hạn từ 15 kết quả được sàng lọc hoặc từ 5 đơn mỗi năm; ngưỡng cụ thể do Ban Giám hiệu quyết định sau thí điểm.</w:t>
      </w:r>
    </w:p>
    <w:p w14:paraId="48E95726" w14:textId="77777777" w:rsidR="005B561C" w:rsidRPr="000F7C87" w:rsidRDefault="00000000">
      <w:pPr>
        <w:rPr>
          <w:szCs w:val="26"/>
        </w:rPr>
      </w:pPr>
      <w:r w:rsidRPr="000F7C87">
        <w:rPr>
          <w:szCs w:val="26"/>
        </w:rPr>
        <w:t xml:space="preserve">Thiết lập Cơ chế phối hợp liên phòng ban theo mô hình tam giác vận hành. Trong mô hình này, ba trục chức năng phối hợp chặt chẽ theo quy chế liên thông, với hai đơn vị phối hợp, như thể hiện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3.1. Mô hình phối hợp liên phòng ban trong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140000"/>
            <wp:docPr id="511" name="Picture 511"/>
            <wp:cNvGraphicFramePr>
              <a:graphicFrameLocks noChangeAspect="1"/>
            </wp:cNvGraphicFramePr>
            <a:graphic>
              <a:graphicData uri="http://schemas.openxmlformats.org/drawingml/2006/picture">
                <pic:pic>
                  <pic:nvPicPr>
                    <pic:cNvPr id="0" name="phoi_hop.png"/>
                    <pic:cNvPicPr/>
                  </pic:nvPicPr>
                  <pic:blipFill>
                    <a:blip r:embed="rId22"/>
                    <a:stretch>
                      <a:fillRect/>
                    </a:stretch>
                  </pic:blipFill>
                  <pic:spPr>
                    <a:xfrm>
                      <a:off x="0" y="0"/>
                      <a:ext cx="5580000" cy="4140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 trên cơ sở Điều 11 Quyết định 217 và thực trạng tại Mục 2.2.2.</w:t>
      </w:r>
    </w:p>
    <w:p w14:paraId="48E95726" w14:textId="77777777" w:rsidR="005B561C" w:rsidRPr="000F7C87" w:rsidRDefault="00000000">
      <w:pPr>
        <w:rPr>
          <w:szCs w:val="26"/>
        </w:rPr>
      </w:pPr>
      <w:r w:rsidRPr="000F7C87">
        <w:rPr>
          <w:szCs w:val="26"/>
        </w:rPr>
        <w:t xml:space="preserve">Việc thành lập Trung tâm tư vấn, định giá và thương mại hóa tài sản trí tuệ theo định hướng tại điểm a khoản 6 Mục III Điều 1 Quyết định số 1068/QĐ-TTg đã được sửa đổi tại Quyết định số 1624/QĐ-TTg được đặt ở giai đoạn 2, với điều kiện chuyển bước: danh mục đã có tài sản sẵn sàng chuyển giao, có nhu cầu định giá thực tế và có nguồn kinh phí vận hành. Trước đó, các chức năng định giá, đàm phán được thực hiện qua hợp đồng với tổ chức tư vấn bên ngoài, với sự phối hợp của Viện Nghiên cứu giáo dục và Chuyển giao tri thức.</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Ban Giám hiệu ra quyết định kiện toàn bộ máy và ban hành quy chế phối hợp liên phòng ban. Bộ phận Pháp chế dự thảo quy chế phối hợp. Bộ phận Hành chính - Nhân sự phối hợp bố trí nhân sự và xây dựng bản mô tả vị trí việc làm cho nhân sự chuyên trách sở hữu trí tuệ.</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Giai đoạn 1 không phát sinh biên chế mới, chỉ điều chỉnh nhiệm vụ của nhân sự hiện có; kinh phí tập huấn và thuê đại diện sở hữu công nghiệp lấy từ dòng dự toán tại Giải pháp 4. Cử cán bộ tham gia các lớp tập huấn chuyên sâu của Cục Sở hữu trí tuệ, tối thiểu 02 khóa mỗi năm. Duy trì giao ban liên phòng ban hằng quý về công tác sở hữu trí tuệ do Phó Hiệu trưởng phụ trách khoa học chủ trì, trong đó báo cáo số kết quả được khai báo, sàng lọc và nộp đơn làm căn cứ quyết định vị trí chuyên trách.</w:t>
      </w:r>
    </w:p>
    <w:p w14:paraId="0DE297E1" w14:textId="77777777" w:rsidR="005B561C" w:rsidRPr="000F7C87" w:rsidRDefault="00000000">
      <w:pPr>
        <w:keepNext/>
        <w:spacing w:before="200" w:after="100"/>
        <w:ind w:firstLine="0"/>
        <w:outlineLvl w:val="2"/>
        <w:rPr>
          <w:szCs w:val="26"/>
        </w:rPr>
      </w:pPr>
      <w:r w:rsidRPr="000F7C87">
        <w:rPr>
          <w:b/>
          <w:szCs w:val="26"/>
        </w:rPr>
        <w:t>3.2.3. Giải pháp 3: Chuẩn hóa quy trình 8 khâu quản lý tài sản trí tuệ gắn với khâu rà soát nghiệm thu bắt buộc và mô hình Không gian sáng tạo mở thử nghiệm</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tại Chương 2 cho thấy 9 đề tài có sản phẩm tiềm năng sở hữu công nghiệp nhưng mới 1 đề tài có đơn, ứng với hạn chế thứ nhất và thứ bảy tại Mục 2.5.2, và Đề tài nhận định khoảng trống kỹ thuật: thiếu một biểu mẫu rà soát tại thời điểm nghiệm thu. Các biểu mẫu tại Quyết định 213 đã có mục về đăng ký sở hữu trí tuệ nhưng chưa có nội dung sàng lọc khả năng bảo hộ và tình trạng bộc lộ; danh mục tài sản trí tuệ chưa liên kết với danh mục đề tài. Giải pháp này nhằm hoàn thiện biểu mẫu hiện có và chuẩn hóa quy trình để mỗi kết quả có tiềm năng được khai báo, sàng lọc và xem xét bảo mật trước khi công bố hoặc trình diễn, với cách xử lý phù hợp từng loại đối tượng.</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Ban hành Quy trình chuẩn 8 khâu quản lý tài sản trí tuệ từ khai báo đến khai thác, áp dụng cho tất cả các đề tài cấp cơ sở và các nhiệm vụ khoa học công nghệ sử dụng ngân sách, được tóm tắt tại hình dưới đây và mô tả cụ thể sau đó.</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3.2. Quy trình 8 khâu quản lý tài sản trí tuệ từ khai báo đến khai thác, kèm phân nhánh theo loại đối tượng</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464000"/>
            <wp:docPr id="512" name="Picture 512"/>
            <wp:cNvGraphicFramePr>
              <a:graphicFrameLocks noChangeAspect="1"/>
            </wp:cNvGraphicFramePr>
            <a:graphic>
              <a:graphicData uri="http://schemas.openxmlformats.org/drawingml/2006/picture">
                <pic:pic>
                  <pic:nvPicPr>
                    <pic:cNvPr id="0" name="tam_khau.png"/>
                    <pic:cNvPicPr/>
                  </pic:nvPicPr>
                  <pic:blipFill>
                    <a:blip r:embed="rId23"/>
                    <a:stretch>
                      <a:fillRect/>
                    </a:stretch>
                  </pic:blipFill>
                  <pic:spPr>
                    <a:xfrm>
                      <a:off x="0" y="0"/>
                      <a:ext cx="5580000" cy="446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b/>
        </w:rPr>
        <w:t xml:space="preserve">Khâu 1:</w:t>
      </w:r>
      <w:r w:rsidRPr="000F7C87">
        <w:rPr>
          <w:szCs w:val="26"/>
        </w:rPr>
        <w:t xml:space="preserve"> Khai báo kết quả và nhu cầu bảo hộ. Hoàn thiện các biểu mẫu hiện có thay vì ban hành biểu mẫu mới: Mẫu 01 đề xuất và Mẫu 06 thuyết minh bổ sung các trường loại đối tượng dự kiến theo năm nhánh, chủ thể quyền và đồng tác giả, nguồn kinh phí, lịch công bố dự kiến, tình trạng bảo mật và nhu cầu hỗ trợ; Mẫu 11 hợp đồng bổ sung nghĩa vụ khai báo kết quả trước khi công bố, phù hợp Điều 10 Quyết định 217; báo cáo tiến độ và Mẫu 15 báo cáo tổng kết cập nhật các trường này. Chủ nhiệm đề tài khai báo, Phòng Khoa học Công nghệ tiếp nhận, phù hợp định hướng xác định đối tượng quyền sở hữu trí tuệ cần đạt được tại điểm b khoản 4 Mục III Điều 1 Quyết định số 1068/QĐ-TTg đã được sửa đổi.</w:t>
      </w:r>
    </w:p>
    <w:p w14:paraId="48E95726" w14:textId="77777777" w:rsidR="005B561C" w:rsidRPr="000F7C87" w:rsidRDefault="00000000">
      <w:pPr>
        <w:rPr>
          <w:szCs w:val="26"/>
        </w:rPr>
      </w:pPr>
      <w:r w:rsidRPr="000F7C87">
        <w:rPr>
          <w:szCs w:val="26"/>
          <w:b/>
        </w:rPr>
        <w:t xml:space="preserve">Khâu 2:</w:t>
      </w:r>
      <w:r w:rsidRPr="000F7C87">
        <w:rPr>
          <w:szCs w:val="26"/>
        </w:rPr>
        <w:t xml:space="preserve"> Sàng lọc sơ bộ và phân nhánh. Trong 10 ngày làm việc kể từ khi nhận phiếu khai báo, Phòng Khoa học Công nghệ phân loại kết quả theo năm nhánh: sáng chế, giải pháp hữu ích phải giữ bí mật đến khi nộp đơn; kiểu dáng công nghiệp cần nộp đơn trước khi trưng bày, giới thiệu sản phẩm; nhãn hiệu cần tra cứu trước khi sử dụng; quyền tác giả đối với giáo trình, phần mềm, sưu tập dữ liệu được ghi nhận và đăng ký khi cần chứng cứ để khai thác; bí mật kinh doanh như công thức, quy trình không công bố được bảo vệ bằng biện pháp bảo mật thay vì nộp đơn.</w:t>
      </w:r>
    </w:p>
    <w:p w14:paraId="48E95726" w14:textId="77777777" w:rsidR="005B561C" w:rsidRPr="000F7C87" w:rsidRDefault="00000000">
      <w:pPr>
        <w:rPr>
          <w:szCs w:val="26"/>
        </w:rPr>
      </w:pPr>
      <w:r w:rsidRPr="000F7C87">
        <w:rPr>
          <w:szCs w:val="26"/>
          <w:b/>
        </w:rPr>
        <w:t xml:space="preserve">Khâu 3:</w:t>
      </w:r>
      <w:r w:rsidRPr="000F7C87">
        <w:rPr>
          <w:szCs w:val="26"/>
        </w:rPr>
        <w:t xml:space="preserve"> Tra cứu và đánh giá khả năng bảo hộ. Với các nhánh sáng chế, giải pháp hữu ích, kiểu dáng công nghiệp, nhãn hiệu, Bộ phận Pháp chế hoặc tổ chức đại diện sở hữu công nghiệp được thuê tra cứu trên các cơ sở dữ liệu sáng chế, nhãn hiệu, đánh giá sơ bộ tính mới, trình độ sáng tạo, khả năng áp dụng và đề xuất loại hình đăng ký.</w:t>
      </w:r>
    </w:p>
    <w:p w14:paraId="48E95726" w14:textId="77777777" w:rsidR="005B561C" w:rsidRPr="000F7C87" w:rsidRDefault="00000000">
      <w:pPr>
        <w:rPr>
          <w:szCs w:val="26"/>
        </w:rPr>
      </w:pPr>
      <w:r w:rsidRPr="000F7C87">
        <w:rPr>
          <w:szCs w:val="26"/>
          <w:b/>
        </w:rPr>
        <w:t xml:space="preserve">Khâu 4:</w:t>
      </w:r>
      <w:r w:rsidRPr="000F7C87">
        <w:rPr>
          <w:szCs w:val="26"/>
        </w:rPr>
        <w:t xml:space="preserve"> Xem xét bảo mật trước khi công bố hoặc trình diễn. Trước khi gửi bài báo, báo cáo hội thảo, luận văn hoặc đưa sản phẩm vào thử nghiệm mở, trình diễn tại Không gian sáng tạo mở thử nghiệm, chủ nhiệm đề tài xin ý kiến Phòng Khoa học Công nghệ theo Điều 10 Quyết định 217; Phòng thông báo công bố, trì hoãn công bố hoặc yêu cầu nộp đơn trước theo Điều 11, hoặc yêu cầu người tham gia ký cam kết bảo mật. Khi kết quả đã bị bộc lộ, Phòng xác định ngày bộc lộ để tính thời hạn mười hai tháng theo khoản 3 Điều 60 Luật Sở hữu trí tuệ. Cách làm này phù hợp với định hướng đăng ký bảo hộ đồng thời với công bố tại điểm b khoản 4 Mục III Điều 1 Quyết định số 1068/QĐ-TTg đã được sửa đổi.</w:t>
      </w:r>
    </w:p>
    <w:p w14:paraId="48E95726" w14:textId="77777777" w:rsidR="005B561C" w:rsidRPr="000F7C87" w:rsidRDefault="00000000">
      <w:pPr>
        <w:rPr>
          <w:szCs w:val="26"/>
        </w:rPr>
      </w:pPr>
      <w:r w:rsidRPr="000F7C87">
        <w:rPr>
          <w:szCs w:val="26"/>
          <w:b/>
        </w:rPr>
        <w:t xml:space="preserve">Khâu 5:</w:t>
      </w:r>
      <w:r w:rsidRPr="000F7C87">
        <w:rPr>
          <w:szCs w:val="26"/>
        </w:rPr>
        <w:t xml:space="preserve"> Xác nhận tại nghiệm thu. Mẫu 16 phiếu nghiệm thu được bổ sung phiếu rà soát gồm các trường: loại đối tượng, chủ thể quyền, nguồn kinh phí và thời điểm giao nhiệm vụ, tình trạng bộc lộ và ngày bộc lộ nếu có, kết quả sàng lọc tại Khâu 2 và Khâu 3, đề xuất hướng xử lý. Hội đồng nghiệm thu xác nhận phiếu rà soát; kết quả được đề xuất đăng ký được chuyển sang Khâu 6 trong thời hạn quy định.</w:t>
      </w:r>
    </w:p>
    <w:p w14:paraId="48E95726" w14:textId="77777777" w:rsidR="005B561C" w:rsidRPr="000F7C87" w:rsidRDefault="00000000">
      <w:pPr>
        <w:rPr>
          <w:szCs w:val="26"/>
        </w:rPr>
      </w:pPr>
      <w:r w:rsidRPr="000F7C87">
        <w:rPr>
          <w:szCs w:val="26"/>
          <w:b/>
        </w:rPr>
        <w:t xml:space="preserve">Khâu 6:</w:t>
      </w:r>
      <w:r w:rsidRPr="000F7C87">
        <w:rPr>
          <w:szCs w:val="26"/>
        </w:rPr>
        <w:t xml:space="preserve"> Quyết định xác lập quyền và dự toán. Trên cơ sở phiếu rà soát, Phòng Khoa học Công nghệ trình Hiệu trưởng quyết định đăng ký theo Điều 35 Quyết định 213, kèm dự toán phí nộp đơn, phí đại diện, phí duy trì, nguồn chi, người đề xuất chi và thời hạn nộp đơn; Phòng Tài chính - Kế toán bố trí tạm ứng theo Giải pháp 4. Thời hạn từ khi có phiếu rà soát đến khi có quyết định không quá 15 ngày làm việc.</w:t>
      </w:r>
    </w:p>
    <w:p w14:paraId="48E95726" w14:textId="77777777" w:rsidR="005B561C" w:rsidRPr="000F7C87" w:rsidRDefault="00000000">
      <w:pPr>
        <w:rPr>
          <w:szCs w:val="26"/>
        </w:rPr>
      </w:pPr>
      <w:r w:rsidRPr="000F7C87">
        <w:rPr>
          <w:szCs w:val="26"/>
          <w:b/>
        </w:rPr>
        <w:t xml:space="preserve">Khâu 7:</w:t>
      </w:r>
      <w:r w:rsidRPr="000F7C87">
        <w:rPr>
          <w:szCs w:val="26"/>
        </w:rPr>
        <w:t xml:space="preserve"> Nộp đơn, theo dõi và duy trì. Bộ phận Pháp chế nộp đơn tại Cục Sở hữu trí tuệ hoặc đăng ký quyền tác giả tại Cục Bản quyền tác giả, theo dõi các mốc thẩm định theo Điều 119 Luật Sở hữu trí tuệ, cập nhật trạng thái vào danh mục số theo bốn nhóm thống nhất: đã nộp đơn, đã chấp nhận đơn hợp lệ, đã cấp văn bằng hoặc giấy chứng nhận, chưa xác minh; lập lịch phí duy trì và cảnh báo trước 03 tháng. Với nhánh bí mật kinh doanh, Phòng Khoa học Công nghệ lập danh mục và áp dụng biện pháp bảo mật.</w:t>
      </w:r>
    </w:p>
    <w:p w14:paraId="48E95726" w14:textId="77777777" w:rsidR="005B561C" w:rsidRPr="000F7C87" w:rsidRDefault="00000000">
      <w:pPr>
        <w:rPr>
          <w:szCs w:val="26"/>
        </w:rPr>
      </w:pPr>
      <w:r w:rsidRPr="000F7C87">
        <w:rPr>
          <w:szCs w:val="26"/>
          <w:b/>
        </w:rPr>
        <w:t xml:space="preserve">Khâu 8:</w:t>
      </w:r>
      <w:r w:rsidRPr="000F7C87">
        <w:rPr>
          <w:szCs w:val="26"/>
        </w:rPr>
        <w:t xml:space="preserve"> Khai thác và phân chia lợi ích. Phòng Khoa học Công nghệ chủ trì xúc tiến thương mại hóa theo Điều 11 Quyết định 217, phối hợp với Viện Nghiên cứu giáo dục và Chuyển giao tri thức và tổ chức tư vấn bên ngoài để định giá, tìm đối tác, đàm phán hợp đồng; lợi ích được phân chia theo lớp áp dụng tại Giải pháp 1, căn cứ nguồn hình thành tài sản, thời điểm giao nhiệm vụ và loại đối tượng.</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hoàn thiện biểu mẫu, ban hành quy trình và thực hiện các khâu 2, 4, 8. Chủ nhiệm đề tài thực hiện khâu 1. Bộ phận Pháp chế thực hiện các khâu 3 và 7. Hội đồng nghiệm thu thực hiện khâu 5. Hiệu trưởng và Phòng Tài chính - Kế toán thực hiện khâu 6. Viện Nghiên cứu giáo dục và Chuyển giao tri thức vận hành Không gian sáng tạo mở thử nghiệm theo nguyên tắc bảo mật tại khâu 4.</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Phiếu khai báo và phiếu rà soát được ban hành kèm quy trình; tài khoản truy cập công cụ tra cứu sáng chế; danh mục số tài sản trí tuệ dùng chung giữa Phòng Khoa học Công nghệ, Bộ phận Pháp chế và bộ phận quản trị thương hiệu; nhân sự đầu mối theo Giải pháp 2.</w:t>
      </w:r>
    </w:p>
    <w:p w14:paraId="0DE297E1" w14:textId="77777777" w:rsidR="005B561C" w:rsidRPr="000F7C87" w:rsidRDefault="00000000">
      <w:pPr>
        <w:keepNext/>
        <w:spacing w:before="200" w:after="100"/>
        <w:ind w:firstLine="0"/>
        <w:outlineLvl w:val="2"/>
        <w:rPr>
          <w:szCs w:val="26"/>
        </w:rPr>
      </w:pPr>
      <w:r w:rsidRPr="000F7C87">
        <w:rPr>
          <w:b/>
          <w:szCs w:val="26"/>
        </w:rPr>
        <w:t xml:space="preserve">3.2.4. Giải pháp 4: Hoàn thiện cơ chế tài chính cho bước xác lập quyền và phương án tổ chức khai thác tài sản trí tuệ theo giai đoạn</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Chương 2 cho thấy quy chế đã có căn cứ chi cho bước xác lập quyền tại Điều 35, Điều 38 Quyết định 213 và Điều 13 Quyết định 217, nhưng chưa thấy dự toán riêng, cách tạm ứng, thanh toán khi đơn được nộp sau nghiệm thu, thời hạn và người chịu trách nhiệm đề xuất chi; số liệu chi thực tế chưa được thống kê. Quy chế chi tiêu nội bộ năm 2026 ghi nhận văn bằng khi được cấp và chưa có tiền thưởng cho văn bằng, trong khi bài báo quốc tế được thưởng ngay khi đăng; hoạt động khai thác có thu phí còn nhỏ, ứng với hạn chế thứ sáu tại Mục 2.5.2. Giải pháp này nhằm chuyển căn cứ chi hiện có thành một dòng dự toán vận hành được, điều chỉnh thời điểm ghi nhận văn bằng và chuẩn bị phương án tổ chức khai thác theo giai đoạn.</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Lập dòng dự toán hằng năm cho phí xác lập quyền trong Quỹ nghiên cứu khoa học của Trường theo Chương VII Quyết định 213, trên cơ sở Điều 35 và Điều 38 Quyết định 213, phù hợp với điểm b khoản 2 Điều 66 Luật số 93/2025/QH15 và trách nhiệm thành lập quỹ phát triển khoa học và công nghệ tại điểm d khoản 3 Điều 28 Luật Giáo dục đại học số 125/2025/QH15. Dòng dự toán chi trả lệ phí nộp đơn, phí thẩm định, phí công bố, phí đại diện sở hữu công nghiệp cho các kết quả đã qua Khâu 5, kể cả khi đề tài đã quyết toán; quy định rõ người đề xuất chi là Phòng Khoa học Công nghệ, thời hạn đề xuất trong 15 ngày làm việc kể từ khi có phiếu rà soát, hình thức tạm ứng cho Bộ phận Pháp chế và hồ sơ thanh toán. Quy mô dự toán được tính từ số hồ sơ dự kiến nhân với mức phí theo quy định hiện hành về phí, lệ phí sở hữu công nghiệp, thay vì ấn định trước một tỷ lệ trích quỹ; tỷ lệ trích được để mở và điều chỉnh sau năm đầu. Sau khi đối chiếu văn bản Điều lệ, đề nghị bổ sung vào Điều lệ Quỹ Học bổng sau tiến sĩ Ngô Xuân Độ quy định cho phép hỗ trợ chi phí đăng ký đối với sản phẩm đề tài cấp cơ sở đã qua Khâu 5.</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Đề xuất sửa đổi Quy chế chi tiêu nội bộ năm 2026 theo hướng ghi nhận 50% định mức giờ nghiên cứu quy đổi khi Cục Sở hữu trí tuệ ra thông báo chấp nhận đơn hợp lệ và 50% còn lại khi văn bằng được cấp; xem xét mức thưởng bằng tiền cho bằng độc quyền sáng chế, giải pháp hữu ích, với mức cụ thể do Phòng Tài chính - Kế toán tính toán trên số hồ sơ dự kiến trước khi trình. Đây là thưởng theo quy chế nội bộ, tách biệt với thưởng khi thương mại hóa theo Điều 28 Luật số 93/2025/QH15 và thù lao theo Điều 135 Luật Sở hữu trí tuệ.</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Chuẩn bị phương án tổ chức khai thác theo giai đoạn. Ở giai đoạn 1 và 2, việc định giá, đàm phán, ký hợp đồng chuyển giao được thực hiện qua Phòng Khoa học Công nghệ, Bộ phận Pháp chế và hợp đồng thuê tổ chức tư vấn bên ngoài. Việc xây dựng Đề án thành lập doanh nghiệp quản lý tài sản trí tuệ theo khoản 1 Điều 28 Luật Giáo dục đại học số 125/2025/QH15 chỉ được đặt ra khi đạt các điều kiện chuyển bước: danh mục có tài sản đã được cấp văn bằng và có đối tác quan tâm, đã có ít nhất một hợp đồng chuyển giao hoặc cấp phép được thực hiện, và phương án tài chính cho thấy doanh nghiệp có thể tự trang trải chi phí vận hành. Khi đó, doanh nghiệp có chức năng định giá tài sản trí tuệ theo phương pháp chi phí, phương pháp thu nhập và phương pháp thị trường; góp vốn bằng tài sản trí tuệ; đàm phán và ký kết hợp đồng chuyển nhượng, cấp phép sử dụng các đối tượng sở hữu trí tuệ của Nhà trường.</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Tài chính - Kế toán chủ trì lập dòng dự toán, quy định tạm ứng và đề xuất sửa đổi Quy chế chi tiêu nội bộ. Phòng Khoa học Công nghệ đề xuất danh sách hồ sơ cần kinh phí. Viện Nghiên cứu giáo dục và Chuyển giao tri thức phối hợp xây dựng phương án tổ chức khai thác. Bộ phận Pháp chế rà soát tính pháp lý. Ban Giám hiệu trình Hội đồng trường phê duyệt các nội dung thuộc thẩm quyền.</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Dòng dự toán phí xác lập quyền được lập từ năm 2027 căn cứ số hồ sơ dự kiến; nguồn bổ sung từ hợp đồng dịch vụ khoa học công nghệ, chuyển giao công nghệ và các nguồn tài trợ hợp pháp khác.</w:t>
      </w:r>
    </w:p>
    <w:p w14:paraId="0DE297E1" w14:textId="77777777" w:rsidR="005B561C" w:rsidRPr="000F7C87" w:rsidRDefault="00000000">
      <w:pPr>
        <w:keepNext/>
        <w:spacing w:before="200" w:after="100"/>
        <w:ind w:firstLine="0"/>
        <w:outlineLvl w:val="2"/>
        <w:rPr>
          <w:szCs w:val="26"/>
        </w:rPr>
      </w:pPr>
      <w:r w:rsidRPr="000F7C87">
        <w:rPr>
          <w:b/>
          <w:szCs w:val="26"/>
        </w:rPr>
        <w:t>3.2.5. Giải pháp 5: Phát triển chương trình đào tạo định hướng ban đầu cho giảng viên và sinh viên, kích hoạt phong trào đăng ký và phát triển văn hóa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Chương 2 không sử dụng khảo sát nhận thức, nhưng các dữ kiện hành vi cho thấy đội ngũ cần được hỗ trợ thêm về kỹ năng nhận diện và bảo hộ tài sản trí tuệ: 6 đề tài mã số 2021 - 2024 có sản phẩm tiềm năng sở hữu công nghiệp chưa có đơn; hai đề tài năm 2025 ghi dự kiến đăng ký giải pháp hữu ích nhưng chưa có đơn; 87 giáo trình chưa được đăng ký quyền tác giả, dù quyền tác giả đã phát sinh và Nhà trường là chủ sở hữu quyền tài sản theo khoản 1 Điều 39 Luật Sở hữu trí tuệ khi giao nhiệm vụ biên soạn và không có thỏa thuận khác, nên việc đăng ký có ý nghĩa tạo chứng cứ khi khai thác hoặc tranh chấp; Kế hoạch 07/KH-ĐHTĐ chỉ thống kê 12 lượt tập huấn chung trong giai đoạn 2019 - 2023 và không tách riêng tập huấn về sở hữu trí tuệ. Giải pháp này nhằm nâng kỹ năng nhận diện, bộc lộ an toàn và chủ động đón đầu định hướng nghiên cứu đưa sở hữu trí tuệ thành nội dung học bắt buộc tại điểm b khoản 8 Mục III Điều 1 Quyết định số 1068/QĐ-TTg đã được sửa đổi tại Quyết định số 1624/QĐ-TTg.</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Đưa sở hữu trí tuệ thành học phần bắt buộc hoặc tự chọn có tín chỉ trong chương trình đào tạo sinh viên tất cả các khối ngành. Nội dung học phần bao gồm: kiến thức cơ bản về các đối tượng bảo hộ, kỹ năng tra cứu cơ sở dữ liệu sáng chế, quy trình đăng ký bảo hộ, đạo đức nghiên cứu và trách nhiệm tôn trọng quyền sở hữu trí tuệ. Lộ trình đưa vào chương trình đào tạo từ năm học 2027 - 2028.</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Xây dựng Chuỗi chương trình tập huấn định hướng ban đầu cho giảng viên mới và giảng viên đang công tác. Chương trình tập trung vào hai nhóm kỹ năng then chốt: kỹ năng nhận diện đối tượng bảo hộ trong kết quả nghiên cứu và kỹ năng bộc lộ sáng chế an toàn trước khi công bố bài báo. Mỗi giảng viên mới tuyển dụng bắt buộc phải hoàn thành tập huấn trong 06 tháng đầu tiên.</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Định kỳ hằng năm tổ chức Tháng cao điểm Sở hữu trí tuệ và Đổi mới sáng tạo Trường Đại học Thành Đô (dự kiến tháng 4, trùng với Ngày Sở hữu trí tuệ thế giới 26 tháng 4), bao gồm: Hội thảo chuyên đề; Cuộc thi ý tưởng sáng tạo dành cho sinh viên; Triển lãm sản phẩm nghiên cứu đã được cấp văn bằng bảo hộ; Lễ tôn vinh tác giả sở hữu trí tuệ tiêu biểu trong năm.</w:t>
      </w:r>
    </w:p>
    <w:p w14:paraId="48E95726" w14:textId="77777777" w:rsidR="005B561C" w:rsidRPr="000F7C87" w:rsidRDefault="00000000">
      <w:pPr>
        <w:rPr>
          <w:szCs w:val="26"/>
        </w:rPr>
      </w:pPr>
      <w:r w:rsidRPr="000F7C87">
        <w:rPr>
          <w:szCs w:val="26"/>
          <w:b/>
        </w:rPr>
        <w:t xml:space="preserve">Nội dung 4:</w:t>
      </w:r>
      <w:r w:rsidRPr="000F7C87">
        <w:rPr>
          <w:szCs w:val="26"/>
        </w:rPr>
        <w:t xml:space="preserve"> 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với Nền tảng số quốc gia theo điểm đ khoản 3 Điều 28 Luật Giáo dục đại học số 125/2025/QH15 và cung cấp dữ liệu cho báo cáo trên HEMIS.</w:t>
      </w:r>
    </w:p>
    <w:p w14:paraId="48E95726" w14:textId="77777777" w:rsidR="005B561C" w:rsidRPr="000F7C87" w:rsidRDefault="00000000">
      <w:pPr>
        <w:rPr>
          <w:szCs w:val="26"/>
        </w:rPr>
      </w:pPr>
      <w:r w:rsidRPr="000F7C87">
        <w:rPr>
          <w:szCs w:val="26"/>
          <w:b/>
        </w:rPr>
        <w:t xml:space="preserve">Nội dung 5:</w:t>
      </w:r>
      <w:r w:rsidRPr="000F7C87">
        <w:rPr>
          <w:szCs w:val="26"/>
        </w:rPr>
        <w:t xml:space="preserve"> Rà soát 87 giáo trình, tài liệu giảng dạy giai đoạn 2021 - 2025 để xác định chủ thể quyền, đồng tác giả và tài liệu có nhu cầu khai thác ngoài Trường; chỉ đăng ký quyền tác giả cho tài liệu cần chứng cứ, thay vì đăng ký đại trà.</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phối hợp với Phòng Đào tạo xây dựng đề cương học phần. Viện Nghiên cứu giáo dục và Chuyển giao tri thức phối hợp tổ chức Hội thảo chuyên đề. Trung tâm Tuyển sinh và Quản trị thương hiệu phối hợp truyền thông. Đoàn Thanh niên và Công đoàn phối hợp vận động phong trào.</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Nguồn kinh phí từ Quỹ phát triển khoa học công nghệ, kinh phí đào tạo thường xuyên và kinh phí truyền thông của Nhà trường. Mời chuyên gia từ Cục Sở hữu trí tuệ, Viện Khoa học Sở hữu trí tuệ và các đại diện sở hữu công nghiệp tham gia giảng dạy các chuyên đề nâng cao.</w:t>
      </w:r>
    </w:p>
    <w:p w14:paraId="0DE297E1" w14:textId="77777777" w:rsidR="005B561C" w:rsidRPr="000F7C87" w:rsidRDefault="00000000">
      <w:pPr>
        <w:keepNext/>
        <w:spacing w:before="200" w:after="100"/>
        <w:ind w:firstLine="0"/>
        <w:outlineLvl w:val="2"/>
        <w:rPr>
          <w:szCs w:val="26"/>
        </w:rPr>
      </w:pPr>
      <w:r w:rsidRPr="000F7C87">
        <w:rPr>
          <w:b/>
          <w:szCs w:val="26"/>
        </w:rPr>
        <w:t>3.2.6. Tổ chức thực hiện các giải pháp</w:t>
      </w:r>
    </w:p>
    <w:p w14:paraId="48E95726" w14:textId="77777777" w:rsidR="005B561C" w:rsidRPr="000F7C87" w:rsidRDefault="00000000">
      <w:pPr>
        <w:rPr>
          <w:szCs w:val="26"/>
        </w:rPr>
      </w:pPr>
      <w:r w:rsidRPr="000F7C87">
        <w:rPr>
          <w:szCs w:val="26"/>
        </w:rPr>
        <w:t xml:space="preserve">Năm nhóm giải pháp được thiết kế để mỗi nhóm xử lý một hoặc một số hạn chế đã xác định tại Mục 2.5.2 và các nguyên nhân tại Mục 2.5.3. Bảng 3.3 tổng hợp đơn vị chủ trì, đơn vị phối hợp, nguồn lực, thời gian, sản phẩm đầu ra và cách đánh giá của từng giải pháp; các chỉ số đánh giá được định nghĩa tại Bảng 3.4.</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3.3. Tổ chức thực hiện các giải pháp theo hạn chế được xử lý</w:t>
      </w:r>
    </w:p>
    <w:tbl>
      <w:tblPr>
        <w:tblStyle w:val="TableGrid"/>
        <w:tblW w:w="0" w:type="auto"/>
        <w:jc w:val="center"/>
        <w:tblLook w:val="04A0" w:firstRow="1" w:lastRow="0" w:firstColumn="1" w:lastColumn="0" w:noHBand="0" w:noVBand="1"/>
      </w:tblPr>
      <w:tblGrid>
        <w:gridCol w:w="1915"/>
        <w:gridCol w:w="1577"/>
        <w:gridCol w:w="1408"/>
        <w:gridCol w:w="1126"/>
        <w:gridCol w:w="1577"/>
        <w:gridCol w:w="1464"/>
      </w:tblGrid>
      <w:tr>
        <w:trPr>
          <w:tblHeader/>
          <w:cantSplit/>
        </w:trPr>
        <w:tc>
          <w:tcPr>
            <w:tcW w:w="1915" w:type="dxa"/>
            <w:shd w:val="clear" w:color="auto" w:fill="DCE8F7"/>
            <w:vAlign w:val="center"/>
          </w:tcPr>
          <w:p>
            <w:pPr>
              <w:spacing w:before="20" w:after="20" w:line="252" w:lineRule="auto"/>
              <w:ind w:firstLine="0"/>
              <w:jc w:val="center"/>
            </w:pPr>
            <w:r>
              <w:rPr>
                <w:b/>
                <w:sz w:val="24"/>
              </w:rPr>
              <w:t xml:space="preserve">Giải pháp và hạn chế được xử lý</w:t>
            </w:r>
          </w:p>
        </w:tc>
        <w:tc>
          <w:tcPr>
            <w:tcW w:w="1577" w:type="dxa"/>
            <w:shd w:val="clear" w:color="auto" w:fill="DCE8F7"/>
            <w:vAlign w:val="center"/>
          </w:tcPr>
          <w:p>
            <w:pPr>
              <w:spacing w:before="20" w:after="20" w:line="252" w:lineRule="auto"/>
              <w:ind w:firstLine="0"/>
              <w:jc w:val="center"/>
            </w:pPr>
            <w:r>
              <w:rPr>
                <w:b/>
                <w:sz w:val="24"/>
              </w:rPr>
              <w:t xml:space="preserve">Chủ trì; phối hợp</w:t>
            </w:r>
          </w:p>
        </w:tc>
        <w:tc>
          <w:tcPr>
            <w:tcW w:w="1408" w:type="dxa"/>
            <w:shd w:val="clear" w:color="auto" w:fill="DCE8F7"/>
            <w:vAlign w:val="center"/>
          </w:tcPr>
          <w:p>
            <w:pPr>
              <w:spacing w:before="20" w:after="20" w:line="252" w:lineRule="auto"/>
              <w:ind w:firstLine="0"/>
              <w:jc w:val="center"/>
            </w:pPr>
            <w:r>
              <w:rPr>
                <w:b/>
                <w:sz w:val="24"/>
              </w:rPr>
              <w:t xml:space="preserve">Nguồn lực</w:t>
            </w:r>
          </w:p>
        </w:tc>
        <w:tc>
          <w:tcPr>
            <w:tcW w:w="1126" w:type="dxa"/>
            <w:shd w:val="clear" w:color="auto" w:fill="DCE8F7"/>
            <w:vAlign w:val="center"/>
          </w:tcPr>
          <w:p>
            <w:pPr>
              <w:spacing w:before="20" w:after="20" w:line="252" w:lineRule="auto"/>
              <w:ind w:firstLine="0"/>
              <w:jc w:val="center"/>
            </w:pPr>
            <w:r>
              <w:rPr>
                <w:b/>
                <w:sz w:val="24"/>
              </w:rPr>
              <w:t xml:space="preserve">Thời gian</w:t>
            </w:r>
          </w:p>
        </w:tc>
        <w:tc>
          <w:tcPr>
            <w:tcW w:w="1577" w:type="dxa"/>
            <w:shd w:val="clear" w:color="auto" w:fill="DCE8F7"/>
            <w:vAlign w:val="center"/>
          </w:tcPr>
          <w:p>
            <w:pPr>
              <w:spacing w:before="20" w:after="20" w:line="252" w:lineRule="auto"/>
              <w:ind w:firstLine="0"/>
              <w:jc w:val="center"/>
            </w:pPr>
            <w:r>
              <w:rPr>
                <w:b/>
                <w:sz w:val="24"/>
              </w:rPr>
              <w:t xml:space="preserve">Sản phẩm đầu ra</w:t>
            </w:r>
          </w:p>
        </w:tc>
        <w:tc>
          <w:tcPr>
            <w:tcW w:w="1464" w:type="dxa"/>
            <w:shd w:val="clear" w:color="auto" w:fill="DCE8F7"/>
            <w:vAlign w:val="center"/>
          </w:tcPr>
          <w:p>
            <w:pPr>
              <w:spacing w:before="20" w:after="20" w:line="252" w:lineRule="auto"/>
              <w:ind w:firstLine="0"/>
              <w:jc w:val="center"/>
            </w:pPr>
            <w:r>
              <w:rPr>
                <w:b/>
                <w:sz w:val="24"/>
              </w:rPr>
              <w:t xml:space="preserve">Cách đánh giá</w:t>
            </w:r>
          </w:p>
        </w:tc>
      </w:tr>
      <w:tr>
        <w:trPr/>
        <w:tc>
          <w:tcPr>
            <w:tcW w:w="1915" w:type="dxa"/>
            <w:vAlign w:val="center"/>
          </w:tcPr>
          <w:p>
            <w:pPr>
              <w:spacing w:before="20" w:after="20" w:line="252" w:lineRule="auto"/>
              <w:ind w:firstLine="0"/>
              <w:jc w:val="left"/>
            </w:pPr>
            <w:r>
              <w:rPr>
                <w:b/>
                <w:sz w:val="24"/>
              </w:rPr>
              <w:t xml:space="preserve">Giải pháp 1.</w:t>
            </w:r>
            <w:r>
              <w:rPr>
                <w:sz w:val="24"/>
              </w:rPr>
              <w:t xml:space="preserve"> Hạn chế thứ hai: chưa rõ phạm vi, thứ tự áp dụng quy định về lợi ích của tác giả</w:t>
            </w:r>
          </w:p>
        </w:tc>
        <w:tc>
          <w:tcPr>
            <w:tcW w:w="1577" w:type="dxa"/>
            <w:vAlign w:val="center"/>
          </w:tcPr>
          <w:p>
            <w:pPr>
              <w:spacing w:before="20" w:after="20" w:line="252" w:lineRule="auto"/>
              <w:ind w:firstLine="0"/>
              <w:jc w:val="left"/>
            </w:pPr>
            <w:r>
              <w:rPr>
                <w:sz w:val="24"/>
              </w:rPr>
              <w:t xml:space="preserve">Bộ phận Pháp chế; Phòng Khoa học Công nghệ, Phòng Tài chính - Kế toán</w:t>
            </w:r>
          </w:p>
        </w:tc>
        <w:tc>
          <w:tcPr>
            <w:tcW w:w="1408" w:type="dxa"/>
            <w:vAlign w:val="center"/>
          </w:tcPr>
          <w:p>
            <w:pPr>
              <w:spacing w:before="20" w:after="20" w:line="252" w:lineRule="auto"/>
              <w:ind w:firstLine="0"/>
              <w:jc w:val="left"/>
            </w:pPr>
            <w:r>
              <w:rPr>
                <w:sz w:val="24"/>
              </w:rPr>
              <w:t xml:space="preserve">Ngân sách thường xuyên; chuyên gia rà soát dự thảo</w:t>
            </w:r>
          </w:p>
        </w:tc>
        <w:tc>
          <w:tcPr>
            <w:tcW w:w="1126" w:type="dxa"/>
            <w:vAlign w:val="center"/>
          </w:tcPr>
          <w:p>
            <w:pPr>
              <w:spacing w:before="20" w:after="20" w:line="252" w:lineRule="auto"/>
              <w:ind w:firstLine="0"/>
              <w:jc w:val="left"/>
            </w:pPr>
            <w:r>
              <w:rPr>
                <w:sz w:val="24"/>
              </w:rPr>
              <w:t xml:space="preserve">Quý IV/2026 đến 31/5/2027</w:t>
            </w:r>
          </w:p>
        </w:tc>
        <w:tc>
          <w:tcPr>
            <w:tcW w:w="1577" w:type="dxa"/>
            <w:vAlign w:val="center"/>
          </w:tcPr>
          <w:p>
            <w:pPr>
              <w:spacing w:before="20" w:after="20" w:line="252" w:lineRule="auto"/>
              <w:ind w:firstLine="0"/>
              <w:jc w:val="left"/>
            </w:pPr>
            <w:r>
              <w:rPr>
                <w:sz w:val="24"/>
              </w:rPr>
              <w:t xml:space="preserve">Quy chế sửa đổi; bảng phạm vi và thứ tự áp dụng; bảng mô phỏng tỷ lệ</w:t>
            </w:r>
          </w:p>
        </w:tc>
        <w:tc>
          <w:tcPr>
            <w:tcW w:w="1464" w:type="dxa"/>
            <w:vAlign w:val="center"/>
          </w:tcPr>
          <w:p>
            <w:pPr>
              <w:spacing w:before="20" w:after="20" w:line="252" w:lineRule="auto"/>
              <w:ind w:firstLine="0"/>
              <w:jc w:val="left"/>
            </w:pPr>
            <w:r>
              <w:rPr>
                <w:sz w:val="24"/>
              </w:rPr>
              <w:t xml:space="preserve">Ban hành đúng hạn; mỗi tình huống chuyển giao xác định được quy định áp dụng</w:t>
            </w:r>
          </w:p>
        </w:tc>
      </w:tr>
      <w:tr>
        <w:trPr/>
        <w:tc>
          <w:tcPr>
            <w:tcW w:w="1915" w:type="dxa"/>
            <w:vAlign w:val="center"/>
          </w:tcPr>
          <w:p>
            <w:pPr>
              <w:spacing w:before="20" w:after="20" w:line="252" w:lineRule="auto"/>
              <w:ind w:firstLine="0"/>
              <w:jc w:val="left"/>
            </w:pPr>
            <w:r>
              <w:rPr>
                <w:b/>
                <w:sz w:val="24"/>
              </w:rPr>
              <w:t xml:space="preserve">Giải pháp 2.</w:t>
            </w:r>
            <w:r>
              <w:rPr>
                <w:sz w:val="24"/>
              </w:rPr>
              <w:t xml:space="preserve"> Hạn chế thứ ba: phối hợp chưa liên thông, chưa có chuyên trách</w:t>
            </w:r>
          </w:p>
        </w:tc>
        <w:tc>
          <w:tcPr>
            <w:tcW w:w="1577" w:type="dxa"/>
            <w:vAlign w:val="center"/>
          </w:tcPr>
          <w:p>
            <w:pPr>
              <w:spacing w:before="20" w:after="20" w:line="252" w:lineRule="auto"/>
              <w:ind w:firstLine="0"/>
              <w:jc w:val="left"/>
            </w:pPr>
            <w:r>
              <w:rPr>
                <w:sz w:val="24"/>
              </w:rPr>
              <w:t xml:space="preserve">Ban Giám hiệu; Phòng Khoa học Công nghệ, Bộ phận Pháp chế</w:t>
            </w:r>
          </w:p>
        </w:tc>
        <w:tc>
          <w:tcPr>
            <w:tcW w:w="1408" w:type="dxa"/>
            <w:vAlign w:val="center"/>
          </w:tcPr>
          <w:p>
            <w:pPr>
              <w:spacing w:before="20" w:after="20" w:line="252" w:lineRule="auto"/>
              <w:ind w:firstLine="0"/>
              <w:jc w:val="left"/>
            </w:pPr>
            <w:r>
              <w:rPr>
                <w:sz w:val="24"/>
              </w:rPr>
              <w:t xml:space="preserve">Nhân sự hiện có kiêm nhiệm; kinh phí tập huấn</w:t>
            </w:r>
          </w:p>
        </w:tc>
        <w:tc>
          <w:tcPr>
            <w:tcW w:w="1126" w:type="dxa"/>
            <w:vAlign w:val="center"/>
          </w:tcPr>
          <w:p>
            <w:pPr>
              <w:spacing w:before="20" w:after="20" w:line="252" w:lineRule="auto"/>
              <w:ind w:firstLine="0"/>
              <w:jc w:val="left"/>
            </w:pPr>
            <w:r>
              <w:rPr>
                <w:sz w:val="24"/>
              </w:rPr>
              <w:t xml:space="preserve">Từ quý IV/2026; xem xét chuyên trách từ năm 2028</w:t>
            </w:r>
          </w:p>
        </w:tc>
        <w:tc>
          <w:tcPr>
            <w:tcW w:w="1577" w:type="dxa"/>
            <w:vAlign w:val="center"/>
          </w:tcPr>
          <w:p>
            <w:pPr>
              <w:spacing w:before="20" w:after="20" w:line="252" w:lineRule="auto"/>
              <w:ind w:firstLine="0"/>
              <w:jc w:val="left"/>
            </w:pPr>
            <w:r>
              <w:rPr>
                <w:sz w:val="24"/>
              </w:rPr>
              <w:t xml:space="preserve">Quyết định giao đầu mối; quy chế phối hợp; báo cáo khối lượng hồ sơ</w:t>
            </w:r>
          </w:p>
        </w:tc>
        <w:tc>
          <w:tcPr>
            <w:tcW w:w="1464" w:type="dxa"/>
            <w:vAlign w:val="center"/>
          </w:tcPr>
          <w:p>
            <w:pPr>
              <w:spacing w:before="20" w:after="20" w:line="252" w:lineRule="auto"/>
              <w:ind w:firstLine="0"/>
              <w:jc w:val="left"/>
            </w:pPr>
            <w:r>
              <w:rPr>
                <w:sz w:val="24"/>
              </w:rPr>
              <w:t xml:space="preserve">Số hồ sơ xử lý đúng hạn; quyết định nhân sự dựa trên ngưỡng</w:t>
            </w:r>
          </w:p>
        </w:tc>
      </w:tr>
      <w:tr>
        <w:trPr/>
        <w:tc>
          <w:tcPr>
            <w:tcW w:w="1915" w:type="dxa"/>
            <w:vAlign w:val="center"/>
          </w:tcPr>
          <w:p>
            <w:pPr>
              <w:spacing w:before="20" w:after="20" w:line="252" w:lineRule="auto"/>
              <w:ind w:firstLine="0"/>
              <w:jc w:val="left"/>
            </w:pPr>
            <w:r>
              <w:rPr>
                <w:b/>
                <w:sz w:val="24"/>
              </w:rPr>
              <w:t xml:space="preserve">Giải pháp 3.</w:t>
            </w:r>
            <w:r>
              <w:rPr>
                <w:sz w:val="24"/>
              </w:rPr>
              <w:t xml:space="preserve"> Hạn chế thứ nhất, thứ tư, thứ năm, thứ bảy: chuyển hóa thấp, thiếu sàng lọc, dữ liệu rời rạc</w:t>
            </w:r>
          </w:p>
        </w:tc>
        <w:tc>
          <w:tcPr>
            <w:tcW w:w="1577" w:type="dxa"/>
            <w:vAlign w:val="center"/>
          </w:tcPr>
          <w:p>
            <w:pPr>
              <w:spacing w:before="20" w:after="20" w:line="252" w:lineRule="auto"/>
              <w:ind w:firstLine="0"/>
              <w:jc w:val="left"/>
            </w:pPr>
            <w:r>
              <w:rPr>
                <w:sz w:val="24"/>
              </w:rPr>
              <w:t xml:space="preserve">Phòng Khoa học Công nghệ; Bộ phận Pháp chế, Hội đồng nghiệm thu, các viện</w:t>
            </w:r>
          </w:p>
        </w:tc>
        <w:tc>
          <w:tcPr>
            <w:tcW w:w="1408" w:type="dxa"/>
            <w:vAlign w:val="center"/>
          </w:tcPr>
          <w:p>
            <w:pPr>
              <w:spacing w:before="20" w:after="20" w:line="252" w:lineRule="auto"/>
              <w:ind w:firstLine="0"/>
              <w:jc w:val="left"/>
            </w:pPr>
            <w:r>
              <w:rPr>
                <w:sz w:val="24"/>
              </w:rPr>
              <w:t xml:space="preserve">Biểu mẫu hiện có được hoàn thiện; công cụ tra cứu; danh mục số</w:t>
            </w:r>
          </w:p>
        </w:tc>
        <w:tc>
          <w:tcPr>
            <w:tcW w:w="1126" w:type="dxa"/>
            <w:vAlign w:val="center"/>
          </w:tcPr>
          <w:p>
            <w:pPr>
              <w:spacing w:before="20" w:after="20" w:line="252" w:lineRule="auto"/>
              <w:ind w:firstLine="0"/>
              <w:jc w:val="left"/>
            </w:pPr>
            <w:r>
              <w:rPr>
                <w:sz w:val="24"/>
              </w:rPr>
              <w:t xml:space="preserve">Thí điểm quý IV/2026 - quý II/2027; toàn trường từ quý III/2027</w:t>
            </w:r>
          </w:p>
        </w:tc>
        <w:tc>
          <w:tcPr>
            <w:tcW w:w="1577" w:type="dxa"/>
            <w:vAlign w:val="center"/>
          </w:tcPr>
          <w:p>
            <w:pPr>
              <w:spacing w:before="20" w:after="20" w:line="252" w:lineRule="auto"/>
              <w:ind w:firstLine="0"/>
              <w:jc w:val="left"/>
            </w:pPr>
            <w:r>
              <w:rPr>
                <w:sz w:val="24"/>
              </w:rPr>
              <w:t xml:space="preserve">Phiếu khai báo, phiếu rà soát; quy trình 8 khâu; danh mục số</w:t>
            </w:r>
          </w:p>
        </w:tc>
        <w:tc>
          <w:tcPr>
            <w:tcW w:w="1464" w:type="dxa"/>
            <w:vAlign w:val="center"/>
          </w:tcPr>
          <w:p>
            <w:pPr>
              <w:spacing w:before="20" w:after="20" w:line="252" w:lineRule="auto"/>
              <w:ind w:firstLine="0"/>
              <w:jc w:val="left"/>
            </w:pPr>
            <w:r>
              <w:rPr>
                <w:sz w:val="24"/>
              </w:rPr>
              <w:t xml:space="preserve">Chỉ số 4 đến 8 và 11 tại Bảng 3.4</w:t>
            </w:r>
          </w:p>
        </w:tc>
      </w:tr>
      <w:tr>
        <w:trPr/>
        <w:tc>
          <w:tcPr>
            <w:tcW w:w="1915" w:type="dxa"/>
            <w:vAlign w:val="center"/>
          </w:tcPr>
          <w:p>
            <w:pPr>
              <w:spacing w:before="20" w:after="20" w:line="252" w:lineRule="auto"/>
              <w:ind w:firstLine="0"/>
              <w:jc w:val="left"/>
            </w:pPr>
            <w:r>
              <w:rPr>
                <w:b/>
                <w:sz w:val="24"/>
              </w:rPr>
              <w:t xml:space="preserve">Giải pháp 4.</w:t>
            </w:r>
            <w:r>
              <w:rPr>
                <w:sz w:val="24"/>
              </w:rPr>
              <w:t xml:space="preserve"> Nguyên nhân về nguồn lực, động lực; hạn chế thứ sáu: khai thác nhỏ</w:t>
            </w:r>
          </w:p>
        </w:tc>
        <w:tc>
          <w:tcPr>
            <w:tcW w:w="1577" w:type="dxa"/>
            <w:vAlign w:val="center"/>
          </w:tcPr>
          <w:p>
            <w:pPr>
              <w:spacing w:before="20" w:after="20" w:line="252" w:lineRule="auto"/>
              <w:ind w:firstLine="0"/>
              <w:jc w:val="left"/>
            </w:pPr>
            <w:r>
              <w:rPr>
                <w:sz w:val="24"/>
              </w:rPr>
              <w:t xml:space="preserve">Phòng Tài chính - Kế toán; Phòng Khoa học Công nghệ, Bộ phận Pháp chế, Viện Nghiên cứu giáo dục và Chuyển giao tri thức</w:t>
            </w:r>
          </w:p>
        </w:tc>
        <w:tc>
          <w:tcPr>
            <w:tcW w:w="1408" w:type="dxa"/>
            <w:vAlign w:val="center"/>
          </w:tcPr>
          <w:p>
            <w:pPr>
              <w:spacing w:before="20" w:after="20" w:line="252" w:lineRule="auto"/>
              <w:ind w:firstLine="0"/>
              <w:jc w:val="left"/>
            </w:pPr>
            <w:r>
              <w:rPr>
                <w:sz w:val="24"/>
              </w:rPr>
              <w:t xml:space="preserve">Quỹ nghiên cứu khoa học; nguồn thu dịch vụ khoa học công nghệ</w:t>
            </w:r>
          </w:p>
        </w:tc>
        <w:tc>
          <w:tcPr>
            <w:tcW w:w="1126" w:type="dxa"/>
            <w:vAlign w:val="center"/>
          </w:tcPr>
          <w:p>
            <w:pPr>
              <w:spacing w:before="20" w:after="20" w:line="252" w:lineRule="auto"/>
              <w:ind w:firstLine="0"/>
              <w:jc w:val="left"/>
            </w:pPr>
            <w:r>
              <w:rPr>
                <w:sz w:val="24"/>
              </w:rPr>
              <w:t xml:space="preserve">Dự toán từ năm 2027; phương án khai thác ở giai đoạn 2</w:t>
            </w:r>
          </w:p>
        </w:tc>
        <w:tc>
          <w:tcPr>
            <w:tcW w:w="1577" w:type="dxa"/>
            <w:vAlign w:val="center"/>
          </w:tcPr>
          <w:p>
            <w:pPr>
              <w:spacing w:before="20" w:after="20" w:line="252" w:lineRule="auto"/>
              <w:ind w:firstLine="0"/>
              <w:jc w:val="left"/>
            </w:pPr>
            <w:r>
              <w:rPr>
                <w:sz w:val="24"/>
              </w:rPr>
              <w:t xml:space="preserve">Dòng dự toán, quy định tạm ứng; đề xuất sửa Quy chế chi tiêu; phương án tổ chức khai thác</w:t>
            </w:r>
          </w:p>
        </w:tc>
        <w:tc>
          <w:tcPr>
            <w:tcW w:w="1464" w:type="dxa"/>
            <w:vAlign w:val="center"/>
          </w:tcPr>
          <w:p>
            <w:pPr>
              <w:spacing w:before="20" w:after="20" w:line="252" w:lineRule="auto"/>
              <w:ind w:firstLine="0"/>
              <w:jc w:val="left"/>
            </w:pPr>
            <w:r>
              <w:rPr>
                <w:sz w:val="24"/>
              </w:rPr>
              <w:t xml:space="preserve">Thời gian từ phiếu đến nộp đơn; chỉ số 12, 13 tại Bảng 3.4; điều kiện chuyển bước</w:t>
            </w:r>
          </w:p>
        </w:tc>
      </w:tr>
      <w:tr>
        <w:trPr/>
        <w:tc>
          <w:tcPr>
            <w:tcW w:w="1915" w:type="dxa"/>
            <w:vAlign w:val="center"/>
          </w:tcPr>
          <w:p>
            <w:pPr>
              <w:spacing w:before="20" w:after="20" w:line="252" w:lineRule="auto"/>
              <w:ind w:firstLine="0"/>
              <w:jc w:val="left"/>
            </w:pPr>
            <w:r>
              <w:rPr>
                <w:b/>
                <w:sz w:val="24"/>
              </w:rPr>
              <w:t xml:space="preserve">Giải pháp 5.</w:t>
            </w:r>
            <w:r>
              <w:rPr>
                <w:sz w:val="24"/>
              </w:rPr>
              <w:t xml:space="preserve"> Hạn chế thứ nhất về kỹ năng nhận diện; giáo trình chưa đăng ký</w:t>
            </w:r>
          </w:p>
        </w:tc>
        <w:tc>
          <w:tcPr>
            <w:tcW w:w="1577" w:type="dxa"/>
            <w:vAlign w:val="center"/>
          </w:tcPr>
          <w:p>
            <w:pPr>
              <w:spacing w:before="20" w:after="20" w:line="252" w:lineRule="auto"/>
              <w:ind w:firstLine="0"/>
              <w:jc w:val="left"/>
            </w:pPr>
            <w:r>
              <w:rPr>
                <w:sz w:val="24"/>
              </w:rPr>
              <w:t xml:space="preserve">Phòng Khoa học Công nghệ; Phòng Đào tạo, Viện Nghiên cứu giáo dục và Chuyển giao tri thức</w:t>
            </w:r>
          </w:p>
        </w:tc>
        <w:tc>
          <w:tcPr>
            <w:tcW w:w="1408" w:type="dxa"/>
            <w:vAlign w:val="center"/>
          </w:tcPr>
          <w:p>
            <w:pPr>
              <w:spacing w:before="20" w:after="20" w:line="252" w:lineRule="auto"/>
              <w:ind w:firstLine="0"/>
              <w:jc w:val="left"/>
            </w:pPr>
            <w:r>
              <w:rPr>
                <w:sz w:val="24"/>
              </w:rPr>
              <w:t xml:space="preserve">Kinh phí đào tạo thường xuyên; chuyên gia bên ngoài</w:t>
            </w:r>
          </w:p>
        </w:tc>
        <w:tc>
          <w:tcPr>
            <w:tcW w:w="1126" w:type="dxa"/>
            <w:vAlign w:val="center"/>
          </w:tcPr>
          <w:p>
            <w:pPr>
              <w:spacing w:before="20" w:after="20" w:line="252" w:lineRule="auto"/>
              <w:ind w:firstLine="0"/>
              <w:jc w:val="left"/>
            </w:pPr>
            <w:r>
              <w:rPr>
                <w:sz w:val="24"/>
              </w:rPr>
              <w:t xml:space="preserve">Từ năm 2027; học phần từ năm học 2027 - 2028</w:t>
            </w:r>
          </w:p>
        </w:tc>
        <w:tc>
          <w:tcPr>
            <w:tcW w:w="1577" w:type="dxa"/>
            <w:vAlign w:val="center"/>
          </w:tcPr>
          <w:p>
            <w:pPr>
              <w:spacing w:before="20" w:after="20" w:line="252" w:lineRule="auto"/>
              <w:ind w:firstLine="0"/>
              <w:jc w:val="left"/>
            </w:pPr>
            <w:r>
              <w:rPr>
                <w:sz w:val="24"/>
              </w:rPr>
              <w:t xml:space="preserve">Chương trình tập huấn; cẩm nang; danh mục giáo trình cần đăng ký</w:t>
            </w:r>
          </w:p>
        </w:tc>
        <w:tc>
          <w:tcPr>
            <w:tcW w:w="1464" w:type="dxa"/>
            <w:vAlign w:val="center"/>
          </w:tcPr>
          <w:p>
            <w:pPr>
              <w:spacing w:before="20" w:after="20" w:line="252" w:lineRule="auto"/>
              <w:ind w:firstLine="0"/>
              <w:jc w:val="left"/>
            </w:pPr>
            <w:r>
              <w:rPr>
                <w:sz w:val="24"/>
              </w:rPr>
              <w:t xml:space="preserve">Chỉ số 3 và 9 tại Bảng 3.4; số giáo trình được rà soát</w:t>
            </w:r>
          </w:p>
        </w:tc>
      </w:tr>
    </w:tbl>
    <w:p w14:paraId="645FDCAF" w14:textId="77777777" w:rsidR="005B561C" w:rsidRPr="000F7C87" w:rsidRDefault="00000000">
      <w:pPr>
        <w:spacing w:after="160"/>
        <w:ind w:firstLine="0"/>
        <w:rPr>
          <w:szCs w:val="26"/>
        </w:rPr>
      </w:pPr>
      <w:r w:rsidRPr="000F7C87">
        <w:rPr>
          <w:i/>
          <w:szCs w:val="26"/>
        </w:rPr>
        <w:t>Nguồn: Nhóm nghiên cứu đề xuất trên cơ sở Mục 2.5.2 và Mục 2.5.3.</w:t>
      </w:r>
    </w:p>
    <w:p w14:paraId="48E95726" w14:textId="77777777" w:rsidR="005B561C" w:rsidRPr="000F7C87" w:rsidRDefault="00000000">
      <w:pPr>
        <w:rPr>
          <w:szCs w:val="26"/>
        </w:rPr>
      </w:pPr>
      <w:r w:rsidRPr="000F7C87">
        <w:rPr>
          <w:szCs w:val="26"/>
        </w:rPr>
        <w:t xml:space="preserve">Bảng 3.3 cho thấy giai đoạn đầu chủ yếu dùng nguồn lực sẵn có: quy chế và biểu mẫu hiện hành được hoàn thiện thay vì thay thế, nhân sự hiện có được giao nhiệm vụ kiêm nhiệm, căn cứ chi tại Điều 35 và Điều 38 Quyết định 213 được chuyển thành dòng dự toán. Các đề xuất đòi hỏi nguồn lực lớn hơn, gồm vị trí chuyên trách, trung tâm tư vấn, định giá và doanh nghiệp quản lý tài sản trí tuệ, chỉ được đặt ra khi đạt điều kiện chuyển bước được đo bằng số liệu của chính các giải pháp giai đoạn đầu.</w:t>
      </w:r>
    </w:p>
    <w:p w14:paraId="6067EC56" w14:textId="77777777" w:rsidR="005B561C" w:rsidRPr="000F7C87" w:rsidRDefault="00000000">
      <w:pPr>
        <w:keepNext/>
        <w:spacing w:before="280" w:after="160"/>
        <w:ind w:firstLine="0"/>
        <w:outlineLvl w:val="1"/>
        <w:rPr>
          <w:szCs w:val="26"/>
        </w:rPr>
      </w:pPr>
      <w:r w:rsidRPr="000F7C87">
        <w:rPr>
          <w:b/>
          <w:szCs w:val="26"/>
        </w:rPr>
        <w:t xml:space="preserve">3.3. Kế hoạch thí điểm mô hình sàng lọc tại nghiệm thu</w:t>
      </w:r>
    </w:p>
    <w:p w14:paraId="0DE297E1" w14:textId="77777777" w:rsidR="005B561C" w:rsidRPr="000F7C87" w:rsidRDefault="00000000">
      <w:pPr>
        <w:keepNext/>
        <w:spacing w:before="200" w:after="100"/>
        <w:ind w:firstLine="0"/>
        <w:outlineLvl w:val="2"/>
        <w:rPr>
          <w:szCs w:val="26"/>
        </w:rPr>
      </w:pPr>
      <w:r w:rsidRPr="000F7C87">
        <w:rPr>
          <w:b/>
          <w:szCs w:val="26"/>
        </w:rPr>
        <w:t xml:space="preserve">3.3.1. Mục đích và phạm vi thí điểm dự kiến</w:t>
      </w:r>
    </w:p>
    <w:p w14:paraId="48E95726" w14:textId="77777777" w:rsidR="005B561C" w:rsidRPr="000F7C87" w:rsidRDefault="00000000">
      <w:pPr>
        <w:rPr>
          <w:szCs w:val="26"/>
        </w:rPr>
      </w:pPr>
      <w:r w:rsidRPr="000F7C87">
        <w:rPr>
          <w:szCs w:val="26"/>
        </w:rPr>
        <w:t xml:space="preserve">Thí điểm dưới đây là kế hoạch, chưa được triển khai. Để bảo đảm tính khả thi và giảm rủi ro khi áp dụng toàn trường, Đề tài đề xuất thí điểm Khâu 1, Khâu 4 và Khâu 5 của quy trình, gồm phiếu khai báo, xem xét bảo mật trước khi công bố và phiếu rà soát tại nghiệm thu, trước khi trình ban hành chính thức. Phạm vi dự kiến là các đề tài cấp cơ sở năm 2026 của Viện Y - Dược, nơi phát sinh 9 trên 11 sản phẩm tiềm năng giai đoạn 2021 - 2025 và đơn sáng chế duy nhất trong kỳ; Viện Nghiên cứu giáo dục và Chuyển giao tri thức tham gia với vai trò hỗ trợ khai thác. Thời gian dự kiến từ quý IV năm 2026 đến quý II năm 2027.</w:t>
      </w:r>
    </w:p>
    <w:p w14:paraId="48E95726" w14:textId="77777777" w:rsidR="005B561C" w:rsidRPr="000F7C87" w:rsidRDefault="00000000">
      <w:pPr>
        <w:rPr>
          <w:szCs w:val="26"/>
        </w:rPr>
      </w:pPr>
      <w:r w:rsidRPr="000F7C87">
        <w:rPr>
          <w:szCs w:val="26"/>
        </w:rPr>
        <w:t xml:space="preserve">Mục đích của việc thí điểm bao gồm: kiểm chứng tính khả thi và mức độ phù hợp của phiếu khai báo, phiếu rà soát; đo thời gian bổ sung cho mỗi phiên nghiệm thu; thu thập phản hồi của Hội đồng nghiệm thu và chủ nhiệm đề tài; phát hiện và điều chỉnh các điểm vướng mắc trước khi áp dụng toàn trường. Sản phẩm đầu ra là báo cáo đánh giá thí điểm, nêu số phiếu, số kết quả được sàng lọc, số đề xuất đăng ký, số đơn được nộp và thời gian xử lý.</w:t>
      </w:r>
    </w:p>
    <w:p w14:paraId="0DE297E1" w14:textId="77777777" w:rsidR="005B561C" w:rsidRPr="000F7C87" w:rsidRDefault="00000000">
      <w:pPr>
        <w:keepNext/>
        <w:spacing w:before="200" w:after="100"/>
        <w:ind w:firstLine="0"/>
        <w:outlineLvl w:val="2"/>
        <w:rPr>
          <w:szCs w:val="26"/>
        </w:rPr>
      </w:pPr>
      <w:r w:rsidRPr="000F7C87">
        <w:rPr>
          <w:b/>
          <w:szCs w:val="26"/>
        </w:rPr>
        <w:t xml:space="preserve">3.3.2. Kịch bản thí điểm và các giả định cần kiểm chứng</w:t>
      </w:r>
    </w:p>
    <w:p w14:paraId="48E95726" w14:textId="77777777" w:rsidR="005B561C" w:rsidRPr="000F7C87" w:rsidRDefault="00000000">
      <w:pPr>
        <w:rPr>
          <w:szCs w:val="26"/>
        </w:rPr>
      </w:pPr>
      <w:r w:rsidRPr="000F7C87">
        <w:rPr>
          <w:szCs w:val="26"/>
        </w:rPr>
        <w:t xml:space="preserve">Trong kịch bản thí điểm, Mẫu 16 phiếu nghiệm thu được bổ sung phiếu rà soát với các trường thông tin: loại đối tượng dự kiến theo năm nhánh; chủ thể quyền và đồng tác giả, kể cả người học và doanh nghiệp; nguồn kinh phí và thời điểm giao nhiệm vụ; lịch công bố, tình trạng bộc lộ và ngày bộc lộ nếu có; tình trạng bảo mật; kết quả tra cứu sơ bộ; nhu cầu hỗ trợ và đề xuất hướng xử lý, gồm nộp đơn, đăng ký quyền tác giả, giữ bí mật hoặc không xử lý.</w:t>
      </w:r>
    </w:p>
    <w:p w14:paraId="48E95726" w14:textId="77777777" w:rsidR="005B561C" w:rsidRPr="000F7C87" w:rsidRDefault="00000000">
      <w:pPr>
        <w:rPr>
          <w:szCs w:val="26"/>
        </w:rPr>
      </w:pPr>
      <w:r w:rsidRPr="000F7C87">
        <w:rPr>
          <w:szCs w:val="26"/>
        </w:rPr>
        <w:t xml:space="preserve">Trường hợp đề tài chiết xuất lá Quế hoa mã số 09-2025, đề tài cấp cơ sở duy nhất trong kỳ có đơn sáng chế, nộp năm 2025, cho thấy kết quả chiết tách có thể được đưa vào đơn khi chủ nhiệm đề tài chủ động. Đơn sáng chế số 1-2026-07185 về phương pháp chiết tách hợp chất từ cây Piper aduncum L. được nộp năm 2026, ngoài kỳ đánh giá. Hồ sơ hiện có chưa cho biết hai đơn được nộp trước hay sau khi kết quả được công bố, nên thí điểm cần ghi nhận cả ngày nộp đơn và ngày công bố để kiểm chứng. Bước sàng lọc nhằm biến cách làm của trường hợp đơn lẻ thành quy trình áp dụng cho mọi đề tài; đối với 6 đề tài mã số 2021 - 2024 có sản phẩm tiềm năng sở hữu công nghiệp chưa có đơn, Phòng Khoa học Công nghệ cần rà soát tình trạng bộc lộ để xác định sản phẩm nào còn khả năng đăng ký.</w:t>
      </w:r>
    </w:p>
    <w:p w14:paraId="48E95726" w14:textId="77777777" w:rsidR="005B561C" w:rsidRPr="000F7C87" w:rsidRDefault="00000000">
      <w:pPr>
        <w:rPr>
          <w:szCs w:val="26"/>
        </w:rPr>
      </w:pPr>
      <w:r w:rsidRPr="000F7C87">
        <w:rPr>
          <w:szCs w:val="26"/>
        </w:rPr>
        <w:t xml:space="preserve">Các giả định cần được kiểm chứng qua thí điểm: Thứ nhất, việc gắn trách nhiệm rà soát bộc lộ công khai vào biên bản nghiệm thu là mắt xích quyết định để chuyển từ quản lý thụ động sang chủ động đồng hành. Thứ hai, thời gian bổ sung cho mỗi phiên nghiệm thu được kỳ vọng không đáng kể và cần được đo lường trong thí điểm. Thứ ba, cần bố trí nhân sự Bộ phận Pháp chế tham gia các phiên nghiệm thu có đề tài thuộc nhóm tiềm năng bảo hộ cao để tư vấn trực tiếp cho chủ nhiệm đề tài.</w:t>
      </w:r>
    </w:p>
    <w:p w14:paraId="6067EC56" w14:textId="77777777" w:rsidR="005B561C" w:rsidRPr="000F7C87" w:rsidRDefault="00000000">
      <w:pPr>
        <w:keepNext/>
        <w:spacing w:before="280" w:after="160"/>
        <w:ind w:firstLine="0"/>
        <w:outlineLvl w:val="1"/>
        <w:rPr>
          <w:szCs w:val="26"/>
        </w:rPr>
      </w:pPr>
      <w:r w:rsidRPr="000F7C87">
        <w:rPr>
          <w:b/>
          <w:szCs w:val="26"/>
        </w:rPr>
        <w:t>3.4. Lộ trình triển khai và Bộ chỉ số theo dõi đánh giá hiệu quả</w:t>
      </w:r>
    </w:p>
    <w:p w14:paraId="0DE297E1" w14:textId="77777777" w:rsidR="005B561C" w:rsidRPr="000F7C87" w:rsidRDefault="00000000">
      <w:pPr>
        <w:keepNext/>
        <w:spacing w:before="200" w:after="100"/>
        <w:ind w:firstLine="0"/>
        <w:outlineLvl w:val="2"/>
        <w:rPr>
          <w:szCs w:val="26"/>
        </w:rPr>
      </w:pPr>
      <w:r w:rsidRPr="000F7C87">
        <w:rPr>
          <w:b/>
          <w:szCs w:val="26"/>
        </w:rPr>
        <w:t>3.4.1. Lộ trình triển khai theo các mốc chiến lược</w:t>
      </w:r>
    </w:p>
    <w:p w14:paraId="48E95726" w14:textId="77777777" w:rsidR="005B561C" w:rsidRPr="000F7C87" w:rsidRDefault="00000000">
      <w:pPr>
        <w:rPr>
          <w:szCs w:val="26"/>
        </w:rPr>
      </w:pPr>
      <w:r w:rsidRPr="000F7C87">
        <w:rPr>
          <w:szCs w:val="26"/>
        </w:rPr>
        <w:t xml:space="preserve">Hệ thống 05 nhóm giải pháp nêu trên được triển khai theo lộ trình 03 giai đoạn, gắn chặt với thời điểm có hiệu lực của các văn bản pháp luật mới và các mốc chiến lược quốc gia về sở hữu trí tuệ, được tóm tắt tại hình dưới đây.</w:t>
      </w:r>
    </w:p>
    <w:p w14:paraId="478B6AC7" w14:textId="77777777" w:rsidR="005B561C" w:rsidRPr="000F7C87" w:rsidRDefault="00000000">
      <w:pPr>
        <w:pStyle w:val="Chuthichhinh"/>
        <w:keepNext/>
        <w:spacing w:before="160" w:after="80"/>
        <w:ind w:firstLine="0"/>
        <w:jc w:val="center"/>
        <w:rPr>
          <w:szCs w:val="26"/>
        </w:rPr>
      </w:pPr>
      <w:r w:rsidRPr="000F7C87">
        <w:rPr>
          <w:b/>
          <w:szCs w:val="26"/>
        </w:rPr>
        <w:t>Hình 3.3. Lộ trình triển khai hệ thống giải pháp giai đoạn 2026 - 2030</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664000"/>
            <wp:docPr id="513" name="Picture 513"/>
            <wp:cNvGraphicFramePr>
              <a:graphicFrameLocks noChangeAspect="1"/>
            </wp:cNvGraphicFramePr>
            <a:graphic>
              <a:graphicData uri="http://schemas.openxmlformats.org/drawingml/2006/picture">
                <pic:pic>
                  <pic:nvPicPr>
                    <pic:cNvPr id="0" name="lo_trinh.png"/>
                    <pic:cNvPicPr/>
                  </pic:nvPicPr>
                  <pic:blipFill>
                    <a:blip r:embed="rId24"/>
                    <a:stretch>
                      <a:fillRect/>
                    </a:stretch>
                  </pic:blipFill>
                  <pic:spPr>
                    <a:xfrm>
                      <a:off x="0" y="0"/>
                      <a:ext cx="5580000" cy="266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b/>
        </w:rPr>
        <w:t xml:space="preserve">Giai đoạn 1, từ quý IV năm 2026 đến quý II năm 2027: Hoàn thiện thể chế và khởi động quy trình</w:t>
      </w:r>
    </w:p>
    <w:p w14:paraId="48E95726" w14:textId="77777777" w:rsidR="005B561C" w:rsidRPr="000F7C87" w:rsidRDefault="00000000">
      <w:pPr>
        <w:rPr>
          <w:szCs w:val="26"/>
        </w:rPr>
      </w:pPr>
      <w:r w:rsidRPr="000F7C87">
        <w:rPr>
          <w:szCs w:val="26"/>
        </w:rPr>
        <w:t xml:space="preserve">Đây là giai đoạn nền tảng, tập trung vào việc hoàn thiện thể chế nội bộ và khởi động cơ chế vận hành mới. Các nhiệm vụ trọng tâm bao gồm:</w:t>
      </w:r>
    </w:p>
    <w:p w14:paraId="48E95726" w14:textId="77777777" w:rsidR="005B561C" w:rsidRPr="000F7C87" w:rsidRDefault="00000000">
      <w:pPr>
        <w:rPr>
          <w:szCs w:val="26"/>
        </w:rPr>
      </w:pPr>
      <w:r w:rsidRPr="000F7C87">
        <w:rPr>
          <w:szCs w:val="26"/>
        </w:rPr>
        <w:t xml:space="preserve">- Ban hành Quy chế quản trị tài sản trí tuệ sửa đổi trước ngày 31 tháng 5 năm 2027, trong đó xác định phạm vi và thứ tự áp dụng các quy định về lợi ích của tác giả theo Điều 28, Điều 73 Luật số 93/2025/QH15 và Điều 135 Luật Sở hữu trí tuệ, hoàn thiện nội dung liêm chính khoa học, liêm chính học thuật.</w:t>
      </w:r>
    </w:p>
    <w:p w14:paraId="48E95726" w14:textId="77777777" w:rsidR="005B561C" w:rsidRPr="000F7C87" w:rsidRDefault="00000000">
      <w:pPr>
        <w:rPr>
          <w:szCs w:val="26"/>
        </w:rPr>
      </w:pPr>
      <w:r w:rsidRPr="000F7C87">
        <w:rPr>
          <w:szCs w:val="26"/>
        </w:rPr>
        <w:t xml:space="preserve">- Giao đầu mối kiêm nhiệm tại Phòng Khoa học Công nghệ và Bộ phận Pháp chế; cử cán bộ tham gia tập huấn tại Cục Sở hữu trí tuệ.</w:t>
      </w:r>
    </w:p>
    <w:p w14:paraId="48E95726" w14:textId="77777777" w:rsidR="005B561C" w:rsidRPr="000F7C87" w:rsidRDefault="00000000">
      <w:pPr>
        <w:rPr>
          <w:szCs w:val="26"/>
        </w:rPr>
      </w:pPr>
      <w:r w:rsidRPr="000F7C87">
        <w:rPr>
          <w:szCs w:val="26"/>
        </w:rPr>
        <w:t xml:space="preserve">- Hoàn thiện biểu mẫu đề xuất, thuyết minh, hợp đồng, nghiệm thu với phiếu khai báo và phiếu rà soát; ban hành quy trình 8 khâu.</w:t>
      </w:r>
    </w:p>
    <w:p w14:paraId="48E95726" w14:textId="77777777" w:rsidR="005B561C" w:rsidRPr="000F7C87" w:rsidRDefault="00000000">
      <w:pPr>
        <w:rPr>
          <w:szCs w:val="26"/>
        </w:rPr>
      </w:pPr>
      <w:r w:rsidRPr="000F7C87">
        <w:rPr>
          <w:szCs w:val="26"/>
        </w:rPr>
        <w:t xml:space="preserve">- Lập dòng dự toán phí xác lập quyền cho năm 2027.</w:t>
      </w:r>
    </w:p>
    <w:p w14:paraId="48E95726" w14:textId="77777777" w:rsidR="005B561C" w:rsidRPr="000F7C87" w:rsidRDefault="00000000">
      <w:pPr>
        <w:rPr>
          <w:szCs w:val="26"/>
        </w:rPr>
      </w:pPr>
      <w:r w:rsidRPr="000F7C87">
        <w:rPr>
          <w:szCs w:val="26"/>
        </w:rPr>
        <w:t xml:space="preserve">- Tổ chức đợt tập huấn đầu tiên về sở hữu trí tuệ cho toàn thể giảng viên.</w:t>
      </w:r>
    </w:p>
    <w:p w14:paraId="48E95726" w14:textId="77777777" w:rsidR="005B561C" w:rsidRPr="000F7C87" w:rsidRDefault="00000000">
      <w:pPr>
        <w:rPr>
          <w:szCs w:val="26"/>
        </w:rPr>
      </w:pPr>
      <w:r w:rsidRPr="000F7C87">
        <w:rPr>
          <w:szCs w:val="26"/>
        </w:rPr>
        <w:t xml:space="preserve">- Lập danh mục số tài sản trí tuệ phục vụ báo cáo trên HEMIS theo Thông tư số 83/2026/TT-BGDĐT.</w:t>
      </w:r>
    </w:p>
    <w:p w14:paraId="48E95726" w14:textId="77777777" w:rsidR="005B561C" w:rsidRPr="000F7C87" w:rsidRDefault="00000000">
      <w:pPr>
        <w:rPr>
          <w:szCs w:val="26"/>
        </w:rPr>
      </w:pPr>
      <w:r w:rsidRPr="000F7C87">
        <w:rPr>
          <w:szCs w:val="26"/>
        </w:rPr>
        <w:t xml:space="preserve">- Chuẩn bị nội dung tham gia Đề án tăng cường hoạt động sở hữu trí tuệ của cơ sở giáo dục đại học do Bộ Giáo dục và Đào tạo dự thảo trong quý II năm 2027.</w:t>
      </w:r>
    </w:p>
    <w:p w14:paraId="48E95726" w14:textId="77777777" w:rsidR="005B561C" w:rsidRPr="000F7C87" w:rsidRDefault="00000000">
      <w:pPr>
        <w:rPr>
          <w:szCs w:val="26"/>
        </w:rPr>
      </w:pPr>
      <w:r w:rsidRPr="000F7C87">
        <w:rPr>
          <w:szCs w:val="26"/>
        </w:rPr>
        <w:t xml:space="preserve">- Triển khai kế hoạch thí điểm tại Viện Y - Dược và đánh giá kết quả.</w:t>
      </w:r>
    </w:p>
    <w:p w14:paraId="48E95726" w14:textId="77777777" w:rsidR="005B561C" w:rsidRPr="000F7C87" w:rsidRDefault="00000000">
      <w:pPr>
        <w:rPr>
          <w:szCs w:val="26"/>
        </w:rPr>
      </w:pPr>
      <w:r w:rsidRPr="000F7C87">
        <w:rPr>
          <w:szCs w:val="26"/>
          <w:b/>
        </w:rPr>
        <w:t xml:space="preserve">Giai đoạn 2, từ quý III năm 2027 đến hết năm 2028: Áp dụng toàn trường và chuẩn bị khai thác</w:t>
      </w:r>
    </w:p>
    <w:p w14:paraId="48E95726" w14:textId="77777777" w:rsidR="005B561C" w:rsidRPr="000F7C87" w:rsidRDefault="00000000">
      <w:pPr>
        <w:rPr>
          <w:szCs w:val="26"/>
        </w:rPr>
      </w:pPr>
      <w:r w:rsidRPr="000F7C87">
        <w:rPr>
          <w:szCs w:val="26"/>
        </w:rPr>
        <w:t xml:space="preserve">Trên nền tảng thể chế đã được hoàn thiện, giai đoạn này tập trung áp dụng quy trình toàn trường và chuẩn bị điều kiện khai thác:</w:t>
      </w:r>
    </w:p>
    <w:p w14:paraId="48E95726" w14:textId="77777777" w:rsidR="005B561C" w:rsidRPr="000F7C87" w:rsidRDefault="00000000">
      <w:pPr>
        <w:rPr>
          <w:szCs w:val="26"/>
        </w:rPr>
      </w:pPr>
      <w:r w:rsidRPr="000F7C87">
        <w:rPr>
          <w:szCs w:val="26"/>
        </w:rPr>
        <w:t xml:space="preserve">- Áp dụng quy trình 8 khâu cho toàn bộ đề tài cấp cơ sở và nhiệm vụ cấp quốc gia; xem xét bố trí vị trí chuyên trách khi khối lượng hồ sơ đạt ngưỡng.</w:t>
      </w:r>
    </w:p>
    <w:p w14:paraId="48E95726" w14:textId="77777777" w:rsidR="005B561C" w:rsidRPr="000F7C87" w:rsidRDefault="00000000">
      <w:pPr>
        <w:rPr>
          <w:szCs w:val="26"/>
        </w:rPr>
      </w:pPr>
      <w:r w:rsidRPr="000F7C87">
        <w:rPr>
          <w:szCs w:val="26"/>
        </w:rPr>
        <w:t xml:space="preserve">- Đánh giá điều kiện chuyển bước; xây dựng phương án trung tâm tư vấn, định giá hoặc doanh nghiệp quản lý tài sản trí tuệ khi đạt điều kiện tại Giải pháp 4.</w:t>
      </w:r>
    </w:p>
    <w:p w14:paraId="48E95726" w14:textId="77777777" w:rsidR="005B561C" w:rsidRPr="000F7C87" w:rsidRDefault="00000000">
      <w:pPr>
        <w:rPr>
          <w:szCs w:val="26"/>
        </w:rPr>
      </w:pPr>
      <w:r w:rsidRPr="000F7C87">
        <w:rPr>
          <w:szCs w:val="26"/>
        </w:rPr>
        <w:t xml:space="preserve">- Hoàn thiện Chuyên trang Cơ sở dữ liệu số tài sản trí tuệ, sẵn sàng kết nối với Nền tảng số quốc gia.</w:t>
      </w:r>
    </w:p>
    <w:p w14:paraId="48E95726" w14:textId="77777777" w:rsidR="005B561C" w:rsidRPr="000F7C87" w:rsidRDefault="00000000">
      <w:pPr>
        <w:rPr>
          <w:szCs w:val="26"/>
        </w:rPr>
      </w:pPr>
      <w:r w:rsidRPr="000F7C87">
        <w:rPr>
          <w:szCs w:val="26"/>
        </w:rPr>
        <w:t xml:space="preserve">- Đưa học phần Sở hữu trí tuệ và Đổi mới sáng tạo vào chương trình đào tạo sinh viên từ năm học 2027 - 2028.</w:t>
      </w:r>
    </w:p>
    <w:p w14:paraId="48E95726" w14:textId="77777777" w:rsidR="005B561C" w:rsidRPr="000F7C87" w:rsidRDefault="00000000">
      <w:pPr>
        <w:rPr>
          <w:szCs w:val="26"/>
        </w:rPr>
      </w:pPr>
      <w:r w:rsidRPr="000F7C87">
        <w:rPr>
          <w:szCs w:val="26"/>
        </w:rPr>
        <w:t xml:space="preserve">- Phấn đấu ký ít nhất 01 hợp đồng chuyển giao công nghệ hoặc cấp phép sử dụng mỗi năm, đáp ứng mục 1.12 Kế hoạch 07/KH-ĐHTĐ.</w:t>
      </w:r>
    </w:p>
    <w:p w14:paraId="48E95726" w14:textId="77777777" w:rsidR="005B561C" w:rsidRPr="000F7C87" w:rsidRDefault="00000000">
      <w:pPr>
        <w:rPr>
          <w:szCs w:val="26"/>
        </w:rPr>
      </w:pPr>
      <w:r w:rsidRPr="000F7C87">
        <w:rPr>
          <w:szCs w:val="26"/>
          <w:b/>
        </w:rPr>
        <w:t xml:space="preserve">Giai đoạn 3, giai đoạn 2029 - 2030: Vận hành toàn diện và tích hợp hệ sinh thái</w:t>
      </w:r>
    </w:p>
    <w:p w14:paraId="48E95726" w14:textId="77777777" w:rsidR="005B561C" w:rsidRPr="000F7C87" w:rsidRDefault="00000000">
      <w:pPr>
        <w:rPr>
          <w:szCs w:val="26"/>
        </w:rPr>
      </w:pPr>
      <w:r w:rsidRPr="000F7C87">
        <w:rPr>
          <w:szCs w:val="26"/>
        </w:rPr>
        <w:t xml:space="preserve">Giai đoạn hoàn thiện và bền vững hóa, hướng tới mục tiêu vận hành ổn định hệ sinh thái đổi mới sáng tạo:</w:t>
      </w:r>
    </w:p>
    <w:p w14:paraId="48E95726" w14:textId="77777777" w:rsidR="005B561C" w:rsidRPr="000F7C87" w:rsidRDefault="00000000">
      <w:pPr>
        <w:rPr>
          <w:szCs w:val="26"/>
        </w:rPr>
      </w:pPr>
      <w:r w:rsidRPr="000F7C87">
        <w:rPr>
          <w:szCs w:val="26"/>
        </w:rPr>
        <w:t xml:space="preserve">- Vận hành doanh nghiệp quản lý tài sản trí tuệ nếu đã đủ điều kiện thành lập; định giá, góp vốn khi có tài sản phù hợp.</w:t>
      </w:r>
    </w:p>
    <w:p w14:paraId="48E95726" w14:textId="77777777" w:rsidR="005B561C" w:rsidRPr="000F7C87" w:rsidRDefault="00000000">
      <w:pPr>
        <w:rPr>
          <w:szCs w:val="26"/>
        </w:rPr>
      </w:pPr>
      <w:r w:rsidRPr="000F7C87">
        <w:rPr>
          <w:szCs w:val="26"/>
        </w:rPr>
        <w:t xml:space="preserve">- Khai thác các mạng lưới hỗ trợ công nghệ và đổi mới sáng tạo mà Nhà trường tham gia.</w:t>
      </w:r>
    </w:p>
    <w:p w14:paraId="48E95726" w14:textId="77777777" w:rsidR="005B561C" w:rsidRPr="000F7C87" w:rsidRDefault="00000000">
      <w:pPr>
        <w:rPr>
          <w:szCs w:val="26"/>
        </w:rPr>
      </w:pPr>
      <w:r w:rsidRPr="000F7C87">
        <w:rPr>
          <w:szCs w:val="26"/>
        </w:rPr>
        <w:t xml:space="preserve">- Theo dõi nguồn thu từ khai thác tài sản trí tuệ, khoản chi trả cho tác giả và phần trích vào quỹ phát triển khoa học công nghệ.</w:t>
      </w:r>
    </w:p>
    <w:p w14:paraId="48E95726" w14:textId="77777777" w:rsidR="005B561C" w:rsidRPr="000F7C87" w:rsidRDefault="00000000">
      <w:pPr>
        <w:rPr>
          <w:szCs w:val="26"/>
        </w:rPr>
      </w:pPr>
      <w:r w:rsidRPr="000F7C87">
        <w:rPr>
          <w:szCs w:val="26"/>
        </w:rPr>
        <w:t xml:space="preserve">- Số hóa toàn bộ dữ liệu tài sản trí tuệ và công khai minh bạch hằng năm trên Nền tảng số quốc gia.</w:t>
      </w:r>
    </w:p>
    <w:p w14:paraId="48E95726" w14:textId="77777777" w:rsidR="005B561C" w:rsidRPr="000F7C87" w:rsidRDefault="00000000">
      <w:pPr>
        <w:rPr>
          <w:szCs w:val="26"/>
        </w:rPr>
      </w:pPr>
      <w:r w:rsidRPr="000F7C87">
        <w:rPr>
          <w:szCs w:val="26"/>
        </w:rPr>
        <w:t xml:space="preserve">- Hợp tác mở rộng với doanh nghiệp, viện nghiên cứu bên ngoài thông qua Không gian sáng tạo mở thử nghiệm.</w:t>
      </w:r>
    </w:p>
    <w:p w14:paraId="0DE297E1" w14:textId="77777777" w:rsidR="005B561C" w:rsidRPr="000F7C87" w:rsidRDefault="00000000">
      <w:pPr>
        <w:keepNext/>
        <w:spacing w:before="200" w:after="100"/>
        <w:ind w:firstLine="0"/>
        <w:outlineLvl w:val="2"/>
        <w:rPr>
          <w:szCs w:val="26"/>
        </w:rPr>
      </w:pPr>
      <w:r w:rsidRPr="000F7C87">
        <w:rPr>
          <w:b/>
          <w:szCs w:val="26"/>
        </w:rPr>
        <w:t>3.4.2. Bộ chỉ số theo dõi đánh giá hiệu quả</w:t>
      </w:r>
    </w:p>
    <w:p w14:paraId="48E95726" w14:textId="77777777" w:rsidR="005B561C" w:rsidRPr="000F7C87" w:rsidRDefault="00000000">
      <w:pPr>
        <w:rPr>
          <w:szCs w:val="26"/>
        </w:rPr>
      </w:pPr>
      <w:r w:rsidRPr="000F7C87">
        <w:rPr>
          <w:szCs w:val="26"/>
        </w:rPr>
        <w:t xml:space="preserve">Để đo lường hiệu quả triển khai hệ thống giải pháp, Đề tài đề xuất Bộ chỉ số theo dõi đánh giá hiệu quả, được tổng hợp tại Bảng 3.4. Bộ chỉ số phân tầng theo chuỗi kết quả: sàng lọc, đơn nộp, văn bằng được cấp và khai thác, vì mỗi tầng có độ trễ khác nhau và văn bằng chỉ được cấp sau các giai đoạn thẩm định theo Điều 119 Luật Sở hữu trí tuệ. Các chỉ số được dùng làm căn cứ đánh giá hiệu quả hoạt động sở hữu trí tuệ của Nhà trường theo yêu cầu tại điểm b khoản 4 Mục III Điều 1 Quyết định số 1068/QĐ-TTg đã được sửa đổi tại Quyết định số 1624/QĐ-TTg. Chỉ tiêu văn bằng tại mục 1.11 Kế hoạch 07/KH-ĐHTĐ, 03 văn bằng mỗi năm giai đoạn 2026 - 2028, cần được thống kê đúng phạm vi của chỉ tiêu, không gồm nhãn hiệu, và tách riêng văn bằng hình thành từ kết quả nghiên cứu, tránh tình trạng chỉ tiêu gộp được hoàn thành mà không có kết quả nghiên cứu nào được bảo hộ như phân tích tại Hình 2.10 Chương 2.</w:t>
      </w:r>
    </w:p>
    <w:p w14:paraId="478B6AC7" w14:textId="77777777" w:rsidR="005B561C" w:rsidRPr="000F7C87" w:rsidRDefault="00000000">
      <w:pPr>
        <w:pStyle w:val="Chuthichbang"/>
        <w:keepNext/>
        <w:spacing w:before="160" w:after="80"/>
        <w:ind w:firstLine="0"/>
        <w:jc w:val="center"/>
        <w:rPr>
          <w:szCs w:val="26"/>
        </w:rPr>
      </w:pPr>
      <w:r w:rsidRPr="000F7C87">
        <w:rPr>
          <w:b/>
          <w:szCs w:val="26"/>
        </w:rPr>
        <w:t>Bảng 3.4. Bộ chỉ số theo dõi đánh giá hiệu quả triển khai hệ thống giải pháp, phân tầng theo chuỗi kết quả</w:t>
      </w:r>
    </w:p>
    <w:tbl>
      <w:tblPr>
        <w:tblStyle w:val="TableGrid"/>
        <w:tblW w:w="0" w:type="auto"/>
        <w:jc w:val="center"/>
        <w:tblLook w:val="04A0" w:firstRow="1" w:lastRow="0" w:firstColumn="1" w:lastColumn="0" w:noHBand="0" w:noVBand="1"/>
      </w:tblPr>
      <w:tblGrid>
        <w:gridCol w:w="1343"/>
        <w:gridCol w:w="3583"/>
        <w:gridCol w:w="1903"/>
        <w:gridCol w:w="2239"/>
      </w:tblGrid>
      <w:tr>
        <w:trPr>
          <w:tblHeader/>
          <w:cantSplit/>
        </w:trPr>
        <w:tc>
          <w:tcPr>
            <w:tcW w:w="1343" w:type="dxa"/>
            <w:shd w:val="clear" w:color="auto" w:fill="DCE8F7"/>
            <w:vAlign w:val="center"/>
          </w:tcPr>
          <w:p>
            <w:pPr>
              <w:spacing w:before="20" w:after="20" w:line="252" w:lineRule="auto"/>
              <w:ind w:firstLine="0"/>
              <w:jc w:val="center"/>
            </w:pPr>
            <w:r>
              <w:rPr>
                <w:b/>
                <w:sz w:val="24"/>
              </w:rPr>
              <w:t xml:space="preserve">Tầng</w:t>
            </w:r>
          </w:p>
        </w:tc>
        <w:tc>
          <w:tcPr>
            <w:tcW w:w="3583" w:type="dxa"/>
            <w:shd w:val="clear" w:color="auto" w:fill="DCE8F7"/>
            <w:vAlign w:val="center"/>
          </w:tcPr>
          <w:p>
            <w:pPr>
              <w:spacing w:before="20" w:after="20" w:line="252" w:lineRule="auto"/>
              <w:ind w:firstLine="0"/>
              <w:jc w:val="center"/>
            </w:pPr>
            <w:r>
              <w:rPr>
                <w:b/>
                <w:sz w:val="24"/>
              </w:rPr>
              <w:t xml:space="preserve">Chỉ số theo dõi</w:t>
            </w:r>
          </w:p>
        </w:tc>
        <w:tc>
          <w:tcPr>
            <w:tcW w:w="1903" w:type="dxa"/>
            <w:shd w:val="clear" w:color="auto" w:fill="DCE8F7"/>
            <w:vAlign w:val="center"/>
          </w:tcPr>
          <w:p>
            <w:pPr>
              <w:spacing w:before="20" w:after="20" w:line="252" w:lineRule="auto"/>
              <w:ind w:firstLine="0"/>
              <w:jc w:val="center"/>
            </w:pPr>
            <w:r>
              <w:rPr>
                <w:b/>
                <w:sz w:val="24"/>
              </w:rPr>
              <w:t xml:space="preserve">Nguồn dữ liệu</w:t>
            </w:r>
          </w:p>
        </w:tc>
        <w:tc>
          <w:tcPr>
            <w:tcW w:w="2239" w:type="dxa"/>
            <w:shd w:val="clear" w:color="auto" w:fill="DCE8F7"/>
            <w:vAlign w:val="center"/>
          </w:tcPr>
          <w:p>
            <w:pPr>
              <w:spacing w:before="20" w:after="20" w:line="252" w:lineRule="auto"/>
              <w:ind w:firstLine="0"/>
              <w:jc w:val="center"/>
            </w:pPr>
            <w:r>
              <w:rPr>
                <w:b/>
                <w:sz w:val="24"/>
              </w:rPr>
              <w:t xml:space="preserve">Mục tiêu đến năm 2030</w:t>
            </w:r>
          </w:p>
        </w:tc>
      </w:tr>
      <w:tr>
        <w:trPr/>
        <w:tc>
          <w:tcPr>
            <w:tcW w:w="1343" w:type="dxa"/>
            <w:vAlign w:val="center"/>
          </w:tcPr>
          <w:p>
            <w:pPr>
              <w:spacing w:before="20" w:after="20" w:line="252" w:lineRule="auto"/>
              <w:ind w:firstLine="0"/>
              <w:jc w:val="left"/>
            </w:pPr>
            <w:r>
              <w:rPr>
                <w:sz w:val="24"/>
              </w:rPr>
              <w:t xml:space="preserve">Thể chế và tổ chức</w:t>
            </w:r>
          </w:p>
        </w:tc>
        <w:tc>
          <w:tcPr>
            <w:tcW w:w="3583" w:type="dxa"/>
            <w:vAlign w:val="center"/>
          </w:tcPr>
          <w:p>
            <w:pPr>
              <w:spacing w:before="20" w:after="20" w:line="252" w:lineRule="auto"/>
              <w:ind w:firstLine="0"/>
              <w:jc w:val="left"/>
            </w:pPr>
            <w:r>
              <w:rPr>
                <w:sz w:val="24"/>
              </w:rPr>
              <w:t xml:space="preserve">1. Quy chế quản trị tài sản trí tuệ sửa đổi được ban hành</w:t>
            </w:r>
          </w:p>
          <w:p>
            <w:pPr>
              <w:spacing w:before="20" w:after="20" w:line="252" w:lineRule="auto"/>
              <w:ind w:firstLine="0"/>
              <w:jc w:val="left"/>
            </w:pPr>
            <w:r>
              <w:rPr>
                <w:sz w:val="24"/>
              </w:rPr>
              <w:t xml:space="preserve">2. Đầu mối sở hữu trí tuệ được giao và số cuộc giao ban liên phòng ban mỗi năm</w:t>
            </w:r>
          </w:p>
          <w:p>
            <w:pPr>
              <w:spacing w:before="20" w:after="20" w:line="252" w:lineRule="auto"/>
              <w:ind w:firstLine="0"/>
              <w:jc w:val="left"/>
            </w:pPr>
            <w:r>
              <w:rPr>
                <w:sz w:val="24"/>
              </w:rPr>
              <w:t xml:space="preserve">3. Tỷ lệ giảng viên mới hoàn thành tập huấn</w:t>
            </w:r>
          </w:p>
        </w:tc>
        <w:tc>
          <w:tcPr>
            <w:tcW w:w="1903" w:type="dxa"/>
            <w:vAlign w:val="center"/>
          </w:tcPr>
          <w:p>
            <w:pPr>
              <w:spacing w:before="20" w:after="20" w:line="252" w:lineRule="auto"/>
              <w:ind w:firstLine="0"/>
              <w:jc w:val="left"/>
            </w:pPr>
            <w:r>
              <w:rPr>
                <w:sz w:val="24"/>
              </w:rPr>
              <w:t xml:space="preserve">Quyết định ban hành; biên bản giao ban; danh sách tập huấn</w:t>
            </w:r>
          </w:p>
        </w:tc>
        <w:tc>
          <w:tcPr>
            <w:tcW w:w="2239" w:type="dxa"/>
            <w:vAlign w:val="center"/>
          </w:tcPr>
          <w:p>
            <w:pPr>
              <w:spacing w:before="20" w:after="20" w:line="252" w:lineRule="auto"/>
              <w:ind w:firstLine="0"/>
              <w:jc w:val="left"/>
            </w:pPr>
            <w:r>
              <w:rPr>
                <w:sz w:val="24"/>
              </w:rPr>
              <w:t xml:space="preserve">Trước ngày 31/5/2027</w:t>
            </w:r>
          </w:p>
          <w:p>
            <w:pPr>
              <w:spacing w:before="20" w:after="20" w:line="252" w:lineRule="auto"/>
              <w:ind w:firstLine="0"/>
              <w:jc w:val="left"/>
            </w:pPr>
            <w:r>
              <w:rPr>
                <w:sz w:val="24"/>
              </w:rPr>
              <w:t xml:space="preserve">04 cuộc mỗi năm</w:t>
            </w:r>
          </w:p>
          <w:p>
            <w:pPr>
              <w:spacing w:before="20" w:after="20" w:line="252" w:lineRule="auto"/>
              <w:ind w:firstLine="0"/>
              <w:jc w:val="left"/>
            </w:pPr>
            <w:r>
              <w:rPr>
                <w:sz w:val="24"/>
              </w:rPr>
              <w:t xml:space="preserve">100% giảng viên mới</w:t>
            </w:r>
          </w:p>
        </w:tc>
      </w:tr>
      <w:tr>
        <w:trPr/>
        <w:tc>
          <w:tcPr>
            <w:tcW w:w="1343" w:type="dxa"/>
            <w:vAlign w:val="center"/>
          </w:tcPr>
          <w:p>
            <w:pPr>
              <w:spacing w:before="20" w:after="20" w:line="252" w:lineRule="auto"/>
              <w:ind w:firstLine="0"/>
              <w:jc w:val="left"/>
            </w:pPr>
            <w:r>
              <w:rPr>
                <w:sz w:val="24"/>
              </w:rPr>
              <w:t xml:space="preserve">Sàng lọc</w:t>
            </w:r>
          </w:p>
        </w:tc>
        <w:tc>
          <w:tcPr>
            <w:tcW w:w="3583" w:type="dxa"/>
            <w:vAlign w:val="center"/>
          </w:tcPr>
          <w:p>
            <w:pPr>
              <w:spacing w:before="20" w:after="20" w:line="252" w:lineRule="auto"/>
              <w:ind w:firstLine="0"/>
              <w:jc w:val="left"/>
            </w:pPr>
            <w:r>
              <w:rPr>
                <w:sz w:val="24"/>
              </w:rPr>
              <w:t xml:space="preserve">4. Tỷ lệ đề tài nghiệm thu có phiếu rà soát</w:t>
            </w:r>
          </w:p>
          <w:p>
            <w:pPr>
              <w:spacing w:before="20" w:after="20" w:line="252" w:lineRule="auto"/>
              <w:ind w:firstLine="0"/>
              <w:jc w:val="left"/>
            </w:pPr>
            <w:r>
              <w:rPr>
                <w:sz w:val="24"/>
              </w:rPr>
              <w:t xml:space="preserve">5. Số kết quả được khai báo và sàng lọc mỗi năm</w:t>
            </w:r>
          </w:p>
          <w:p>
            <w:pPr>
              <w:spacing w:before="20" w:after="20" w:line="252" w:lineRule="auto"/>
              <w:ind w:firstLine="0"/>
              <w:jc w:val="left"/>
            </w:pPr>
            <w:r>
              <w:rPr>
                <w:sz w:val="24"/>
              </w:rPr>
              <w:t xml:space="preserve">6. Tỷ lệ kết quả thuộc nhánh sáng chế, giải pháp hữu ích, kiểu dáng được xem xét bảo mật trước khi công bố</w:t>
            </w:r>
          </w:p>
          <w:p>
            <w:pPr>
              <w:spacing w:before="20" w:after="20" w:line="252" w:lineRule="auto"/>
              <w:ind w:firstLine="0"/>
              <w:jc w:val="left"/>
            </w:pPr>
            <w:r>
              <w:rPr>
                <w:sz w:val="24"/>
              </w:rPr>
              <w:t xml:space="preserve">7. Thời gian từ phiếu rà soát đến quyết định xác lập quyền</w:t>
            </w:r>
          </w:p>
        </w:tc>
        <w:tc>
          <w:tcPr>
            <w:tcW w:w="1903" w:type="dxa"/>
            <w:vAlign w:val="center"/>
          </w:tcPr>
          <w:p>
            <w:pPr>
              <w:spacing w:before="20" w:after="20" w:line="252" w:lineRule="auto"/>
              <w:ind w:firstLine="0"/>
              <w:jc w:val="left"/>
            </w:pPr>
            <w:r>
              <w:rPr>
                <w:sz w:val="24"/>
              </w:rPr>
              <w:t xml:space="preserve">Phiếu khai báo, phiếu rà soát; danh mục số tài sản trí tuệ</w:t>
            </w:r>
          </w:p>
        </w:tc>
        <w:tc>
          <w:tcPr>
            <w:tcW w:w="2239" w:type="dxa"/>
            <w:vAlign w:val="center"/>
          </w:tcPr>
          <w:p>
            <w:pPr>
              <w:spacing w:before="20" w:after="20" w:line="252" w:lineRule="auto"/>
              <w:ind w:firstLine="0"/>
              <w:jc w:val="left"/>
            </w:pPr>
            <w:r>
              <w:rPr>
                <w:sz w:val="24"/>
              </w:rPr>
              <w:t xml:space="preserve">100% từ năm 2027</w:t>
            </w:r>
          </w:p>
          <w:p>
            <w:pPr>
              <w:spacing w:before="20" w:after="20" w:line="252" w:lineRule="auto"/>
              <w:ind w:firstLine="0"/>
              <w:jc w:val="left"/>
            </w:pPr>
            <w:r>
              <w:rPr>
                <w:sz w:val="24"/>
              </w:rPr>
              <w:t xml:space="preserve">Theo dõi, làm căn cứ quyết định nhân sự</w:t>
            </w:r>
          </w:p>
          <w:p>
            <w:pPr>
              <w:spacing w:before="20" w:after="20" w:line="252" w:lineRule="auto"/>
              <w:ind w:firstLine="0"/>
              <w:jc w:val="left"/>
            </w:pPr>
            <w:r>
              <w:rPr>
                <w:sz w:val="24"/>
              </w:rPr>
              <w:t xml:space="preserve">100%</w:t>
            </w:r>
          </w:p>
          <w:p>
            <w:pPr>
              <w:spacing w:before="20" w:after="20" w:line="252" w:lineRule="auto"/>
              <w:ind w:firstLine="0"/>
              <w:jc w:val="left"/>
            </w:pPr>
            <w:r>
              <w:rPr>
                <w:sz w:val="24"/>
              </w:rPr>
              <w:t xml:space="preserve">Không quá 15 ngày làm việc</w:t>
            </w:r>
          </w:p>
        </w:tc>
      </w:tr>
      <w:tr>
        <w:trPr/>
        <w:tc>
          <w:tcPr>
            <w:tcW w:w="1343" w:type="dxa"/>
            <w:vAlign w:val="center"/>
          </w:tcPr>
          <w:p>
            <w:pPr>
              <w:spacing w:before="20" w:after="20" w:line="252" w:lineRule="auto"/>
              <w:ind w:firstLine="0"/>
              <w:jc w:val="left"/>
            </w:pPr>
            <w:r>
              <w:rPr>
                <w:sz w:val="24"/>
              </w:rPr>
              <w:t xml:space="preserve">Đơn nộp</w:t>
            </w:r>
          </w:p>
        </w:tc>
        <w:tc>
          <w:tcPr>
            <w:tcW w:w="3583" w:type="dxa"/>
            <w:vAlign w:val="center"/>
          </w:tcPr>
          <w:p>
            <w:pPr>
              <w:spacing w:before="20" w:after="20" w:line="252" w:lineRule="auto"/>
              <w:ind w:firstLine="0"/>
              <w:jc w:val="left"/>
            </w:pPr>
            <w:r>
              <w:rPr>
                <w:sz w:val="24"/>
              </w:rPr>
              <w:t xml:space="preserve">8. Số đơn sở hữu công nghiệp nộp mới từ kết quả nghiên cứu</w:t>
            </w:r>
          </w:p>
          <w:p>
            <w:pPr>
              <w:spacing w:before="20" w:after="20" w:line="252" w:lineRule="auto"/>
              <w:ind w:firstLine="0"/>
              <w:jc w:val="left"/>
            </w:pPr>
            <w:r>
              <w:rPr>
                <w:sz w:val="24"/>
              </w:rPr>
              <w:t xml:space="preserve">9. Số đăng ký quyền tác giả cho giáo trình, phần mềm có nhu cầu khai thác</w:t>
            </w:r>
          </w:p>
        </w:tc>
        <w:tc>
          <w:tcPr>
            <w:tcW w:w="1903" w:type="dxa"/>
            <w:vAlign w:val="center"/>
          </w:tcPr>
          <w:p>
            <w:pPr>
              <w:spacing w:before="20" w:after="20" w:line="252" w:lineRule="auto"/>
              <w:ind w:firstLine="0"/>
              <w:jc w:val="left"/>
            </w:pPr>
            <w:r>
              <w:rPr>
                <w:sz w:val="24"/>
              </w:rPr>
              <w:t xml:space="preserve">Danh mục số, nhóm trạng thái đã nộp đơn</w:t>
            </w:r>
          </w:p>
        </w:tc>
        <w:tc>
          <w:tcPr>
            <w:tcW w:w="2239" w:type="dxa"/>
            <w:vAlign w:val="center"/>
          </w:tcPr>
          <w:p>
            <w:pPr>
              <w:spacing w:before="20" w:after="20" w:line="252" w:lineRule="auto"/>
              <w:ind w:firstLine="0"/>
              <w:jc w:val="left"/>
            </w:pPr>
            <w:r>
              <w:rPr>
                <w:sz w:val="24"/>
              </w:rPr>
              <w:t xml:space="preserve">Từ 02 đơn năm 2027, 03 đến 05 đơn mỗi năm từ năm 2028, điều chỉnh sau thí điểm</w:t>
            </w:r>
          </w:p>
          <w:p>
            <w:pPr>
              <w:spacing w:before="20" w:after="20" w:line="252" w:lineRule="auto"/>
              <w:ind w:firstLine="0"/>
              <w:jc w:val="left"/>
            </w:pPr>
            <w:r>
              <w:rPr>
                <w:sz w:val="24"/>
              </w:rPr>
              <w:t xml:space="preserve">Theo nhu cầu đã rà soát</w:t>
            </w:r>
          </w:p>
        </w:tc>
      </w:tr>
      <w:tr>
        <w:trPr/>
        <w:tc>
          <w:tcPr>
            <w:tcW w:w="1343" w:type="dxa"/>
            <w:vAlign w:val="center"/>
          </w:tcPr>
          <w:p>
            <w:pPr>
              <w:spacing w:before="20" w:after="20" w:line="252" w:lineRule="auto"/>
              <w:ind w:firstLine="0"/>
              <w:jc w:val="left"/>
            </w:pPr>
            <w:r>
              <w:rPr>
                <w:sz w:val="24"/>
              </w:rPr>
              <w:t xml:space="preserve">Văn bằng</w:t>
            </w:r>
          </w:p>
        </w:tc>
        <w:tc>
          <w:tcPr>
            <w:tcW w:w="3583" w:type="dxa"/>
            <w:vAlign w:val="center"/>
          </w:tcPr>
          <w:p>
            <w:pPr>
              <w:spacing w:before="20" w:after="20" w:line="252" w:lineRule="auto"/>
              <w:ind w:firstLine="0"/>
              <w:jc w:val="left"/>
            </w:pPr>
            <w:r>
              <w:rPr>
                <w:sz w:val="24"/>
              </w:rPr>
              <w:t xml:space="preserve">10. Số văn bằng, giấy chứng nhận được cấp, tách theo nguồn: nghiên cứu, thương hiệu, hợp tác doanh nghiệp</w:t>
            </w:r>
          </w:p>
          <w:p>
            <w:pPr>
              <w:spacing w:before="20" w:after="20" w:line="252" w:lineRule="auto"/>
              <w:ind w:firstLine="0"/>
              <w:jc w:val="left"/>
            </w:pPr>
            <w:r>
              <w:rPr>
                <w:sz w:val="24"/>
              </w:rPr>
              <w:t xml:space="preserve">11. Tỷ lệ hồ sơ trong danh mục có trạng thái đã xác minh</w:t>
            </w:r>
          </w:p>
        </w:tc>
        <w:tc>
          <w:tcPr>
            <w:tcW w:w="1903" w:type="dxa"/>
            <w:vAlign w:val="center"/>
          </w:tcPr>
          <w:p>
            <w:pPr>
              <w:spacing w:before="20" w:after="20" w:line="252" w:lineRule="auto"/>
              <w:ind w:firstLine="0"/>
              <w:jc w:val="left"/>
            </w:pPr>
            <w:r>
              <w:rPr>
                <w:sz w:val="24"/>
              </w:rPr>
              <w:t xml:space="preserve">Danh mục số, nhóm trạng thái đã cấp; văn bằng gốc</w:t>
            </w:r>
          </w:p>
        </w:tc>
        <w:tc>
          <w:tcPr>
            <w:tcW w:w="2239" w:type="dxa"/>
            <w:vAlign w:val="center"/>
          </w:tcPr>
          <w:p>
            <w:pPr>
              <w:spacing w:before="20" w:after="20" w:line="252" w:lineRule="auto"/>
              <w:ind w:firstLine="0"/>
              <w:jc w:val="left"/>
            </w:pPr>
            <w:r>
              <w:rPr>
                <w:sz w:val="24"/>
              </w:rPr>
              <w:t xml:space="preserve">Từ 03 văn bằng mỗi năm theo mục 1.11 Kế hoạch 07/KH-ĐHTĐ, không gồm nhãn hiệu; văn bằng từ kết quả nghiên cứu theo dõi riêng</w:t>
            </w:r>
          </w:p>
          <w:p>
            <w:pPr>
              <w:spacing w:before="20" w:after="20" w:line="252" w:lineRule="auto"/>
              <w:ind w:firstLine="0"/>
              <w:jc w:val="left"/>
            </w:pPr>
            <w:r>
              <w:rPr>
                <w:sz w:val="24"/>
              </w:rPr>
              <w:t xml:space="preserve">100%</w:t>
            </w:r>
          </w:p>
        </w:tc>
      </w:tr>
      <w:tr>
        <w:trPr/>
        <w:tc>
          <w:tcPr>
            <w:tcW w:w="1343" w:type="dxa"/>
            <w:vAlign w:val="center"/>
          </w:tcPr>
          <w:p>
            <w:pPr>
              <w:spacing w:before="20" w:after="20" w:line="252" w:lineRule="auto"/>
              <w:ind w:firstLine="0"/>
              <w:jc w:val="left"/>
            </w:pPr>
            <w:r>
              <w:rPr>
                <w:sz w:val="24"/>
              </w:rPr>
              <w:t xml:space="preserve">Khai thác</w:t>
            </w:r>
          </w:p>
        </w:tc>
        <w:tc>
          <w:tcPr>
            <w:tcW w:w="3583" w:type="dxa"/>
            <w:vAlign w:val="center"/>
          </w:tcPr>
          <w:p>
            <w:pPr>
              <w:spacing w:before="20" w:after="20" w:line="252" w:lineRule="auto"/>
              <w:ind w:firstLine="0"/>
              <w:jc w:val="left"/>
            </w:pPr>
            <w:r>
              <w:rPr>
                <w:sz w:val="24"/>
              </w:rPr>
              <w:t xml:space="preserve">12. Số hợp đồng chuyển giao, cấp phép</w:t>
            </w:r>
          </w:p>
          <w:p>
            <w:pPr>
              <w:spacing w:before="20" w:after="20" w:line="252" w:lineRule="auto"/>
              <w:ind w:firstLine="0"/>
              <w:jc w:val="left"/>
            </w:pPr>
            <w:r>
              <w:rPr>
                <w:sz w:val="24"/>
              </w:rPr>
              <w:t xml:space="preserve">13. Nguồn thu từ khai thác và khoản chi trả cho tác giả, tách theo thưởng, thù lao, nhuận bút</w:t>
            </w:r>
          </w:p>
        </w:tc>
        <w:tc>
          <w:tcPr>
            <w:tcW w:w="1903" w:type="dxa"/>
            <w:vAlign w:val="center"/>
          </w:tcPr>
          <w:p>
            <w:pPr>
              <w:spacing w:before="20" w:after="20" w:line="252" w:lineRule="auto"/>
              <w:ind w:firstLine="0"/>
              <w:jc w:val="left"/>
            </w:pPr>
            <w:r>
              <w:rPr>
                <w:sz w:val="24"/>
              </w:rPr>
              <w:t xml:space="preserve">Hợp đồng; sổ kế toán</w:t>
            </w:r>
          </w:p>
        </w:tc>
        <w:tc>
          <w:tcPr>
            <w:tcW w:w="2239" w:type="dxa"/>
            <w:vAlign w:val="center"/>
          </w:tcPr>
          <w:p>
            <w:pPr>
              <w:spacing w:before="20" w:after="20" w:line="252" w:lineRule="auto"/>
              <w:ind w:firstLine="0"/>
              <w:jc w:val="left"/>
            </w:pPr>
            <w:r>
              <w:rPr>
                <w:sz w:val="24"/>
              </w:rPr>
              <w:t xml:space="preserve">Từ 01 hợp đồng mỗi năm theo mục 1.12 Kế hoạch 07/KH-ĐHTĐ</w:t>
            </w:r>
          </w:p>
          <w:p>
            <w:pPr>
              <w:spacing w:before="20" w:after="20" w:line="252" w:lineRule="auto"/>
              <w:ind w:firstLine="0"/>
              <w:jc w:val="left"/>
            </w:pPr>
            <w:r>
              <w:rPr>
                <w:sz w:val="24"/>
              </w:rPr>
              <w:t xml:space="preserve">Theo dõi và công khai hằng năm</w:t>
            </w:r>
          </w:p>
        </w:tc>
      </w:tr>
    </w:tbl>
    <w:p w14:paraId="645FDCAF" w14:textId="77777777" w:rsidR="005B561C" w:rsidRPr="000F7C87" w:rsidRDefault="00000000">
      <w:pPr>
        <w:spacing w:after="160"/>
        <w:ind w:firstLine="0"/>
        <w:rPr>
          <w:szCs w:val="26"/>
        </w:rPr>
      </w:pPr>
      <w:r w:rsidRPr="000F7C87">
        <w:rPr>
          <w:i/>
          <w:szCs w:val="26"/>
        </w:rPr>
        <w:t>Nguồn: Nhóm nghiên cứu đề xuất. Mục tiêu về đơn và văn bằng là mức tham khảo, cần được điều chỉnh sau thí điểm; văn bằng chỉ được cấp sau các giai đoạn thẩm định theo Điều 119 Luật Sở hữu trí tuệ nên được đánh giá chậm hơn các tầng sàng lọc và đơn nộp.</w:t>
      </w:r>
    </w:p>
    <w:p w14:paraId="48E95726" w14:textId="77777777" w:rsidR="005B561C" w:rsidRPr="000F7C87" w:rsidRDefault="00000000">
      <w:pPr>
        <w:rPr>
          <w:szCs w:val="26"/>
        </w:rPr>
      </w:pPr>
      <w:r w:rsidRPr="000F7C87">
        <w:rPr>
          <w:szCs w:val="26"/>
        </w:rPr>
        <w:t xml:space="preserve">Bộ chỉ số nêu trên được thiết kế theo nguyên tắc đo lường được, có thời hạn cụ thể và gắn với trách nhiệm của từng đơn vị trong cơ chế phối hợp liên phòng ban. Ban Giám hiệu giao Phòng Khoa học Công nghệ là đơn vị đầu mối tổng hợp, theo dõi và báo cáo kết quả thực hiện các chỉ số hằng năm trong Báo cáo tổng kết công tác khoa học công nghệ của Nhà trường. Các chỉ số về văn bằng và nguồn thu từ khai thác tài sản trí tuệ dùng chung định nghĩa với Chuẩn cơ sở giáo dục đại học để có thể sử dụng trực tiếp trong báo cáo trên HEMIS. Các mục tiêu về đơn và văn bằng là mức tham khảo, được điều chỉnh sau khi có kết quả thí điểm.</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3</w:t>
      </w:r>
    </w:p>
    <w:p w14:paraId="48E95726" w14:textId="77777777" w:rsidR="005B561C" w:rsidRPr="000F7C87" w:rsidRDefault="00000000">
      <w:pPr>
        <w:rPr>
          <w:szCs w:val="26"/>
        </w:rPr>
      </w:pPr>
      <w:r w:rsidRPr="000F7C87">
        <w:rPr>
          <w:szCs w:val="26"/>
        </w:rPr>
        <w:t xml:space="preserve">Trên cơ sở kết quả đánh giá thực trạng tại Chương 2 và khung pháp lý mới, Chương 3 đã xây dựng hệ thống giải pháp nâng cao hiệu quả quản lý quyền sở hữu trí tuệ tại Trường Đại học Thành Đô. Phân tích điểm mạnh, điểm yếu, thời cơ và thách thức cho thấy Nhà trường có nền tảng về quy chế, biểu mẫu, năng lực nghiên cứu và sản phẩm có tiềm năng bảo hộ, nhưng yếu ở khâu nối giữa nghiệm thu và đăng ký. Thời cơ từ Luật số 93/2025/QH15, Luật số 131/2025/QH15, Luật Giáo dục đại học số 125/2025/QH15, Quyết định số 1624/QĐ-TTg và Chuẩn cơ sở giáo dục đại học mới chỉ được hiện thực hóa khi khâu này được khắc phục, trong khi yêu cầu tuân thủ của Thông tư số 83/2026/TT-BGDĐT và sức ép công bố quốc tế đặt ra giới hạn về thời gian.</w:t>
      </w:r>
    </w:p>
    <w:p w14:paraId="48E95726" w14:textId="77777777" w:rsidR="005B561C" w:rsidRPr="000F7C87" w:rsidRDefault="00000000">
      <w:pPr>
        <w:rPr>
          <w:szCs w:val="26"/>
        </w:rPr>
      </w:pPr>
      <w:r w:rsidRPr="000F7C87">
        <w:rPr>
          <w:szCs w:val="26"/>
        </w:rPr>
        <w:t xml:space="preserve">Từ đó, Đề tài đề xuất năm nguyên tắc và năm nhóm giải pháp: hoàn thiện quy chế với cơ chế lợi ích của tác giả xác định theo nguồn hình thành tài sản, thời điểm giao nhiệm vụ và loại đối tượng; giao đầu mối và cơ chế phối hợp, bố trí nhân sự theo giai đoạn; chuẩn hóa quy trình 8 khâu với bước khai báo, sàng lọc, xem xét bảo mật trước khi công bố và phân nhánh theo loại đối tượng; lập dòng dự toán cho bước xác lập quyền và chuẩn bị phương án tổ chức khai thác theo điều kiện chuyển bước; phát triển đào tạo và văn hóa sở hữu trí tuệ. Mỗi giải pháp gắn với hạn chế được xử lý, có chủ trì, phối hợp, nguồn lực, thời gian, sản phẩm đầu ra và cách đánh giá. Kế hoạch thí điểm tại Viện Y - Dược, lộ trình ba giai đoạn đến năm 2030 và bộ chỉ số phân tầng từ sàng lọc, đơn nộp, văn bằng đến khai thác bảo đảm hệ thống giải pháp có thể kiểm chứng, điều chỉnh và nhân rộng.</w:t>
      </w:r>
    </w:p>
    <w:p w14:paraId="07734D5E" w14:textId="77777777" w:rsidR="005B561C" w:rsidRPr="000F7C87" w:rsidRDefault="00000000">
      <w:pPr>
        <w:pageBreakBefore/>
        <w:spacing w:after="240"/>
        <w:ind w:firstLine="0"/>
        <w:jc w:val="center"/>
        <w:outlineLvl w:val="0"/>
        <w:rPr>
          <w:szCs w:val="26"/>
        </w:rPr>
      </w:pPr>
      <w:r w:rsidRPr="000F7C87">
        <w:rPr>
          <w:b/>
          <w:sz w:val="28"/>
          <w:szCs w:val="26"/>
        </w:rPr>
        <w:t>KẾT LUẬN VÀ KIẾN NGHỊ</w:t>
      </w:r>
    </w:p>
    <w:p w14:paraId="6067EC56" w14:textId="77777777" w:rsidR="005B561C" w:rsidRPr="000F7C87" w:rsidRDefault="00000000">
      <w:pPr>
        <w:spacing w:before="280" w:after="160"/>
        <w:ind w:firstLine="0"/>
        <w:outlineLvl w:val="1"/>
        <w:rPr>
          <w:szCs w:val="26"/>
        </w:rPr>
      </w:pPr>
      <w:r w:rsidRPr="000F7C87">
        <w:rPr>
          <w:b/>
          <w:szCs w:val="26"/>
        </w:rPr>
        <w:t>1. Kết luận</w:t>
      </w:r>
    </w:p>
    <w:p w14:paraId="48E95726" w14:textId="77777777" w:rsidR="005B561C" w:rsidRPr="000F7C87" w:rsidRDefault="00000000">
      <w:pPr>
        <w:rPr>
          <w:szCs w:val="26"/>
        </w:rPr>
      </w:pPr>
      <w:r w:rsidRPr="000F7C87">
        <w:rPr>
          <w:szCs w:val="26"/>
        </w:rPr>
        <w:t xml:space="preserve">Đề tài đã hoàn thành ba mục tiêu cụ thể đặt ra. Về lý luận và pháp lý, Đề tài đã hệ thống hóa khái niệm, đặc điểm của tài sản trí tuệ trong trường đại học, xây dựng chu trình quản lý bốn giai đoạn, bộ tiêu chí đánh giá theo chuỗi và khung phân tích; đồng thời làm rõ những thay đổi căn bản của Luật số 93/2025/QH15 và Luật số 131/2025/QH15, trong đó có cơ chế tự động giao quyền, quyền tự quyết về thương mại hóa của tổ chức chủ trì và mức thưởng tối thiểu 30% cho tác giả đối với kết quả sử dụng ngân sách nhà nước.</w:t>
      </w:r>
    </w:p>
    <w:p w14:paraId="48E95726" w14:textId="77777777" w:rsidR="005B561C" w:rsidRPr="000F7C87" w:rsidRDefault="00000000">
      <w:pPr>
        <w:rPr>
          <w:szCs w:val="26"/>
        </w:rPr>
      </w:pPr>
      <w:r w:rsidRPr="000F7C87">
        <w:rPr>
          <w:szCs w:val="26"/>
        </w:rPr>
        <w:t xml:space="preserve">Về thực trạng, Trường Đại học Thành Đô có tầm nhìn thể chế sớm, năng lực công bố tăng nhanh, 11 hồ sơ tài sản trí tuệ trong kỳ 2021 - 2025, trong đó 4 tài sản đã được cấp văn bằng, giấy chứng nhận và 5 kiểu dáng công nghiệp cần xác nhận trạng thái, và chiến lược hợp tác đại học với doanh nghiệp mà Ban Giám hiệu đã dày công kết nối đã mang lại thành công nổi bật. Tiềm năng tài sản trí tuệ là rõ ràng, đặc biệt ở khối ngành Y - Dược, với 11 trên 38 đề tài có sản phẩm tiềm năng, trong đó 9 thuộc sở hữu công nghiệp nhưng mới 1 đề tài có đơn. Độ trễ thể chế trước sự thay đổi dồn dập của pháp luật quốc gia giai đoạn 2025 - 2026 làm phát sinh nhu cầu rà soát phạm vi áp dụng của quy chế từ cuối năm 2025; đối với kết quả của kỳ đánh giá, Đề tài nhận định nguyên nhân chủ quan cốt lõi là khoảng trống kỹ thuật: thiếu một biểu mẫu rà soát tại thời điểm nghiệm thu, cùng với việc chưa có dự toán riêng cho bước đăng ký và chưa thống nhất cách hiểu, thứ tự áp dụng các quy định về lợi ích của tác giả. Đề tài cũng xác định các quy định nội bộ không xung đột trong cùng một tình huống, và mức trần 100 triệu đồng tại Quyết định 213 chỉ cần sửa đối với các trường hợp thuộc phạm vi Điều 28 Luật số 93/2025/QH15.</w:t>
      </w:r>
    </w:p>
    <w:p w14:paraId="48E95726" w14:textId="77777777" w:rsidR="005B561C" w:rsidRPr="000F7C87" w:rsidRDefault="00000000">
      <w:pPr>
        <w:rPr>
          <w:szCs w:val="26"/>
        </w:rPr>
      </w:pPr>
      <w:r w:rsidRPr="000F7C87">
        <w:rPr>
          <w:szCs w:val="26"/>
        </w:rPr>
        <w:t xml:space="preserve">Về giải pháp, Đề tài đề xuất năm nhóm giải pháp đồng bộ: hoàn thiện quy chế với cơ chế lợi ích của tác giả theo nguồn hình thành tài sản, thời điểm giao nhiệm vụ và loại đối tượng; giao đầu mối, cơ chế phối hợp và bố trí nhân sự theo giai đoạn; chuẩn hóa quy trình 8 khâu với khai báo, sàng lọc, xem xét bảo mật trước khi công bố và phiếu rà soát tại nghiệm thu; lập dòng dự toán cho bước xác lập quyền và chuẩn bị phương án khai thác theo điều kiện chuyển bước; phát triển đào tạo và văn hóa sở hữu trí tuệ. Các giải pháp đi kèm kế hoạch thí điểm tại Viện Y - Dược, lộ trình ba giai đoạn đến năm 2030 và bộ chỉ số phân tầng từ sàng lọc, đơn nộp, văn bằng đến khai thác.</w:t>
      </w:r>
    </w:p>
    <w:p w14:paraId="6067EC56" w14:textId="77777777" w:rsidR="005B561C" w:rsidRPr="000F7C87" w:rsidRDefault="00000000">
      <w:pPr>
        <w:spacing w:before="280" w:after="160"/>
        <w:ind w:firstLine="0"/>
        <w:outlineLvl w:val="1"/>
        <w:rPr>
          <w:szCs w:val="26"/>
        </w:rPr>
      </w:pPr>
      <w:r w:rsidRPr="000F7C87">
        <w:rPr>
          <w:b/>
          <w:szCs w:val="26"/>
        </w:rPr>
        <w:t>2. Kiến nghị với cơ quan quản lý nhà nước</w:t>
      </w:r>
    </w:p>
    <w:p w14:paraId="48E95726" w14:textId="77777777" w:rsidR="005B561C" w:rsidRPr="000F7C87" w:rsidRDefault="00000000">
      <w:pPr>
        <w:rPr>
          <w:szCs w:val="26"/>
        </w:rPr>
      </w:pPr>
      <w:r w:rsidRPr="000F7C87">
        <w:rPr>
          <w:szCs w:val="26"/>
        </w:rPr>
        <w:t xml:space="preserve">Bộ Khoa học và Công nghệ sớm ban hành văn bản hướng dẫn thi hành Điều 25, Điều 27 và Điều 28 Luật số 93/2025/QH15 đối với tổ chức khoa học và công nghệ ngoài công lập, nhất là cách xác định lợi nhuận làm căn cứ thưởng tác giả và thủ tục góp vốn bằng tài sản trí tuệ. Bộ Giáo dục và Đào tạo có hướng dẫn cách tính các chỉ số về sở hữu trí tuệ và thu từ khoa học công nghệ trong Chuẩn cơ sở giáo dục đại học ban hành kèm Thông tư số 83/2026/TT-BGDĐT. Cục Sở hữu trí tuệ mở rộng chương trình tập huấn và cơ chế hỗ trợ phí nộp đơn cho cơ sở giáo dục đại học tư thục.</w:t>
      </w:r>
    </w:p>
    <w:p w14:paraId="6067EC56" w14:textId="77777777" w:rsidR="005B561C" w:rsidRPr="000F7C87" w:rsidRDefault="00000000">
      <w:pPr>
        <w:spacing w:before="280" w:after="160"/>
        <w:ind w:firstLine="0"/>
        <w:outlineLvl w:val="1"/>
        <w:rPr>
          <w:szCs w:val="26"/>
        </w:rPr>
      </w:pPr>
      <w:r w:rsidRPr="000F7C87">
        <w:rPr>
          <w:b/>
          <w:szCs w:val="26"/>
        </w:rPr>
        <w:t>3. Kiến nghị với Hội đồng trường và Ban Giám hiệu Trường Đại học Thành Đô</w:t>
      </w:r>
    </w:p>
    <w:p w14:paraId="48E95726" w14:textId="77777777" w:rsidR="005B561C" w:rsidRPr="000F7C87" w:rsidRDefault="00000000">
      <w:pPr>
        <w:rPr>
          <w:szCs w:val="26"/>
        </w:rPr>
      </w:pPr>
      <w:r w:rsidRPr="000F7C87">
        <w:rPr>
          <w:szCs w:val="26"/>
        </w:rPr>
        <w:t xml:space="preserve">Thứ nhất, chỉ đạo hoàn thiện Quy chế quản trị tài sản trí tuệ trên nền Quyết định 217, hợp nhất các quy định về sở hữu trí tuệ của Quyết định 213 và thống nhất với Quy chế chi tiêu nội bộ, trong đó xác định phạm vi và thứ tự áp dụng các quy định về lợi ích của tác giả, phân biệt thưởng, thù lao, nhuận bút, và bảo đảm mức tối thiểu theo Điều 28 Luật số 93/2025/QH15 cho các trường hợp thuộc phạm vi áp dụng của Luật.</w:t>
      </w:r>
    </w:p>
    <w:p w14:paraId="48E95726" w14:textId="77777777" w:rsidR="005B561C" w:rsidRPr="000F7C87" w:rsidRDefault="00000000">
      <w:pPr>
        <w:rPr>
          <w:szCs w:val="26"/>
        </w:rPr>
      </w:pPr>
      <w:r w:rsidRPr="000F7C87">
        <w:rPr>
          <w:szCs w:val="26"/>
        </w:rPr>
        <w:t xml:space="preserve">Thứ hai, bổ sung phiếu khai báo và phiếu rà soát vào các biểu mẫu đề xuất, thuyết minh, hợp đồng, nghiệm thu hiện có; rà soát tình trạng bộc lộ của 6 đề tài mã số 2021 - 2024 có sản phẩm tiềm năng sở hữu công nghiệp và xác nhận trạng thái pháp lý của 5 kiểu dáng công nghiệp.</w:t>
      </w:r>
    </w:p>
    <w:p w14:paraId="48E95726" w14:textId="77777777" w:rsidR="005B561C" w:rsidRPr="000F7C87" w:rsidRDefault="00000000">
      <w:pPr>
        <w:rPr>
          <w:szCs w:val="26"/>
        </w:rPr>
      </w:pPr>
      <w:r w:rsidRPr="000F7C87">
        <w:rPr>
          <w:szCs w:val="26"/>
        </w:rPr>
        <w:t xml:space="preserve">Thứ ba, lập dòng dự toán cho phí nộp đơn, phí đại diện, phí duy trì hiệu lực văn bằng, quy định người đề xuất chi và cách tạm ứng; giao đầu mối kiêm nhiệm tại Phòng Khoa học Công nghệ và Bộ phận Pháp chế, xem xét vị trí chuyên trách khi khối lượng hồ sơ đạt ngưỡng; triển khai kế hoạch thí điểm tại Viện Y - Dược và đánh giá theo bộ chỉ số sau mỗi năm.</w:t>
      </w:r>
    </w:p>
    <w:p w14:paraId="48E95726" w14:textId="77777777" w:rsidR="005B561C" w:rsidRPr="000F7C87" w:rsidRDefault="00000000">
      <w:pPr>
        <w:rPr>
          <w:szCs w:val="26"/>
        </w:rPr>
      </w:pPr>
      <w:r w:rsidRPr="000F7C87">
        <w:rPr>
          <w:szCs w:val="26"/>
        </w:rPr>
        <w:t xml:space="preserve">Thứ tư, tiếp tục phát huy chiến lược hợp tác với doanh nghiệp, đồng thời chủ động phát triển thêm tài sản trí tuệ thuộc sở hữu riêng của Nhà trường từ đề tài cấp cơ sở và ba đề tài cấp quốc gia đang thực hiện.</w:t>
      </w:r>
    </w:p>
    <w:p w14:paraId="07734D5E" w14:textId="77777777" w:rsidR="005B561C" w:rsidRPr="000F7C87" w:rsidRDefault="00000000">
      <w:pPr>
        <w:pageBreakBefore/>
        <w:spacing w:after="240"/>
        <w:ind w:firstLine="0"/>
        <w:jc w:val="center"/>
        <w:outlineLvl w:val="0"/>
        <w:rPr>
          <w:szCs w:val="26"/>
        </w:rPr>
      </w:pPr>
      <w:r w:rsidRPr="000F7C87">
        <w:rPr>
          <w:b/>
          <w:sz w:val="28"/>
          <w:szCs w:val="26"/>
        </w:rPr>
        <w:t>TÀI LIỆU THAM KHẢO</w:t>
      </w:r>
    </w:p>
    <w:p w14:paraId="0DE297E1" w14:textId="77777777" w:rsidR="005B561C" w:rsidRPr="000F7C87" w:rsidRDefault="00000000">
      <w:pPr>
        <w:spacing w:before="200" w:after="100"/>
        <w:ind w:firstLine="0"/>
        <w:rPr>
          <w:szCs w:val="26"/>
        </w:rPr>
      </w:pPr>
      <w:r w:rsidRPr="000F7C87">
        <w:rPr>
          <w:b/>
          <w:szCs w:val="26"/>
        </w:rPr>
        <w:t>A. Văn bản pháp luật, văn bản chỉ đạo và văn bản của Trường Đại học Thành Đô</w:t>
      </w:r>
    </w:p>
    <w:p w14:paraId="48E95726" w14:textId="77777777" w:rsidR="005B561C" w:rsidRPr="000F7C87" w:rsidRDefault="00000000">
      <w:pPr>
        <w:spacing w:after="80"/>
        <w:ind w:left="560" w:hanging="560"/>
        <w:rPr>
          <w:szCs w:val="26"/>
        </w:rPr>
      </w:pPr>
      <w:r w:rsidRPr="000F7C87">
        <w:rPr>
          <w:szCs w:val="26"/>
        </w:rPr>
        <w:t xml:space="preserve">Bộ Chính trị. (2026). </w:t>
      </w:r>
      <w:r w:rsidRPr="000F7C87">
        <w:rPr>
          <w:szCs w:val="26"/>
          <w:i/>
        </w:rPr>
        <w:t xml:space="preserve">Kết luận số 51-KL/TW ngày 17 tháng 6 năm 2026 về đẩy mạnh công tác sở hữu trí tuệ phục vụ phát triển kinh tế - xã hội trong tình hình mới</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(2024). </w:t>
      </w:r>
      <w:r w:rsidRPr="000F7C87">
        <w:rPr>
          <w:szCs w:val="26"/>
          <w:i/>
        </w:rPr>
        <w:t xml:space="preserve">Thông tư số 01/2024/TT-BGDĐT ngày 05 tháng 02 năm 2024 ban hành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(2026). </w:t>
      </w:r>
      <w:r w:rsidRPr="000F7C87">
        <w:rPr>
          <w:szCs w:val="26"/>
          <w:i/>
        </w:rPr>
        <w:t xml:space="preserve">Thông tư số 83/2026/TT-BGDĐT ngày 30 tháng 9 năm 2026 quy định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Chính phủ. (2023). </w:t>
      </w:r>
      <w:r w:rsidRPr="000F7C87">
        <w:rPr>
          <w:szCs w:val="26"/>
          <w:i/>
        </w:rPr>
        <w:t xml:space="preserve">Nghị định số 17/2023/NĐ-CP ngày 26 tháng 4 năm 2023 quy định chi tiết một số điều và biện pháp thi hành Luật Sở hữu trí tuệ về quyền tác giả, quyền liên quan</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Chính phủ. (2026). </w:t>
      </w:r>
      <w:r w:rsidRPr="000F7C87">
        <w:rPr>
          <w:szCs w:val="26"/>
          <w:i/>
        </w:rPr>
        <w:t xml:space="preserve">Nghị định số 134/2026/NĐ-CP ngày 06 tháng 4 năm 2026 sửa đổi, bổ sung một số điều của Nghị định số 17/2023/NĐ-CP quy định chi tiết một số điều và biện pháp thi hành Luật Sở hữu trí tuệ về quyền tác giả, quyền liên quan</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(2009). </w:t>
      </w:r>
      <w:r w:rsidRPr="000F7C87">
        <w:rPr>
          <w:szCs w:val="26"/>
          <w:i/>
        </w:rPr>
        <w:t xml:space="preserve">Luật số 36/2009/QH12 ngày 19 tháng 6 năm 2009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(2017). </w:t>
      </w:r>
      <w:r w:rsidRPr="000F7C87">
        <w:rPr>
          <w:szCs w:val="26"/>
          <w:i/>
        </w:rPr>
        <w:t xml:space="preserve">Luật Chuyển giao công nghệ số 07/2017/QH14 ngày 19 tháng 6 năm 2017</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(2025a). </w:t>
      </w:r>
      <w:r w:rsidRPr="000F7C87">
        <w:rPr>
          <w:szCs w:val="26"/>
          <w:i/>
        </w:rPr>
        <w:t xml:space="preserve">Luật Giáo dục đại học số 125/2025/QH15 ngày 10 tháng 12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(2025b). </w:t>
      </w:r>
      <w:r w:rsidRPr="000F7C87">
        <w:rPr>
          <w:szCs w:val="26"/>
          <w:i/>
        </w:rPr>
        <w:t xml:space="preserve">Luật Khoa học, công nghệ và đổi mới sáng tạo số 93/2025/QH15 ngày 27 tháng 6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(2025c). </w:t>
      </w:r>
      <w:r w:rsidRPr="000F7C87">
        <w:rPr>
          <w:szCs w:val="26"/>
          <w:i/>
        </w:rPr>
        <w:t xml:space="preserve">Luật số 123/2025/QH15 ngày 10 tháng 12 năm 2025 sửa đổi, bổ sung một số điều của Luật Giáo dục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(2025d). </w:t>
      </w:r>
      <w:r w:rsidRPr="000F7C87">
        <w:rPr>
          <w:szCs w:val="26"/>
          <w:i/>
        </w:rPr>
        <w:t xml:space="preserve">Luật số 131/2025/QH15 ngày 10 tháng 12 năm 2025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(2019). </w:t>
      </w:r>
      <w:r w:rsidRPr="000F7C87">
        <w:rPr>
          <w:szCs w:val="26"/>
          <w:i/>
        </w:rPr>
        <w:t xml:space="preserve">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(2026a). </w:t>
      </w:r>
      <w:r w:rsidRPr="000F7C87">
        <w:rPr>
          <w:szCs w:val="26"/>
          <w:i/>
        </w:rPr>
        <w:t xml:space="preserve">Chỉ thị số 02/CT-TTg ngày 30 tháng 01 năm 2026 về tăng cường thực thi quyền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(2026b). </w:t>
      </w:r>
      <w:r w:rsidRPr="000F7C87">
        <w:rPr>
          <w:szCs w:val="26"/>
          <w:i/>
        </w:rPr>
        <w:t xml:space="preserve">Quyết định số 1624/QĐ-TTg ngày 21 tháng 8 năm 2026 sửa đổi, bổ sung một số điều của 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(2021). </w:t>
      </w:r>
      <w:r w:rsidRPr="000F7C87">
        <w:rPr>
          <w:szCs w:val="26"/>
          <w:i/>
        </w:rPr>
        <w:t xml:space="preserve">Quyết định số 213/QĐ-ĐHTĐ ngày 28 tháng 12 năm 2021 ban hành Quy chế hoạt động khoa học công nghệ Trường Đại học Thành Đô</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(2024a). </w:t>
      </w:r>
      <w:r w:rsidRPr="000F7C87">
        <w:rPr>
          <w:szCs w:val="26"/>
          <w:i/>
        </w:rPr>
        <w:t xml:space="preserve">Kế hoạch số 07/KH-ĐHTĐ ngày 01 tháng 7 năm 2024 về hoạt động khoa học công nghệ giai đoạn 2024 - 2028</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(2024b). </w:t>
      </w:r>
      <w:r w:rsidRPr="000F7C87">
        <w:rPr>
          <w:szCs w:val="26"/>
          <w:i/>
        </w:rPr>
        <w:t xml:space="preserve">Quyết định số 217/QĐ-ĐHTĐ ngày 21 tháng 11 năm 2024 ban hành Quy chế quản trị tài sản trí tuệ tại Trường Đại học Thành Đô</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(2025). </w:t>
      </w:r>
      <w:r w:rsidRPr="000F7C87">
        <w:rPr>
          <w:szCs w:val="26"/>
          <w:i/>
        </w:rPr>
        <w:t xml:space="preserve">Điều lệ Quỹ Học bổng sau tiến sĩ Ngô Xuân Độ</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(2026). </w:t>
      </w:r>
      <w:r w:rsidRPr="000F7C87">
        <w:rPr>
          <w:szCs w:val="26"/>
          <w:i/>
        </w:rPr>
        <w:t xml:space="preserve">Quy chế chi tiêu nội bộ Trường Đại học Thành Đô</w:t>
      </w:r>
      <w:r w:rsidRPr="000F7C87">
        <w:rPr>
          <w:szCs w:val="26"/>
        </w:rPr>
        <w:t xml:space="preserve"> (Ban hành theo Nghị quyết số 02/NQ-HĐT-ĐHTĐ ngày 01 tháng 6 năm 2026).</w:t>
      </w:r>
    </w:p>
    <w:p w14:paraId="48E95726" w14:textId="77777777" w:rsidR="005B561C" w:rsidRPr="000F7C87" w:rsidRDefault="00000000">
      <w:pPr>
        <w:spacing w:after="80"/>
        <w:ind w:left="560" w:hanging="560"/>
        <w:rPr>
          <w:szCs w:val="26"/>
        </w:rPr>
      </w:pPr>
      <w:r w:rsidRPr="000F7C87">
        <w:rPr>
          <w:szCs w:val="26"/>
        </w:rPr>
        <w:t xml:space="preserve">Văn phòng Quốc hội. (2026). </w:t>
      </w:r>
      <w:r w:rsidRPr="000F7C87">
        <w:rPr>
          <w:szCs w:val="26"/>
          <w:i/>
        </w:rPr>
        <w:t xml:space="preserve">Văn bản hợp nhất số 67/VBHN-VPQH ngày 23 tháng 3 năm 2026 hợp nhất Luật Sở hữu trí tuệ</w:t>
      </w:r>
      <w:r w:rsidRPr="000F7C87">
        <w:rPr>
          <w:szCs w:val="26"/>
        </w:rPr>
        <w:t xml:space="preserve">.</w:t>
      </w:r>
    </w:p>
    <w:p w14:paraId="0DE297E1" w14:textId="77777777" w:rsidR="005B561C" w:rsidRPr="000F7C87" w:rsidRDefault="00000000">
      <w:pPr>
        <w:spacing w:before="200" w:after="100"/>
        <w:ind w:firstLine="0"/>
        <w:rPr>
          <w:szCs w:val="26"/>
        </w:rPr>
      </w:pPr>
      <w:r w:rsidRPr="000F7C87">
        <w:rPr>
          <w:b/>
          <w:szCs w:val="26"/>
        </w:rPr>
        <w:t>B. Tài liệu tiếng Việt</w:t>
      </w:r>
    </w:p>
    <w:p w14:paraId="48E95726" w14:textId="77777777" w:rsidR="005B561C" w:rsidRPr="000F7C87" w:rsidRDefault="00000000">
      <w:pPr>
        <w:spacing w:after="80"/>
        <w:ind w:left="560" w:hanging="560"/>
        <w:rPr>
          <w:szCs w:val="26"/>
        </w:rPr>
      </w:pPr>
      <w:r w:rsidRPr="000F7C87">
        <w:rPr>
          <w:szCs w:val="26"/>
        </w:rPr>
        <w:t xml:space="preserve">Cục Sở hữu trí tuệ. (n.d.). </w:t>
      </w:r>
      <w:r w:rsidRPr="000F7C87">
        <w:rPr>
          <w:szCs w:val="26"/>
          <w:i/>
        </w:rPr>
        <w:t xml:space="preserve">Tài liệu tập huấn về sở hữu trí tuệ dành cho cán bộ các trường đại học, viện nghiên cứu</w:t>
      </w:r>
      <w:r w:rsidRPr="000F7C87">
        <w:rPr>
          <w:szCs w:val="26"/>
        </w:rPr>
        <w:t xml:space="preserve">. Truy cập ngày 30 tháng 9 năm 2026, từ https://shtt.hcmulaw.edu.vn/sach-dien-tu/bo-tai-lieu-tap-huan-ve-so-huu-tri-tue-cua-cuc-so-huu-tri-tue-327.html</w:t>
      </w:r>
    </w:p>
    <w:p w14:paraId="48E95726" w14:textId="77777777" w:rsidR="005B561C" w:rsidRPr="000F7C87" w:rsidRDefault="00000000">
      <w:pPr>
        <w:spacing w:after="80"/>
        <w:ind w:left="560" w:hanging="560"/>
        <w:rPr>
          <w:szCs w:val="26"/>
        </w:rPr>
      </w:pPr>
      <w:r w:rsidRPr="000F7C87">
        <w:rPr>
          <w:szCs w:val="26"/>
        </w:rPr>
        <w:t xml:space="preserve">Nguyễn, M. H. T. (2025). Quản trị tài sản trí tuệ tại các cơ sở giáo dục đại học: Cơ hội và thách thức trong bối cảnh cuộc cách mạng công nghiệp 4.0. </w:t>
      </w:r>
      <w:r w:rsidRPr="000F7C87">
        <w:rPr>
          <w:szCs w:val="26"/>
          <w:i/>
        </w:rPr>
        <w:t xml:space="preserve">Tạp chí Khoa học Trường Đại học Sư phạm Thành phố Hồ Chí Minh, 22</w:t>
      </w:r>
      <w:r w:rsidRPr="000F7C87">
        <w:rPr>
          <w:szCs w:val="26"/>
        </w:rPr>
        <w:t xml:space="preserve">(1), 123-131. https://doi.org/10.54607/hcmue.js.22.1.4287(2025)</w:t>
      </w:r>
    </w:p>
    <w:p w14:paraId="48E95726" w14:textId="77777777" w:rsidR="005B561C" w:rsidRPr="000F7C87" w:rsidRDefault="00000000">
      <w:pPr>
        <w:spacing w:after="80"/>
        <w:ind w:left="560" w:hanging="560"/>
        <w:rPr>
          <w:szCs w:val="26"/>
        </w:rPr>
      </w:pPr>
      <w:r w:rsidRPr="000F7C87">
        <w:rPr>
          <w:szCs w:val="26"/>
        </w:rPr>
        <w:t xml:space="preserve">Tổ chức Sở hữu trí tuệ thế giới. (2020). </w:t>
      </w:r>
      <w:r w:rsidRPr="000F7C87">
        <w:rPr>
          <w:szCs w:val="26"/>
          <w:i/>
        </w:rPr>
        <w:t xml:space="preserve">What is intellectual property?</w:t>
      </w:r>
      <w:r w:rsidRPr="000F7C87">
        <w:rPr>
          <w:szCs w:val="26"/>
        </w:rPr>
        <w:t xml:space="preserve"> (WIPO Publication No. 450). World Intellectual Property Organization.</w:t>
      </w:r>
    </w:p>
    <w:p w14:paraId="48E95726" w14:textId="77777777" w:rsidR="005B561C" w:rsidRPr="000F7C87" w:rsidRDefault="00000000">
      <w:pPr>
        <w:spacing w:after="80"/>
        <w:ind w:left="560" w:hanging="560"/>
        <w:rPr>
          <w:szCs w:val="26"/>
        </w:rPr>
      </w:pPr>
      <w:r w:rsidRPr="000F7C87">
        <w:rPr>
          <w:szCs w:val="26"/>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sidRPr="000F7C87">
        <w:rPr>
          <w:szCs w:val="26"/>
          <w:i/>
        </w:rPr>
        <w:t xml:space="preserve">Tạp chí Khoa học Đại học Mở Thành phố Hồ Chí Minh</w:t>
      </w:r>
      <w:r w:rsidRPr="000F7C87">
        <w:rPr>
          <w:szCs w:val="26"/>
        </w:rPr>
        <w:t xml:space="preserve">. https://doi.org/10.59266/houjs.2025.606</w:t>
      </w:r>
    </w:p>
    <w:p w14:paraId="0DE297E1" w14:textId="77777777" w:rsidR="005B561C" w:rsidRPr="000F7C87" w:rsidRDefault="00000000">
      <w:pPr>
        <w:spacing w:before="200" w:after="100"/>
        <w:ind w:firstLine="0"/>
        <w:rPr>
          <w:szCs w:val="26"/>
        </w:rPr>
      </w:pPr>
      <w:r w:rsidRPr="000F7C87">
        <w:rPr>
          <w:b/>
          <w:szCs w:val="26"/>
        </w:rPr>
        <w:t>C. Tài liệu tiếng nước ngoài</w:t>
      </w:r>
    </w:p>
    <w:p w14:paraId="48E95726" w14:textId="77777777" w:rsidR="005B561C" w:rsidRPr="000F7C87" w:rsidRDefault="00000000">
      <w:pPr>
        <w:spacing w:after="80"/>
        <w:ind w:left="560" w:hanging="560"/>
        <w:rPr>
          <w:szCs w:val="26"/>
        </w:rPr>
      </w:pPr>
      <w:r w:rsidRPr="000F7C87">
        <w:rPr>
          <w:szCs w:val="26"/>
        </w:rPr>
        <w:t xml:space="preserve">Bradley, S. R., Hayter, C. S., &amp; Link, A. N. (2013). Models and methods of university technology transfer. </w:t>
      </w:r>
      <w:r w:rsidRPr="000F7C87">
        <w:rPr>
          <w:szCs w:val="26"/>
          <w:i/>
        </w:rPr>
        <w:t xml:space="preserve">Foundations and Trends in Entrepreneurship, 9</w:t>
      </w:r>
      <w:r w:rsidRPr="000F7C87">
        <w:rPr>
          <w:szCs w:val="26"/>
        </w:rPr>
        <w:t xml:space="preserve">(6), 571-650. https://doi.org/10.1561/0300000048</w:t>
      </w:r>
    </w:p>
    <w:p w14:paraId="48E95726" w14:textId="77777777" w:rsidR="005B561C" w:rsidRPr="000F7C87" w:rsidRDefault="00000000">
      <w:pPr>
        <w:spacing w:after="80"/>
        <w:ind w:left="560" w:hanging="560"/>
        <w:rPr>
          <w:szCs w:val="26"/>
        </w:rPr>
      </w:pPr>
      <w:r w:rsidRPr="000F7C87">
        <w:rPr>
          <w:szCs w:val="26"/>
        </w:rPr>
        <w:t xml:space="preserve">Etzkowitz, H. (2003). Research groups as 'quasi-firms': The invention of the entrepreneurial university. </w:t>
      </w:r>
      <w:r w:rsidRPr="000F7C87">
        <w:rPr>
          <w:szCs w:val="26"/>
          <w:i/>
        </w:rPr>
        <w:t xml:space="preserve">Research Policy, 32</w:t>
      </w:r>
      <w:r w:rsidRPr="000F7C87">
        <w:rPr>
          <w:szCs w:val="26"/>
        </w:rPr>
        <w:t xml:space="preserve">(1), 109-121. https://doi.org/10.1016/S0048-7333(02)00009-4</w:t>
      </w:r>
    </w:p>
    <w:p w14:paraId="48E95726" w14:textId="77777777" w:rsidR="005B561C" w:rsidRPr="000F7C87" w:rsidRDefault="00000000">
      <w:pPr>
        <w:spacing w:after="80"/>
        <w:ind w:left="560" w:hanging="560"/>
        <w:rPr>
          <w:szCs w:val="26"/>
        </w:rPr>
      </w:pPr>
      <w:r w:rsidRPr="000F7C87">
        <w:rPr>
          <w:szCs w:val="26"/>
        </w:rPr>
        <w:t xml:space="preserve">Fisher, W. (2001). Theories of intellectual property. In S. R. Munzer (Ed.), </w:t>
      </w:r>
      <w:r w:rsidRPr="000F7C87">
        <w:rPr>
          <w:szCs w:val="26"/>
          <w:i/>
        </w:rPr>
        <w:t xml:space="preserve">New essays in the legal and political theory of property</w:t>
      </w:r>
      <w:r w:rsidRPr="000F7C87">
        <w:rPr>
          <w:szCs w:val="26"/>
        </w:rPr>
        <w:t xml:space="preserve"> (pp. 168-199). Cambridge University Press.</w:t>
      </w:r>
    </w:p>
    <w:p w14:paraId="48E95726" w14:textId="77777777" w:rsidR="005B561C" w:rsidRPr="000F7C87" w:rsidRDefault="00000000">
      <w:pPr>
        <w:spacing w:after="80"/>
        <w:ind w:left="560" w:hanging="560"/>
        <w:rPr>
          <w:szCs w:val="26"/>
        </w:rPr>
      </w:pPr>
      <w:r w:rsidRPr="000F7C87">
        <w:rPr>
          <w:szCs w:val="26"/>
        </w:rPr>
        <w:t xml:space="preserve">Goldfarb, B., &amp; Henrekson, M. (2003). Bottom-up versus top-down policies towards the commercialization of university intellectual property. </w:t>
      </w:r>
      <w:r w:rsidRPr="000F7C87">
        <w:rPr>
          <w:szCs w:val="26"/>
          <w:i/>
        </w:rPr>
        <w:t xml:space="preserve">Research Policy, 32</w:t>
      </w:r>
      <w:r w:rsidRPr="000F7C87">
        <w:rPr>
          <w:szCs w:val="26"/>
        </w:rPr>
        <w:t xml:space="preserve">(4), 639-658. https://doi.org/10.1016/S0048-7333(02)00034-3</w:t>
      </w:r>
    </w:p>
    <w:p w14:paraId="48E95726" w14:textId="77777777" w:rsidR="005B561C" w:rsidRPr="000F7C87" w:rsidRDefault="00000000">
      <w:pPr>
        <w:spacing w:after="80"/>
        <w:ind w:left="560" w:hanging="560"/>
        <w:rPr>
          <w:szCs w:val="26"/>
        </w:rPr>
      </w:pPr>
      <w:r w:rsidRPr="000F7C87">
        <w:rPr>
          <w:szCs w:val="26"/>
        </w:rPr>
        <w:t xml:space="preserve">Guan, W. (2014). Intellectual property: Concept, history, and contentions. In </w:t>
      </w:r>
      <w:r w:rsidRPr="000F7C87">
        <w:rPr>
          <w:szCs w:val="26"/>
          <w:i/>
        </w:rPr>
        <w:t xml:space="preserve">Intellectual property theory and practice: A critical examination of China's TRIPS compliance and beyond</w:t>
      </w:r>
      <w:r w:rsidRPr="000F7C87">
        <w:rPr>
          <w:szCs w:val="26"/>
        </w:rPr>
        <w:t xml:space="preserve"> (pp. 1-10). Springer. https://doi.org/10.1007/978-3-642-55265-6_1</w:t>
      </w:r>
    </w:p>
    <w:p w14:paraId="48E95726" w14:textId="77777777" w:rsidR="005B561C" w:rsidRPr="000F7C87" w:rsidRDefault="00000000">
      <w:pPr>
        <w:spacing w:after="80"/>
        <w:ind w:left="560" w:hanging="560"/>
        <w:rPr>
          <w:szCs w:val="26"/>
        </w:rPr>
      </w:pPr>
      <w:r w:rsidRPr="000F7C87">
        <w:rPr>
          <w:szCs w:val="26"/>
        </w:rPr>
        <w:t xml:space="preserve">Holgersson, M., &amp; Aaboen, L. (2019). A literature review of intellectual property management in technology transfer offices: From appropriation to utilization. </w:t>
      </w:r>
      <w:r w:rsidRPr="000F7C87">
        <w:rPr>
          <w:szCs w:val="26"/>
          <w:i/>
        </w:rPr>
        <w:t xml:space="preserve">Technology in Society, 59</w:t>
      </w:r>
      <w:r w:rsidRPr="000F7C87">
        <w:rPr>
          <w:szCs w:val="26"/>
        </w:rPr>
        <w:t xml:space="preserve">, Article 101132. https://doi.org/10.1016/j.techsoc.2019.04.008</w:t>
      </w:r>
    </w:p>
    <w:p w14:paraId="48E95726" w14:textId="77777777" w:rsidR="005B561C" w:rsidRPr="000F7C87" w:rsidRDefault="00000000">
      <w:pPr>
        <w:spacing w:after="80"/>
        <w:ind w:left="560" w:hanging="560"/>
        <w:rPr>
          <w:szCs w:val="26"/>
        </w:rPr>
      </w:pPr>
      <w:r w:rsidRPr="000F7C87">
        <w:rPr>
          <w:szCs w:val="26"/>
        </w:rPr>
        <w:t xml:space="preserve">Maresova, P., Stemberkova, R., &amp; Fadeyi, O. (2019). Models, processes, and roles of universities in technology transfer management: A systematic review. </w:t>
      </w:r>
      <w:r w:rsidRPr="000F7C87">
        <w:rPr>
          <w:szCs w:val="26"/>
          <w:i/>
        </w:rPr>
        <w:t xml:space="preserve">Administrative Sciences, 9</w:t>
      </w:r>
      <w:r w:rsidRPr="000F7C87">
        <w:rPr>
          <w:szCs w:val="26"/>
        </w:rPr>
        <w:t xml:space="preserve">(3), Article 67. https://doi.org/10.3390/admsci9030067</w:t>
      </w:r>
    </w:p>
    <w:p w14:paraId="48E95726" w14:textId="77777777" w:rsidR="005B561C" w:rsidRPr="000F7C87" w:rsidRDefault="00000000">
      <w:pPr>
        <w:spacing w:after="80"/>
        <w:ind w:left="560" w:hanging="560"/>
        <w:rPr>
          <w:szCs w:val="26"/>
        </w:rPr>
      </w:pPr>
      <w:r w:rsidRPr="000F7C87">
        <w:rPr>
          <w:szCs w:val="26"/>
        </w:rPr>
        <w:t xml:space="preserve">O’Dwyer, M., Filieri, R., &amp; O’Malley, L. (2023). Establishing successful university-industry collaborations: Barriers and enablers deconstructed. </w:t>
      </w:r>
      <w:r w:rsidRPr="000F7C87">
        <w:rPr>
          <w:szCs w:val="26"/>
          <w:i/>
        </w:rPr>
        <w:t xml:space="preserve">The Journal of Technology Transfer, 48</w:t>
      </w:r>
      <w:r w:rsidRPr="000F7C87">
        <w:rPr>
          <w:szCs w:val="26"/>
        </w:rPr>
        <w:t xml:space="preserve">(3), 900-931. https://doi.org/10.1007/s10961-022-09932-2</w:t>
      </w:r>
    </w:p>
    <w:p w14:paraId="48E95726" w14:textId="77777777" w:rsidR="005B561C" w:rsidRPr="000F7C87" w:rsidRDefault="00000000">
      <w:pPr>
        <w:spacing w:after="80"/>
        <w:ind w:left="560" w:hanging="560"/>
        <w:rPr>
          <w:szCs w:val="26"/>
        </w:rPr>
      </w:pPr>
      <w:r w:rsidRPr="000F7C87">
        <w:rPr>
          <w:szCs w:val="26"/>
        </w:rPr>
        <w:t xml:space="preserve">Perkmann, M., Tartari, V., McKelvey, M., Autio, E., Broström, A., D’Este, P., Fini, R., Geuna, A., Grimaldi, R., Hughes, A., Krabel, S., Kitson, M., Llerena, P., Lissoni, F., Salter, A., &amp; Sobrero, M. (2013). Academic engagement and commercialisation: A review of the literature on university-industry relations. </w:t>
      </w:r>
      <w:r w:rsidRPr="000F7C87">
        <w:rPr>
          <w:szCs w:val="26"/>
          <w:i/>
        </w:rPr>
        <w:t xml:space="preserve">Research Policy, 42</w:t>
      </w:r>
      <w:r w:rsidRPr="000F7C87">
        <w:rPr>
          <w:szCs w:val="26"/>
        </w:rPr>
        <w:t xml:space="preserve">(2), 423-442. https://doi.org/10.1016/j.respol.2012.09.007</w:t>
      </w:r>
    </w:p>
    <w:p w14:paraId="48E95726" w14:textId="77777777" w:rsidR="005B561C" w:rsidRPr="000F7C87" w:rsidRDefault="00000000">
      <w:pPr>
        <w:spacing w:after="80"/>
        <w:ind w:left="560" w:hanging="560"/>
        <w:rPr>
          <w:szCs w:val="26"/>
        </w:rPr>
      </w:pPr>
      <w:r w:rsidRPr="000F7C87">
        <w:rPr>
          <w:szCs w:val="26"/>
        </w:rPr>
        <w:t xml:space="preserve">Rocha, A., Cruz-Cunha, M. M., &amp; Romero, F. (2023). University technology transfer: Assessment of invention disclosures by technology transfer offices. </w:t>
      </w:r>
      <w:r w:rsidRPr="000F7C87">
        <w:rPr>
          <w:szCs w:val="26"/>
          <w:i/>
        </w:rPr>
        <w:t xml:space="preserve">International Journal of Entrepreneurship and Innovation Management, 27</w:t>
      </w:r>
      <w:r w:rsidRPr="000F7C87">
        <w:rPr>
          <w:szCs w:val="26"/>
        </w:rPr>
        <w:t xml:space="preserve">(1/2), 119-136.</w:t>
      </w:r>
    </w:p>
    <w:p w14:paraId="48E95726" w14:textId="77777777" w:rsidR="005B561C" w:rsidRPr="000F7C87" w:rsidRDefault="00000000">
      <w:pPr>
        <w:spacing w:after="80"/>
        <w:ind w:left="560" w:hanging="560"/>
        <w:rPr>
          <w:szCs w:val="26"/>
        </w:rPr>
      </w:pPr>
      <w:r w:rsidRPr="000F7C87">
        <w:rPr>
          <w:szCs w:val="26"/>
        </w:rPr>
        <w:t xml:space="preserve">Shane, S. (2004). Encouraging university entrepreneurship? The effect of the Bayh-Dole Act on university patenting in the United States. </w:t>
      </w:r>
      <w:r w:rsidRPr="000F7C87">
        <w:rPr>
          <w:szCs w:val="26"/>
          <w:i/>
        </w:rPr>
        <w:t xml:space="preserve">Journal of Business Venturing, 19</w:t>
      </w:r>
      <w:r w:rsidRPr="000F7C87">
        <w:rPr>
          <w:szCs w:val="26"/>
        </w:rPr>
        <w:t xml:space="preserve">(1), 127-151. https://doi.org/10.1016/S0883-9026(02)00114-3</w:t>
      </w:r>
    </w:p>
    <w:p w14:paraId="48E95726" w14:textId="77777777" w:rsidR="005B561C" w:rsidRPr="000F7C87" w:rsidRDefault="00000000">
      <w:pPr>
        <w:spacing w:after="80"/>
        <w:ind w:left="560" w:hanging="560"/>
        <w:rPr>
          <w:szCs w:val="26"/>
        </w:rPr>
      </w:pPr>
      <w:r w:rsidRPr="000F7C87">
        <w:rPr>
          <w:szCs w:val="26"/>
        </w:rPr>
        <w:t xml:space="preserve">Siegel, D. S., Veugelers, R., &amp; Wright, M. (2007). Technology transfer offices and commercialization of university intellectual property: Performance and policy implications. </w:t>
      </w:r>
      <w:r w:rsidRPr="000F7C87">
        <w:rPr>
          <w:szCs w:val="26"/>
          <w:i/>
        </w:rPr>
        <w:t xml:space="preserve">Oxford Review of Economic Policy, 23</w:t>
      </w:r>
      <w:r w:rsidRPr="000F7C87">
        <w:rPr>
          <w:szCs w:val="26"/>
        </w:rPr>
        <w:t xml:space="preserve">(4), 640-660. https://doi.org/10.1093/oxrep/grm036</w:t>
      </w:r>
    </w:p>
    <w:p w14:paraId="48E95726" w14:textId="77777777" w:rsidR="005B561C" w:rsidRPr="000F7C87" w:rsidRDefault="00000000">
      <w:pPr>
        <w:spacing w:after="80"/>
        <w:ind w:left="560" w:hanging="560"/>
        <w:rPr>
          <w:szCs w:val="26"/>
        </w:rPr>
      </w:pPr>
      <w:r w:rsidRPr="000F7C87">
        <w:rPr>
          <w:szCs w:val="26"/>
        </w:rPr>
        <w:t xml:space="preserve">Teece, D. J. (2018). Profiting from innovation in the digital economy: Enabling technologies, standards, and licensing models in the wireless world. </w:t>
      </w:r>
      <w:r w:rsidRPr="000F7C87">
        <w:rPr>
          <w:szCs w:val="26"/>
          <w:i/>
        </w:rPr>
        <w:t xml:space="preserve">Research Policy, 47</w:t>
      </w:r>
      <w:r w:rsidRPr="000F7C87">
        <w:rPr>
          <w:szCs w:val="26"/>
        </w:rPr>
        <w:t xml:space="preserve">(8), 1367-1387. https://doi.org/10.1016/j.respol.2017.01.015</w:t>
      </w:r>
    </w:p>
    <w:p w14:paraId="48E95726" w14:textId="77777777" w:rsidR="005B561C" w:rsidRPr="000F7C87" w:rsidRDefault="00000000">
      <w:pPr>
        <w:spacing w:after="80"/>
        <w:ind w:left="560" w:hanging="560"/>
        <w:rPr>
          <w:szCs w:val="26"/>
        </w:rPr>
      </w:pPr>
      <w:r w:rsidRPr="000F7C87">
        <w:rPr>
          <w:szCs w:val="26"/>
        </w:rPr>
        <w:t xml:space="preserve">Thursby, J. G., &amp; Kemp, S. (2002). Growth and productive efficiency of university intellectual property licensing. </w:t>
      </w:r>
      <w:r w:rsidRPr="000F7C87">
        <w:rPr>
          <w:szCs w:val="26"/>
          <w:i/>
        </w:rPr>
        <w:t xml:space="preserve">Research Policy, 31</w:t>
      </w:r>
      <w:r w:rsidRPr="000F7C87">
        <w:rPr>
          <w:szCs w:val="26"/>
        </w:rPr>
        <w:t xml:space="preserve">(1), 109-124. https://doi.org/10.1016/S0048-7333(00)00160-8</w:t>
      </w:r>
    </w:p>
    <w:sectPr w:rsidR="005B561C" w:rsidRPr="000F7C87" w:rsidSect="00034616">
      <w:footerReference w:type="default" r:id="rId27"/>
      <w:pgSz w:w="11906" w:h="16838"/>
      <w:pgMar w:top="1134" w:right="1134" w:bottom="1134" w:left="1701"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 xml:space="preserve">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 xml:space="preserve">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image" Target="media/image5.png"/><Relationship Id="rId14" Type="http://schemas.openxmlformats.org/officeDocument/2006/relationships/chart" Target="charts/chart3.xml"/><Relationship Id="rId15" Type="http://schemas.openxmlformats.org/officeDocument/2006/relationships/chart" Target="charts/chart4.xml"/><Relationship Id="rId16" Type="http://schemas.openxmlformats.org/officeDocument/2006/relationships/chart" Target="charts/chart5.xml"/><Relationship Id="rId17" Type="http://schemas.openxmlformats.org/officeDocument/2006/relationships/chart" Target="charts/chart6.xml"/><Relationship Id="rId18" Type="http://schemas.openxmlformats.org/officeDocument/2006/relationships/chart" Target="charts/chart7.xml"/><Relationship Id="rId19" Type="http://schemas.openxmlformats.org/officeDocument/2006/relationships/chart" Target="charts/chart8.xml"/><Relationship Id="rId20" Type="http://schemas.openxmlformats.org/officeDocument/2006/relationships/chart" Target="charts/chart9.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87096774193548387"/>
          <c:h val="0.6777777777777777"/>
        </c:manualLayout>
      </c:layout>
      <c:lineChart>
        <c:grouping val="standard"/>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ser>
          <c:idx val="0"/>
          <c:order val="0"/>
          <c:tx>
            <c:strRef>
              <c:f>'Du_lieu'!$B$1</c:f>
              <c:strCache>
                <c:ptCount val="1"/>
                <c:pt idx="0">
                  <c:v>Tính được đầy đủ</c:v>
                </c:pt>
              </c:strCache>
            </c:strRef>
          </c:tx>
          <c:spPr>
            <a:solidFill>
              <a:srgbClr val="1BAF7A"/>
            </a:solidFill>
            <a:ln w="9525">
              <a:solidFill>
                <a:srgbClr val="FFFFFF"/>
              </a:solidFill>
            </a:ln>
          </c:spPr>
          <c:dLbls>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ser>
        <c:ser>
          <c:idx val="1"/>
          <c:order val="1"/>
          <c:tx>
            <c:strRef>
              <c:f>'Du_lieu'!$C$1</c:f>
              <c:strCache>
                <c:ptCount val="1"/>
                <c:pt idx="0">
                  <c:v>Tính được một phần</c:v>
                </c:pt>
              </c:strCache>
            </c:strRef>
          </c:tx>
          <c:spPr>
            <a:solidFill>
              <a:srgbClr val="EDA100"/>
            </a:solidFill>
            <a:ln w="9525">
              <a:solidFill>
                <a:srgbClr val="FFFFFF"/>
              </a:solidFill>
            </a:ln>
          </c:spPr>
          <c:dLbls>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ser>
        <c:ser>
          <c:idx val="2"/>
          <c:order val="2"/>
          <c:tx>
            <c:strRef>
              <c:f>'Du_lieu'!$D$1</c:f>
              <c:strCache>
                <c:ptCount val="1"/>
                <c:pt idx="0">
                  <c:v>Chưa tính được</c:v>
                </c:pt>
              </c:strCache>
            </c:strRef>
          </c:tx>
          <c:spPr>
            <a:solidFill>
              <a:srgbClr val="EB6834"/>
            </a:solidFill>
            <a:ln w="9525">
              <a:solidFill>
                <a:srgbClr val="FFFFFF"/>
              </a:solidFill>
            </a:ln>
          </c:spPr>
          <c:dLbls>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ser>
        <c:gapWidth val="50"/>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ser>
          <c:idx val="0"/>
          <c:order val="0"/>
          <c:tx>
            <c:strRef>
              <c:f>'Du_lieu'!$B$1</c:f>
              <c:strCache>
                <c:ptCount val="1"/>
                <c:pt idx="0">
                  <c:v>Đã cấp văn bằng, giấy chứng nhận</c:v>
                </c:pt>
              </c:strCache>
            </c:strRef>
          </c:tx>
          <c:spPr>
            <a:solidFill>
              <a:srgbClr val="2A78D6"/>
            </a:solidFill>
            <a:ln w="9525">
              <a:solidFill>
                <a:srgbClr val="FFFFFF"/>
              </a:solidFill>
            </a:ln>
          </c:spPr>
          <c:dLbls>
            <c:dLbl>
              <c:idx val="2"/>
              <c:delete val="1"/>
            </c:dLbl>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dLbls>
            <c:dLbl>
              <c:idx val="0"/>
              <c:delete val="1"/>
            </c:dLbl>
            <c:dLbl>
              <c:idx val="1"/>
              <c:delete val="1"/>
            </c:dLbl>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ser>
        <c:ser>
          <c:idx val="2"/>
          <c:order val="2"/>
          <c:tx>
            <c:strRef>
              <c:f>'Du_lieu'!$D$1</c:f>
              <c:strCache>
                <c:ptCount val="1"/>
                <c:pt idx="0">
                  <c:v>Đã nộp đơn</c:v>
                </c:pt>
              </c:strCache>
            </c:strRef>
          </c:tx>
          <c:spPr>
            <a:solidFill>
              <a:srgbClr val="EDA100"/>
            </a:solidFill>
            <a:ln w="9525">
              <a:solidFill>
                <a:srgbClr val="FFFFFF"/>
              </a:solidFill>
            </a:ln>
          </c:spPr>
          <c:dLbls>
            <c:dLbl>
              <c:idx val="0"/>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785714285714286"/>
          <c:w val="0.95999999999999996"/>
          <c:h val="0.2053571428571428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7.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8.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ser>
          <c:idx val="0"/>
          <c:order val="0"/>
          <c:tx>
            <c:strRef>
              <c:f>'Du_lieu'!$B$1</c:f>
              <c:strCache>
                <c:ptCount val="1"/>
                <c:pt idx="0">
                  <c:v>Toàn bộ 38 đề tài, mã số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ser>
        <c:ser>
          <c:idx val="1"/>
          <c:order val="1"/>
          <c:tx>
            <c:strRef>
              <c:f>'Du_lieu'!$C$1</c:f>
              <c:strCache>
                <c:ptCount val="1"/>
                <c:pt idx="0">
                  <c:v>Đề tài mã số 2021 - 2024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230769230769232"/>
          <c:w val="0.95999999999999996"/>
          <c:h val="0.12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9.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24193548387096774"/>
          <c:w val="0.55161290322580647"/>
          <c:h val="0.88709677419354838"/>
        </c:manualLayout>
      </c:layout>
      <c:barChart>
        <c:barDir val="bar"/>
        <c:grouping val="clustered"/>
        <c:ser>
          <c:idx val="0"/>
          <c:order val="0"/>
          <c:tx>
            <c:strRef>
              <c:f>'Du_lieu'!$E$1</c:f>
              <c:strCache>
                <c:ptCount val="1"/>
                <c:pt idx="0">
                  <c:v>Tỷ lệ thực hiện</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2A78D6"/>
              </a:solidFill>
              <a:ln w="9525">
                <a:solidFill>
                  <a:srgbClr val="FFFFFF"/>
                </a:solidFill>
              </a:ln>
            </c:spPr>
          </c:dPt>
          <c:dPt>
            <c:idx val="4"/>
            <c:spPr>
              <a:solidFill>
                <a:srgbClr val="1BAF7A"/>
              </a:solidFill>
              <a:ln w="9525">
                <a:solidFill>
                  <a:srgbClr val="FFFFFF"/>
                </a:solidFill>
              </a:ln>
            </c:spPr>
          </c:dPt>
          <c:dPt>
            <c:idx val="5"/>
            <c:spPr>
              <a:solidFill>
                <a:srgbClr val="1BAF7A"/>
              </a:solidFill>
              <a:ln w="9525">
                <a:solidFill>
                  <a:srgbClr val="FFFFFF"/>
                </a:solidFill>
              </a:ln>
            </c:spPr>
          </c:dPt>
          <c:dPt>
            <c:idx val="6"/>
            <c:spPr>
              <a:solidFill>
                <a:srgbClr val="2A78D6"/>
              </a:solidFill>
              <a:ln w="9525">
                <a:solidFill>
                  <a:srgbClr val="FFFFFF"/>
                </a:solidFill>
              </a:ln>
            </c:spPr>
          </c:dPt>
          <c:dPt>
            <c:idx val="7"/>
            <c:spPr>
              <a:solidFill>
                <a:srgbClr val="1BAF7A"/>
              </a:solidFill>
              <a:ln w="9525">
                <a:solidFill>
                  <a:srgbClr val="FFFFFF"/>
                </a:solidFill>
              </a:ln>
            </c:spPr>
          </c:dPt>
          <c:dPt>
            <c:idx val="8"/>
            <c:spPr>
              <a:solidFill>
                <a:srgbClr val="EB6834"/>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2.233333333333333</c:v>
                </c:pt>
                <c:pt idx="3">
                  <c:v>1.645454545454546</c:v>
                </c:pt>
                <c:pt idx="4">
                  <c:v>1.5</c:v>
                </c:pt>
                <c:pt idx="5">
                  <c:v>1.071428571428571</c:v>
                </c:pt>
                <c:pt idx="6">
                  <c:v>0.9090909090909091</c:v>
                </c:pt>
                <c:pt idx="7">
                  <c:v>0.9</c:v>
                </c:pt>
                <c:pt idx="8">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Nghiên cứu giải pháp nâng cao hiệu quả quản lý quyền sở hữu trí tuệ tại Trường Đại học Thành Đô</dc:title>
  <dc:subject/>
  <dc:creator>Nguyễn Thị Tố Uyên, Trần Đăng Bộ</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