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BẢNG GIẢI TRÌNH CHỈNH SỬA BA CHƯƠNG BÁO CÁO ĐỀ TÀI</w:t>
      </w:r>
    </w:p>
    <w:p>
      <w:pPr>
        <w:spacing w:after="80"/>
      </w:pPr>
      <w:r>
        <w:t>Đề tài: Nghiên cứu giải pháp nâng cao hiệu quả quản lý quyền sở hữu trí tuệ tại Trường Đại học Thành Đô.</w:t>
      </w:r>
    </w:p>
    <w:p>
      <w:pPr>
        <w:spacing w:after="80"/>
      </w:pPr>
      <w:r>
        <w:t>Căn cứ: Bản góp ý và yêu cầu chỉnh sửa ba chương đề tài. Bản đối chiếu: Ban_cuoi/Bao_cao_tong_ket_de_tai.docx, bản trước chỉnh sửa; bản sửa: Bao_cao_tong_ket_de_tai.docx trong thư mục này. Ba tệp chương dùng cùng nội dung với bản toàn văn.</w:t>
      </w:r>
    </w:p>
    <w:p>
      <w:pPr>
        <w:spacing w:after="80"/>
      </w:pPr>
      <w:r>
        <w:t>Cách lập: phần lời văn được so khớp tự động từng đoạn giữa hai bản; vị trí ghi theo bản sửa, gồm chương, mục và thứ tự đoạn trong mục; bảng được so theo tên bảng; hình và sơ đồ được ghi riêng ở cuối. Mục lục, danh mục bảng, hình và tài liệu tham khảo được cập nhật tự động nên không liệt kê.</w:t>
      </w:r>
    </w:p>
    <w:p>
      <w:pPr>
        <w:spacing w:after="80"/>
      </w:pPr>
      <w:r>
        <w:t>Tổng số mục giải trình: 161, gồm 142 mục lời văn, 9 mục bảng, 10 mục hình, sơ đồ.</w:t>
      </w:r>
    </w:p>
    <w:tbl>
      <w:tblPr>
        <w:tblStyle w:val="TableGrid"/>
        <w:tblW w:type="auto" w:w="0"/>
        <w:tblLook w:firstColumn="1" w:firstRow="1" w:lastColumn="0" w:lastRow="0" w:noHBand="0" w:noVBand="1" w:val="04A0"/>
      </w:tblPr>
      <w:tblGrid>
        <w:gridCol w:w="2960"/>
        <w:gridCol w:w="2960"/>
        <w:gridCol w:w="2960"/>
        <w:gridCol w:w="2960"/>
        <w:gridCol w:w="2960"/>
      </w:tblGrid>
      <w:tr>
        <w:trPr>
          <w:tblHeader/>
        </w:trPr>
        <w:tc>
          <w:tcPr>
            <w:tcW w:type="dxa" w:w="567"/>
          </w:tcPr>
          <w:p>
            <w:pPr>
              <w:spacing w:after="20"/>
            </w:pPr>
            <w:r/>
            <w:r>
              <w:rPr>
                <w:b/>
                <w:sz w:val="20"/>
              </w:rPr>
              <w:t>TT</w:t>
            </w:r>
          </w:p>
        </w:tc>
        <w:tc>
          <w:tcPr>
            <w:tcW w:type="dxa" w:w="2041"/>
          </w:tcPr>
          <w:p>
            <w:pPr>
              <w:spacing w:after="20"/>
            </w:pPr>
            <w:r/>
            <w:r>
              <w:rPr>
                <w:b/>
                <w:sz w:val="20"/>
              </w:rPr>
              <w:t>Vị trí</w:t>
            </w:r>
          </w:p>
        </w:tc>
        <w:tc>
          <w:tcPr>
            <w:tcW w:type="dxa" w:w="5102"/>
          </w:tcPr>
          <w:p>
            <w:pPr>
              <w:spacing w:after="20"/>
            </w:pPr>
            <w:r/>
            <w:r>
              <w:rPr>
                <w:b/>
                <w:sz w:val="20"/>
              </w:rPr>
              <w:t>Nội dung cũ</w:t>
            </w:r>
          </w:p>
        </w:tc>
        <w:tc>
          <w:tcPr>
            <w:tcW w:type="dxa" w:w="5102"/>
          </w:tcPr>
          <w:p>
            <w:pPr>
              <w:spacing w:after="20"/>
            </w:pPr>
            <w:r/>
            <w:r>
              <w:rPr>
                <w:b/>
                <w:sz w:val="20"/>
              </w:rPr>
              <w:t>Nội dung sửa</w:t>
            </w:r>
          </w:p>
        </w:tc>
        <w:tc>
          <w:tcPr>
            <w:tcW w:type="dxa" w:w="1984"/>
          </w:tcPr>
          <w:p>
            <w:pPr>
              <w:spacing w:after="20"/>
            </w:pPr>
            <w:r/>
            <w:r>
              <w:rPr>
                <w:b/>
                <w:sz w:val="20"/>
              </w:rPr>
              <w:t>Căn cứ</w:t>
            </w:r>
          </w:p>
        </w:tc>
      </w:tr>
      <w:tr>
        <w:tc>
          <w:tcPr>
            <w:tcW w:type="dxa" w:w="567"/>
          </w:tcPr>
          <w:p>
            <w:pPr>
              <w:spacing w:after="20"/>
            </w:pPr>
            <w:r/>
            <w:r>
              <w:rPr>
                <w:b w:val="0"/>
                <w:sz w:val="19"/>
              </w:rPr>
              <w:t>1</w:t>
            </w:r>
          </w:p>
        </w:tc>
        <w:tc>
          <w:tcPr>
            <w:tcW w:type="dxa" w:w="2041"/>
          </w:tcPr>
          <w:p>
            <w:pPr>
              <w:spacing w:after="20"/>
            </w:pPr>
            <w:r/>
            <w:r>
              <w:rPr>
                <w:b w:val="0"/>
                <w:sz w:val="19"/>
              </w:rPr>
              <w:t>Mở đầu; 1. Tính cấp thiết của đề tài, đoạn 1</w:t>
            </w:r>
          </w:p>
        </w:tc>
        <w:tc>
          <w:tcPr>
            <w:tcW w:type="dxa" w:w="5102"/>
          </w:tcPr>
          <w:p>
            <w:pPr>
              <w:spacing w:after="20"/>
            </w:pPr>
            <w:r/>
            <w:r>
              <w:rPr>
                <w:b w:val="0"/>
                <w:sz w:val="19"/>
              </w:rPr>
              <w:t>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giá và phân chia lợi ích;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tc>
        <w:tc>
          <w:tcPr>
            <w:tcW w:type="dxa" w:w="5102"/>
          </w:tcPr>
          <w:p>
            <w:pPr>
              <w:spacing w:after="20"/>
            </w:pPr>
            <w:r/>
            <w:r>
              <w:rPr>
                <w:b w:val="0"/>
                <w:sz w:val="19"/>
              </w:rPr>
              <w:t>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và giá, đồng thời quy định mức thưởng tối thiểu cho tác giả đối với phần kết quả sử dụng ngân sách nhà nước;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w:t>
            </w:r>
          </w:p>
        </w:tc>
        <w:tc>
          <w:tcPr>
            <w:tcW w:type="dxa" w:w="2041"/>
          </w:tcPr>
          <w:p>
            <w:pPr>
              <w:spacing w:after="20"/>
            </w:pPr>
            <w:r/>
            <w:r>
              <w:rPr>
                <w:b w:val="0"/>
                <w:sz w:val="19"/>
              </w:rPr>
              <w:t>Mở đầu; 1. Tính cấp thiết của đề tài, đoạn 2</w:t>
            </w:r>
          </w:p>
        </w:tc>
        <w:tc>
          <w:tcPr>
            <w:tcW w:type="dxa" w:w="5102"/>
          </w:tcPr>
          <w:p>
            <w:pPr>
              <w:spacing w:after="20"/>
            </w:pPr>
            <w:r/>
            <w:r>
              <w:rPr>
                <w:b w:val="0"/>
                <w:sz w:val="19"/>
              </w:rPr>
              <w:t>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đủ điều kiện xác lập quyền, nhất là ở khối ngành Y - Dược. Tuy vậy, kênh chuyển hóa từ kết quả nghiên cứu sang quyền sở hữu trí tuệ mới vận hành ở quy mô nhỏ, và các quy chế ban hành trước năm 2025 cần được cập nhật theo luật mới. Việc nghiên cứu giải pháp nâng cao hiệu quả quản lý quyền sở hữu trí tuệ vì vậy vừa là yêu cầu tuân thủ pháp luật, vừa là cơ hội để Nhà trường đi tiên phong đón đầu khung pháp lý mới.</w:t>
            </w:r>
          </w:p>
        </w:tc>
        <w:tc>
          <w:tcPr>
            <w:tcW w:type="dxa" w:w="5102"/>
          </w:tcPr>
          <w:p>
            <w:pPr>
              <w:spacing w:after="20"/>
            </w:pPr>
            <w:r/>
            <w:r>
              <w:rPr>
                <w:b w:val="0"/>
                <w:sz w:val="19"/>
              </w:rPr>
              <w:t>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có tiềm năng tạo lập tài sản trí tuệ, nhất là ở khối ngành Y - Dược. Tuy vậy, kênh chuyển hóa từ kết quả nghiên cứu sang quyền sở hữu trí tuệ mới vận hành ở quy mô nhỏ, và các quy chế ban hành trước năm 2025 cần được cập nhật theo phạm vi áp dụng của luật mới. Việc nghiên cứu giải pháp nâng cao hiệu quả quản lý quyền sở hữu trí tuệ vì vậy vừa là yêu cầu tuân thủ pháp luật, vừa là cơ hội để Nhà trường đi tiên phong đón đầu khung pháp lý mới.</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3</w:t>
            </w:r>
          </w:p>
        </w:tc>
        <w:tc>
          <w:tcPr>
            <w:tcW w:type="dxa" w:w="2041"/>
          </w:tcPr>
          <w:p>
            <w:pPr>
              <w:spacing w:after="20"/>
            </w:pPr>
            <w:r/>
            <w:r>
              <w:rPr>
                <w:b w:val="0"/>
                <w:sz w:val="19"/>
              </w:rPr>
              <w:t>Mở đầu; 5. Cách tiếp cận và phương pháp nghiên cứu, đoạn 2</w:t>
            </w:r>
          </w:p>
        </w:tc>
        <w:tc>
          <w:tcPr>
            <w:tcW w:type="dxa" w:w="5102"/>
          </w:tcPr>
          <w:p>
            <w:pPr>
              <w:spacing w:after="20"/>
            </w:pPr>
            <w:r/>
            <w:r>
              <w:rPr>
                <w:b w:val="0"/>
                <w:sz w:val="19"/>
              </w:rPr>
              <w:t>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và các văn bản hướng dẫn. Dữ liệu định lượng gồm 582 bản ghi sản phẩm khoa học giai đoạn 2021 - 2025 từ các danh mục thống kê của Phòng Khoa học Công nghệ, hồ sơ 38 đề tài cấp cơ sở, danh mục 12 tài sản trí tuệ và danh sách 252 nhân sự năm 2026; dữ liệu cá nhân chỉ được sử dụng ở dạng tổng hợp.</w:t>
            </w:r>
          </w:p>
        </w:tc>
        <w:tc>
          <w:tcPr>
            <w:tcW w:type="dxa" w:w="5102"/>
          </w:tcPr>
          <w:p>
            <w:pPr>
              <w:spacing w:after="20"/>
            </w:pPr>
            <w:r/>
            <w:r>
              <w:rPr>
                <w:b w:val="0"/>
                <w:sz w:val="19"/>
              </w:rPr>
              <w:t>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và các văn bản hướng dẫn. Dữ liệu định lượng gồm 582 bản ghi sản phẩm khoa học giai đoạn 2021 - 2025 từ các danh mục thống kê của Phòng Khoa học Công nghệ, hồ sơ 38 đề tài cấp cơ sở, danh mục theo dõi đơn và văn bằng của Nhà trường và danh sách 252 nhân sự năm 2026; dữ liệu cá nhân chỉ được sử dụng ở dạng tổng hợp.</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4</w:t>
            </w:r>
          </w:p>
        </w:tc>
        <w:tc>
          <w:tcPr>
            <w:tcW w:type="dxa" w:w="2041"/>
          </w:tcPr>
          <w:p>
            <w:pPr>
              <w:spacing w:after="20"/>
            </w:pPr>
            <w:r/>
            <w:r>
              <w:rPr>
                <w:b w:val="0"/>
                <w:sz w:val="19"/>
              </w:rPr>
              <w:t>Mở đầu; 5. Cách tiếp cận và phương pháp nghiên cứu, đoạn 3</w:t>
            </w:r>
          </w:p>
        </w:tc>
        <w:tc>
          <w:tcPr>
            <w:tcW w:type="dxa" w:w="5102"/>
          </w:tcPr>
          <w:p>
            <w:pPr>
              <w:spacing w:after="20"/>
            </w:pPr>
            <w:r/>
            <w:r>
              <w:rPr>
                <w:b w:val="0"/>
                <w:sz w:val="19"/>
              </w:rPr>
              <w:t>Các danh mục được làm sạch, chuẩn hóa tên đơn vị và so khớp tên chủ nhiệm đề tài với danh sách tác giả trong ba năm kể từ năm nghiệm thu để loại trừ bản ghi trùng. Sản phẩm của từng đề tài được phân loại theo đối tượng quyền có thể xác lập.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tc>
        <w:tc>
          <w:tcPr>
            <w:tcW w:type="dxa" w:w="5102"/>
          </w:tcPr>
          <w:p>
            <w:pPr>
              <w:spacing w:after="20"/>
            </w:pPr>
            <w:r/>
            <w:r>
              <w:rPr>
                <w:b w:val="0"/>
                <w:sz w:val="19"/>
              </w:rPr>
              <w:t>Các danh mục được làm sạch và chuẩn hóa tên đơn vị; năm của mỗi số liệu được xác định rõ theo mã số, năm phê duyệt, năm nghiệm thu, năm nộp đơn hoặc năm cấp văn bằng. Do các danh mục dùng đơn vị thống kê khác nhau và không có trường liên kết, 582 bản ghi được giữ là tổng số bản ghi, không quy đổi thành số sản phẩm độc lập. Tên tác giả bài báo được so khớp với danh sách nhân sự theo quy tắc giữ dấu, kèm phân tích độ nhạy với quy tắc bỏ dấu. Hồ sơ tài sản trí tuệ được phân loại theo bốn nhóm trạng thái pháp lý: đã nộp đơn, đã chấp nhận đơn hợp lệ, đã cấp văn bằng hoặc giấy chứng nhận, chưa xác minh. Sản phẩm của từng đề tài được đánh giá sơ bộ theo đối tượng quyền dự kiến; các quy định về lợi ích của tác giả được đối chiếu theo phạm vi, đối tượng hưởng, cơ sở tính và điều kiện áp dụng.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5</w:t>
            </w:r>
          </w:p>
        </w:tc>
        <w:tc>
          <w:tcPr>
            <w:tcW w:type="dxa" w:w="2041"/>
          </w:tcPr>
          <w:p>
            <w:pPr>
              <w:spacing w:after="20"/>
            </w:pPr>
            <w:r/>
            <w:r>
              <w:rPr>
                <w:b w:val="0"/>
                <w:sz w:val="19"/>
              </w:rPr>
              <w:t>Chương 1; 1.1.2. Đặc điểm của tài sản trí tuệ trong môi trường đại học, đoạn 9</w:t>
            </w:r>
          </w:p>
        </w:tc>
        <w:tc>
          <w:tcPr>
            <w:tcW w:type="dxa" w:w="5102"/>
          </w:tcPr>
          <w:p>
            <w:pPr>
              <w:spacing w:after="20"/>
            </w:pPr>
            <w:r/>
            <w:r>
              <w:rPr>
                <w:b w:val="0"/>
                <w:sz w:val="19"/>
              </w:rPr>
              <w:t>-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tỷ lệ phân chia thù lao và doanh thu chuyển giao, sẽ dẫn đến hiện tượng nhà khoa học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tuyệt đối để nộp đơn đăng ký bảo hộ độc quyền sáng chế.</w:t>
            </w:r>
          </w:p>
        </w:tc>
        <w:tc>
          <w:tcPr>
            <w:tcW w:type="dxa" w:w="5102"/>
          </w:tcPr>
          <w:p>
            <w:pPr>
              <w:spacing w:after="20"/>
            </w:pPr>
            <w:r/>
            <w:r>
              <w:rPr>
                <w:b w:val="0"/>
                <w:sz w:val="19"/>
              </w:rPr>
              <w:t>-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các khoản thưởng, thù lao dành cho tác giả và cách phân chia khoản thu từ chuyển giao, nhà khoa học có thể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để nộp đơn đăng ký bảo hộ sáng chế.</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6</w:t>
            </w:r>
          </w:p>
        </w:tc>
        <w:tc>
          <w:tcPr>
            <w:tcW w:type="dxa" w:w="2041"/>
          </w:tcPr>
          <w:p>
            <w:pPr>
              <w:spacing w:after="20"/>
            </w:pPr>
            <w:r/>
            <w:r>
              <w:rPr>
                <w:b w:val="0"/>
                <w:sz w:val="19"/>
              </w:rPr>
              <w:t>Chương 1; 1.2.2. Đa dạng hóa nguồn tài chính ngoài học phí và thúc đẩy, đoạn 4</w:t>
            </w:r>
          </w:p>
        </w:tc>
        <w:tc>
          <w:tcPr>
            <w:tcW w:type="dxa" w:w="5102"/>
          </w:tcPr>
          <w:p>
            <w:pPr>
              <w:spacing w:after="20"/>
            </w:pPr>
            <w:r/>
            <w:r>
              <w:rPr>
                <w:b w:val="0"/>
                <w:sz w:val="19"/>
              </w:rPr>
              <w:t>- Tạo lập chu trình tái đầu tư khép kín: Nguồn thu từ thương mại hóa sau khi chi trả thù lao cho tác giả theo quy định của pháp luật (theo Điều 135 Luật Sở hữu trí tuệ: 10% lợi nhuận trước thuế khi tự sử dụng hoặc 15% tổng số tiền thanh toán khi chuyển giao quyền sử dụng nếu không có thỏa thuận; hoặc theo tỷ lệ phân chia thỏa thuận cao hơn được cụ thể hóa trong Quy chế nội bộ của Nhà trường) sẽ được trích bổ sung vào Quỹ phát triển khoa học và công nghệ của trường để nâng cấp phòng thí nghiệm và tài trợ cho các đề tài nghiên cứu tiềm năng tiếp theo.</w:t>
            </w:r>
          </w:p>
        </w:tc>
        <w:tc>
          <w:tcPr>
            <w:tcW w:type="dxa" w:w="5102"/>
          </w:tcPr>
          <w:p>
            <w:pPr>
              <w:spacing w:after="20"/>
            </w:pPr>
            <w:r/>
            <w:r>
              <w:rPr>
                <w:b w:val="0"/>
                <w:sz w:val="19"/>
              </w:rPr>
              <w:t>- Tạo lập chu trình tái đầu tư khép kín: Sau khi thực hiện các nghĩa vụ đối với tác giả theo pháp luật và quy chế nội bộ, gồm thù lao theo Điều 135 Luật Sở hữu trí tuệ đối với sáng chế, kiểu dáng công nghiệp, thiết kế bố trí và tiền thưởng theo Điều 28 Luật Khoa học, công nghệ và đổi mới sáng tạo số 93/2025/QH15 khi kết quả thuộc phạm vi điều chỉnh của điều này, phần còn lại của nguồn thu từ thương mại hóa có thể được trích bổ sung vào quỹ phát triển khoa học và công nghệ của trường để nâng cấp phòng thí nghiệm và tài trợ cho các đề tài nghiên cứu tiếp theo.</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7</w:t>
            </w:r>
          </w:p>
        </w:tc>
        <w:tc>
          <w:tcPr>
            <w:tcW w:type="dxa" w:w="2041"/>
          </w:tcPr>
          <w:p>
            <w:pPr>
              <w:spacing w:after="20"/>
            </w:pPr>
            <w:r/>
            <w:r>
              <w:rPr>
                <w:b w:val="0"/>
                <w:sz w:val="19"/>
              </w:rPr>
              <w:t>Chương 1; 1.3.1. Luật Sở hữu trí tuệ và các văn bản hướng dẫn thi hành, đoạn 6</w:t>
            </w:r>
          </w:p>
        </w:tc>
        <w:tc>
          <w:tcPr>
            <w:tcW w:type="dxa" w:w="5102"/>
          </w:tcPr>
          <w:p>
            <w:pPr>
              <w:spacing w:after="20"/>
            </w:pPr>
            <w:r/>
            <w:r>
              <w:rPr>
                <w:b w:val="0"/>
                <w:sz w:val="19"/>
              </w:rPr>
              <w:t>Việc bãi bỏ khoản 2 Điều 135 có ý nghĩa bước ngoặt: pháp luật hiện hành không còn quy định riêng về mức thù lao theo nguồn kinh phí và không đặt trần thù lao, trao quyền tự chủ thỏa thuận tối đa cho cơ sở giáo dục đại học và nhà khoa học.</w:t>
            </w:r>
          </w:p>
        </w:tc>
        <w:tc>
          <w:tcPr>
            <w:tcW w:type="dxa" w:w="5102"/>
          </w:tcPr>
          <w:p>
            <w:pPr>
              <w:spacing w:after="20"/>
            </w:pPr>
            <w:r/>
            <w:r>
              <w:rPr>
                <w:b w:val="0"/>
                <w:sz w:val="19"/>
              </w:rPr>
              <w:t>Việc bãi bỏ khoản 2 Điều 135 có nghĩa là Luật Sở hữu trí tuệ không còn quy định một khung thù lao riêng cho sáng chế, kiểu dáng công nghiệp, thiết kế bố trí là kết quả của nhiệm vụ sử dụng ngân sách nhà nước, và khoản 1 Điều 135 không đặt mức trần thù lao. Điều này không có nghĩa là nguồn kinh phí không còn ảnh hưởng đến lợi ích của tác giả: đối với kết quả sử dụng ngân sách nhà nước, Điều 28 Luật số 93/2025/QH15 đặt ra yêu cầu riêng về thưởng cho tác giả, được phân tích tại Mục 1.3.2.</w:t>
            </w:r>
          </w:p>
          <w:p>
            <w:pPr>
              <w:spacing w:after="20"/>
            </w:pPr>
            <w:r>
              <w:rPr>
                <w:b w:val="0"/>
                <w:sz w:val="19"/>
              </w:rPr>
              <w:t>Để tránh đồng nhất các khoản lợi ích khác nhau, Đề tài sử dụng bốn thuật ngữ theo nghĩa sau. Thù lao của tác giả là khoản chủ sở hữu sáng chế, kiểu dáng công nghiệp, thiết kế bố trí phải trả cho tác giả theo Điều 135 Luật Sở hữu trí tuệ trong suốt thời hạn bảo hộ, theo thỏa thuận hoặc theo mức mặc định tính trên lợi nhuận trước thuế hay trên tổng số tiền nhận được mỗi lần trước thuế. Thưởng cho tác giả là khoản trích từ lợi nhuận thương mại hóa kết quả nghiên cứu theo Điều 28 Luật số 93/2025/QH15, bắt buộc tối thiểu 30% lợi nhuận sau thuế đối với phần kết quả sử dụng ngân sách nhà nước, và do chủ sở hữu tự quyết định đối với phần không sử dụng ngân sách nhà nước. Nhuận bút là khoản chi trả cho tác giả tác phẩm như sách, giáo trình theo pháp luật về quyền tác giả và quy chế chi tiêu của tổ chức. Phân chia lợi nhuận, hay phân chia nguồn thu, là việc chủ sở hữu phân bổ khoản thu cho các bên như tổ chức chủ trì, đơn vị có tác giả, quỹ phát triển khoa học và công nghệ. Bốn khoản này khác nhau về căn cứ pháp lý, đối tượng hưởng và cơ sở tính, nên tỷ lệ của khoản này không thể so sánh trực tiếp với tỷ lệ của khoản khác.</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8</w:t>
            </w:r>
          </w:p>
        </w:tc>
        <w:tc>
          <w:tcPr>
            <w:tcW w:type="dxa" w:w="2041"/>
          </w:tcPr>
          <w:p>
            <w:pPr>
              <w:spacing w:after="20"/>
            </w:pPr>
            <w:r/>
            <w:r>
              <w:rPr>
                <w:b w:val="0"/>
                <w:sz w:val="19"/>
              </w:rPr>
              <w:t>Chương 1; 1.3.2. Luật Khoa học, công nghệ và đổi mới sáng tạo năm 2025, đoạn 3</w:t>
            </w:r>
          </w:p>
        </w:tc>
        <w:tc>
          <w:tcPr>
            <w:tcW w:type="dxa" w:w="5102"/>
          </w:tcPr>
          <w:p>
            <w:pPr>
              <w:spacing w:after="20"/>
            </w:pPr>
            <w:r/>
            <w:r>
              <w:rPr>
                <w:b w:val="0"/>
                <w:sz w:val="19"/>
              </w:rPr>
              <w:t>Thứ hai, về phân chia lợi nhuận: Điều 28 phân biệt hai trường hợp. Với phần lợi nhuận tương ứng kết quả không sử dụng ngân sách nhà nước, chủ sở hữu tự quyết định việc xử lý lợi nhuận, bao gồm thưởng cho tác giả, theo khoản 2. Với phần tương ứng kết quả sử dụng ngân sách nhà nước, điểm a khoản 3 quy định thưởng cho tác giả tối thiểu 30% lợi nhuận thu được từ cho thuê, bán, chuyển nhượng, chuyển giao quyền sử dụng, tự khai thác kết quả, hoặc tối thiểu 30% giá trị kết quả khi góp vốn, liên doanh, liên kết, thành lập doanh nghiệp; khoản 4 bổ sung rằng tác giả sáng chế, kiểu dáng công nghiệp, thiết kế bố trí còn được hưởng quyền lợi theo Luật Sở hữu trí tuệ. Cùng với đó, điểm b khoản 2 Điều 66 cho phép quỹ phát triển khoa học và công nghệ của tổ chức chi cho đăng ký, bảo hộ, quản lý, khai thác quyền sở hữu trí tuệ.</w:t>
            </w:r>
          </w:p>
        </w:tc>
        <w:tc>
          <w:tcPr>
            <w:tcW w:type="dxa" w:w="5102"/>
          </w:tcPr>
          <w:p>
            <w:pPr>
              <w:spacing w:after="20"/>
            </w:pPr>
            <w:r/>
            <w:r>
              <w:rPr>
                <w:b w:val="0"/>
                <w:sz w:val="19"/>
              </w:rPr>
              <w:t>Thứ hai, về phân chia lợi nhuận từ thương mại hóa: Điều 28 phân biệt theo nguồn hình thành kết quả. Theo khoản 2, với phần lợi nhuận tương ứng kết quả không sử dụng ngân sách nhà nước, chủ sở hữu tự quyết định việc xử lý lợi nhuận, bao gồm thưởng cho tác giả. Theo khoản 3, với phần lợi nhuận tương ứng phần kết quả sử dụng ngân sách nhà nước, tổ chức chủ trì sử dụng lợi nhuận sau thuế để: thưởng cho tác giả tối thiểu 30% lợi nhuận thu được từ cho thuê, bán, chuyển nhượng, chuyển giao quyền sử dụng, tự khai thác, sử dụng kết quả, hoặc tối thiểu 30% giá trị kết quả khi góp vốn, hợp tác, liên doanh, liên kết, thành lập doanh nghiệp; thưởng cho cá nhân có đóng góp trực tiếp vào hoạt động tổ chức thương mại hóa; tái đầu tư cho hoạt động khoa học, công nghệ và đổi mới sáng tạo; và mục đích khác. Khoản 4 quy định khi kết quả sử dụng ngân sách nhà nước là sáng chế, thiết kế bố trí, kiểu dáng công nghiệp, giống cây trồng được bảo hộ, tác giả vừa hưởng khoản thưởng nêu trên vừa hưởng các quyền lợi khác theo Luật Sở hữu trí tuệ, trong đó có thù lao theo Điều 135. Khoản 5 xác định phần thưởng là mức dành chung cho các đồng tác giả; khoản 6 giao Chính phủ quy định chi tiết. Cùng với đó, điểm b khoản 2 Điều 66 cho phép quỹ phát triển khoa học và công nghệ của tổ chức chi cho đăng ký, bảo hộ, quản lý, khai thác quyền sở hữu trí tuệ.</w:t>
            </w:r>
          </w:p>
          <w:p>
            <w:pPr>
              <w:spacing w:after="20"/>
            </w:pPr>
            <w:r>
              <w:rPr>
                <w:b w:val="0"/>
                <w:sz w:val="19"/>
              </w:rPr>
              <w:t>Về áp dụng theo thời gian, khoản 3 Điều 73 quy định nhiệm vụ khoa học và công nghệ đã được phê duyệt giao chủ trì trước ngày 01 tháng 10 năm 2025 tiếp tục thực hiện theo Luật Khoa học và công nghệ số 29/2013/QH13, Nghị quyết số 193/2025/QH15 và văn bản hướng dẫn có hiệu lực tại thời điểm phê duyệt. Khoản 7 Điều 73 quy định ngoại lệ: Điều 28 được áp dụng đối với lợi nhuận chưa phân chia từ thương mại hóa sáng chế, kiểu dáng công nghiệp, thiết kế bố trí, giống cây trồng là kết quả của nhiệm vụ được giao từ ngày 01 tháng 01 năm 2023 đến trước ngày 01 tháng 10 năm 2025 và đã được cấp văn bằng bảo hộ. Như vậy, để xác định nghĩa vụ đối với tác giả trong một trường hợp cụ thể cần trả lời đồng thời ba câu hỏi: kết quả có sử dụng ngân sách nhà nước hay không và ở phần nào; nhiệm vụ được giao vào thời điểm nào; đối tượng có phải là sáng chế, kiểu dáng công nghiệp, thiết kế bố trí đã được bảo hộ hay không.</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9</w:t>
            </w:r>
          </w:p>
        </w:tc>
        <w:tc>
          <w:tcPr>
            <w:tcW w:type="dxa" w:w="2041"/>
          </w:tcPr>
          <w:p>
            <w:pPr>
              <w:spacing w:after="20"/>
            </w:pPr>
            <w:r/>
            <w:r>
              <w:rPr>
                <w:b w:val="0"/>
                <w:sz w:val="19"/>
              </w:rPr>
              <w:t>Chương 1; 1.3.2. Luật Khoa học, công nghệ và đổi mới sáng tạo năm 2025, đoạn 6</w:t>
            </w:r>
          </w:p>
        </w:tc>
        <w:tc>
          <w:tcPr>
            <w:tcW w:type="dxa" w:w="5102"/>
          </w:tcPr>
          <w:p>
            <w:pPr>
              <w:spacing w:after="20"/>
            </w:pPr>
            <w:r/>
            <w:r>
              <w:rPr>
                <w:b w:val="0"/>
                <w:sz w:val="19"/>
              </w:rPr>
              <w:t>Luật số 93/2025/QH15 đã tạo ra bước đột phá thể chế mang tính đồng bộ khi vừa quy định mức thưởng tối thiểu 30% cho tác giả kết quả sử dụng ngân sách nhà nước, vừa sửa đổi Luật Sở hữu trí tuệ tại khoản 7 Điều 71: điểm b sửa khoản 1 Điều 135 theo nguyên tắc thỏa thuận với mức mặc định 10% và 15%; điểm h bãi bỏ Điều 86a, Điều 133a và khoản 2 Điều 135. Pháp luật vì vậy không còn quy định riêng về khung thù lao theo nguồn kinh phí như trước.</w:t>
            </w:r>
          </w:p>
        </w:tc>
        <w:tc>
          <w:tcPr>
            <w:tcW w:type="dxa" w:w="5102"/>
          </w:tcPr>
          <w:p>
            <w:pPr>
              <w:spacing w:after="20"/>
            </w:pPr>
            <w:r/>
            <w:r>
              <w:rPr>
                <w:b w:val="0"/>
                <w:sz w:val="19"/>
              </w:rPr>
              <w:t>Luật số 93/2025/QH15 điều chỉnh đồng thời hai cơ chế: cơ chế thưởng cho tác giả khi thương mại hóa kết quả nghiên cứu tại Điều 28, và cơ chế thù lao cho tác giả sáng chế, kiểu dáng công nghiệp, thiết kế bố trí trong Luật Sở hữu trí tuệ thông qua khoản 7 Điều 71: điểm b sửa khoản 1 Điều 135 theo nguyên tắc thỏa thuận với mức mặc định 10% và 15%; điểm h bãi bỏ Điều 86a, Điều 133a và khoản 2 Điều 135. Sau sửa đổi, khung thù lao riêng theo nguồn kinh phí không còn nằm trong Luật Sở hữu trí tuệ, còn yêu cầu riêng đối với kết quả sử dụng ngân sách nhà nước được quy định tại Điều 28 dưới hình thức mức thưởng tối thiểu.</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10</w:t>
            </w:r>
          </w:p>
        </w:tc>
        <w:tc>
          <w:tcPr>
            <w:tcW w:type="dxa" w:w="2041"/>
          </w:tcPr>
          <w:p>
            <w:pPr>
              <w:spacing w:after="20"/>
            </w:pPr>
            <w:r/>
            <w:r>
              <w:rPr>
                <w:b w:val="0"/>
                <w:sz w:val="19"/>
              </w:rPr>
              <w:t>Chương 1; 1.3.2. Luật Khoa học, công nghệ và đổi mới sáng tạo năm 2025, đoạn 7</w:t>
            </w:r>
          </w:p>
        </w:tc>
        <w:tc>
          <w:tcPr>
            <w:tcW w:type="dxa" w:w="5102"/>
          </w:tcPr>
          <w:p>
            <w:pPr>
              <w:spacing w:after="20"/>
            </w:pPr>
            <w:r/>
            <w:r>
              <w:rPr>
                <w:b w:val="0"/>
                <w:sz w:val="19"/>
              </w:rPr>
              <w:t>Sự đổi mới căn bản này mang lại kết luận pháp lý có ý nghĩa quyết định đối với đề tài: Pháp luật hiện hành trao quyền tự chủ thỏa thuận cho cơ sở giáo dục đại học, không đặt mức trần thù lao, đồng thời bảo đảm mức sàn 30% cho tác giả đối với kết quả sử dụng ngân sách nhà nước. Hai mức 10% và 15% quy định tại Điều 135 Luật Sở hữu trí tuệ chỉ là mức mặc định áp dụng khi các bên không có thỏa thuận. Vì vậy, pháp luật không ngăn cản Trường Đại học Thành Đô quy định tỷ lệ phân chia lợi nhuận thương mại hóa cho tác giả ở mức cao hơn mức tối thiểu và mức mặc định trong quy chế nội bộ.</w:t>
            </w:r>
          </w:p>
        </w:tc>
        <w:tc>
          <w:tcPr>
            <w:tcW w:type="dxa" w:w="5102"/>
          </w:tcPr>
          <w:p>
            <w:pPr>
              <w:spacing w:after="20"/>
            </w:pPr>
            <w:r/>
            <w:r>
              <w:rPr>
                <w:b w:val="0"/>
                <w:sz w:val="19"/>
              </w:rPr>
              <w:t>Từ các quy định trên, Đề tài rút ra ba nhận định làm căn cứ cho Chương 2 và Chương 3. Một là, nguồn kinh phí vẫn quyết định cơ chế áp dụng: với phần kết quả không sử dụng ngân sách nhà nước, chủ sở hữu tự quyết định việc phân chia lợi nhuận và mức thưởng theo khoản 2 Điều 28; với phần kết quả sử dụng ngân sách nhà nước thuộc phạm vi áp dụng của Điều 28, phần thưởng cho tác giả không thấp hơn 30% lợi nhuận sau thuế, hoặc 30% giá trị kết quả khi góp vốn. Hai là, thù lao theo Điều 135 là nghĩa vụ riêng của chủ sở hữu đối với tác giả sáng chế, kiểu dáng công nghiệp, thiết kế bố trí, có cơ sở tính khác và không bị thay thế bởi khoản thưởng theo khoản 4 Điều 28; Luật không đặt trần đối với thù lao, và mức 10%, 15% chỉ áp dụng khi các bên không có thỏa thuận. Ba là, quy chế nội bộ có thể quy định mức có lợi hơn cho tác giả, nhưng không thể quy định mức thấp hơn mức tối thiểu của Luật đối với các trường hợp thuộc phạm vi bắt buộc; một trường hợp cụ thể thuộc cơ chế nào phụ thuộc vào nguồn kinh phí, thời điểm giao nhiệm vụ và loại đối tượng như đã nêu.</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11</w:t>
            </w:r>
          </w:p>
        </w:tc>
        <w:tc>
          <w:tcPr>
            <w:tcW w:type="dxa" w:w="2041"/>
          </w:tcPr>
          <w:p>
            <w:pPr>
              <w:spacing w:after="20"/>
            </w:pPr>
            <w:r/>
            <w:r>
              <w:rPr>
                <w:b w:val="0"/>
                <w:sz w:val="19"/>
              </w:rPr>
              <w:t>Chương 1; 1.3.2. Luật Khoa học, công nghệ và đổi mới sáng tạo năm 2025, đoạn 8</w:t>
            </w:r>
          </w:p>
        </w:tc>
        <w:tc>
          <w:tcPr>
            <w:tcW w:type="dxa" w:w="5102"/>
          </w:tcPr>
          <w:p>
            <w:pPr>
              <w:spacing w:after="20"/>
            </w:pPr>
            <w:r/>
            <w:r>
              <w:rPr>
                <w:b w:val="0"/>
                <w:sz w:val="19"/>
              </w:rPr>
              <w:t>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các luật mới có hiệu lực. Một số quy định như khoản nộp ngân sách và mức trần 100 triệu đồng tại điểm a khoản 4 Điều 36 Quyết định 213 vì vậy cần được cập nhật theo Điều 28 Luật số 93/2025/QH15. Đây là căn cứ để Chương 2 đánh giá tính tương thích của quy chế nội bộ và Chương 3 đề xuất hợp nhất quy chế theo hướng đón đầu luật mới.</w:t>
            </w:r>
          </w:p>
        </w:tc>
        <w:tc>
          <w:tcPr>
            <w:tcW w:type="dxa" w:w="5102"/>
          </w:tcPr>
          <w:p>
            <w:pPr>
              <w:spacing w:after="20"/>
            </w:pPr>
            <w:r/>
            <w:r>
              <w:rPr>
                <w:b w:val="0"/>
                <w:sz w:val="19"/>
              </w:rPr>
              <w:t>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Luật số 93/2025/QH15 có hiệu lực. Điểm a khoản 4 Điều 36 Quyết định 213 áp dụng cho sản phẩm đề tài sử dụng ngân sách nhà nước do Trường chủ trì, đã nghiệm thu và được thương mại hóa: nguồn thu sau khi trừ các khoản chi phí cần thiết, hợp lệ được chia 40% nộp ngân sách nhà nước, 30% cho Trường và 30% khen thưởng tập thể tác giả, tối đa 100 triệu đồng một đề tài. Đối chiếu với Điều 28 và Điều 73 Luật số 93/2025/QH15, quy định này không mâu thuẫn với Luật trong mọi trường hợp, nhưng cần được rà soát ở ba điểm. Thứ nhất, mức trần có thể làm phần thưởng thấp hơn mức tối thiểu 30% khi kết quả thuộc phạm vi áp dụng Điều 28 và 30% lợi nhuận sau thuế vượt 100 triệu đồng. Thứ hai, cơ sở tính của Quy chế là nguồn thu sau chi phí, còn cơ sở tính của Luật là lợi nhuận sau thuế. Thứ ba, khoản nộp ngân sách nhà nước không thuộc các mục đích sử dụng lợi nhuận liệt kê tại khoản 3 Điều 28. Với nhiệm vụ được phê duyệt trước ngày 01 tháng 10 năm 2025 và không thuộc khoản 7 Điều 73, việc phân chia tiếp tục theo pháp luật và văn bản có hiệu lực tại thời điểm phê duyệt. Đây là căn cứ để Chương 2 xác định phạm vi áp dụng của từng quy định nội bộ và Chương 3 đề xuất hoàn thiện quy chế.</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12</w:t>
            </w:r>
          </w:p>
        </w:tc>
        <w:tc>
          <w:tcPr>
            <w:tcW w:type="dxa" w:w="2041"/>
          </w:tcPr>
          <w:p>
            <w:pPr>
              <w:spacing w:after="20"/>
            </w:pPr>
            <w:r/>
            <w:r>
              <w:rPr>
                <w:b w:val="0"/>
                <w:sz w:val="19"/>
              </w:rPr>
              <w:t>Chương 1; 1.3.4. Yêu cầu đặt ra đối với việc xây dựng và hoàn thiện qu, đoạn 4</w:t>
            </w:r>
          </w:p>
        </w:tc>
        <w:tc>
          <w:tcPr>
            <w:tcW w:type="dxa" w:w="5102"/>
          </w:tcPr>
          <w:p>
            <w:pPr>
              <w:spacing w:after="20"/>
            </w:pPr>
            <w:r/>
            <w:r>
              <w:rPr>
                <w:b w:val="0"/>
                <w:sz w:val="19"/>
              </w:rPr>
              <w:t>3. Xác định công thức phân chia cụ thể tỷ lệ doanh thu thương mại hóa cho tác giả, nhóm nghiên cứu, đơn vị quản lý trực tiếp và quỹ phát triển khoa học công nghệ của nhà trường phù hợp với luật mới.</w:t>
            </w:r>
          </w:p>
        </w:tc>
        <w:tc>
          <w:tcPr>
            <w:tcW w:type="dxa" w:w="5102"/>
          </w:tcPr>
          <w:p>
            <w:pPr>
              <w:spacing w:after="20"/>
            </w:pPr>
            <w:r/>
            <w:r>
              <w:rPr>
                <w:b w:val="0"/>
                <w:sz w:val="19"/>
              </w:rPr>
              <w:t>3. Xác định cơ chế phân chia lợi ích theo từng nguồn hình thành tài sản và từng loại đối tượng, phân biệt thưởng, thù lao, nhuận bút với phần chia cho nhóm nghiên cứu, đơn vị quản lý trực tiếp và quỹ phát triển khoa học công nghệ của nhà trường, phù hợp với luật mới.</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13</w:t>
            </w:r>
          </w:p>
        </w:tc>
        <w:tc>
          <w:tcPr>
            <w:tcW w:type="dxa" w:w="2041"/>
          </w:tcPr>
          <w:p>
            <w:pPr>
              <w:spacing w:after="20"/>
            </w:pPr>
            <w:r/>
            <w:r>
              <w:rPr>
                <w:b w:val="0"/>
                <w:sz w:val="19"/>
              </w:rPr>
              <w:t>Chương 1; 1.4.1. Bốn chức năng quản lý và chu trình quản lý quyền sở h, đoạn 5</w:t>
            </w:r>
          </w:p>
        </w:tc>
        <w:tc>
          <w:tcPr>
            <w:tcW w:type="dxa" w:w="5102"/>
          </w:tcPr>
          <w:p>
            <w:pPr>
              <w:spacing w:after="20"/>
            </w:pPr>
            <w:r/>
            <w:r>
              <w:rPr>
                <w:b w:val="0"/>
                <w:sz w:val="19"/>
              </w:rPr>
              <w:t>3. Thực hiện: Tổ chức vận hành các quy trình nghiệp vụ tiếp nhận đề xuất, thẩm định tính mới, hỗ trợ nộp đơn đăng ký, tổ chức đàm phán hợp đồng chuyển giao công nghệ và phân chia thù lao tác quyền.</w:t>
            </w:r>
          </w:p>
        </w:tc>
        <w:tc>
          <w:tcPr>
            <w:tcW w:type="dxa" w:w="5102"/>
          </w:tcPr>
          <w:p>
            <w:pPr>
              <w:spacing w:after="20"/>
            </w:pPr>
            <w:r/>
            <w:r>
              <w:rPr>
                <w:b w:val="0"/>
                <w:sz w:val="19"/>
              </w:rPr>
              <w:t>3. Thực hiện: Tổ chức vận hành các quy trình nghiệp vụ tiếp nhận đề xuất, thẩm định tính mới, hỗ trợ nộp đơn đăng ký, tổ chức đàm phán hợp đồng chuyển giao công nghệ và chi trả thưởng, thù lao, nhuận bút cho tác giả.</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14</w:t>
            </w:r>
          </w:p>
        </w:tc>
        <w:tc>
          <w:tcPr>
            <w:tcW w:type="dxa" w:w="2041"/>
          </w:tcPr>
          <w:p>
            <w:pPr>
              <w:spacing w:after="20"/>
            </w:pPr>
            <w:r/>
            <w:r>
              <w:rPr>
                <w:b w:val="0"/>
                <w:sz w:val="19"/>
              </w:rPr>
              <w:t>Chương 1; 1.4.3. Các yếu tố ảnh hưởng đến hiệu quả quản lý quyền sở hữ, đoạn 4</w:t>
            </w:r>
          </w:p>
        </w:tc>
        <w:tc>
          <w:tcPr>
            <w:tcW w:type="dxa" w:w="5102"/>
          </w:tcPr>
          <w:p>
            <w:pPr>
              <w:spacing w:after="20"/>
            </w:pPr>
            <w:r/>
            <w:r>
              <w:rPr>
                <w:b w:val="0"/>
                <w:sz w:val="19"/>
              </w:rPr>
              <w:t>3. Yếu tố nguồn lực tài chính: Nguồn kinh phí bảo đảm cho việc nộp đơn, duy trì hiệu lực văn bằng và kinh phí thử nghiệm hoàn thiện công nghệ. Thiếu dòng tiền hỗ trợ ban đầu là nguyên nhân hàng đầu khiến các kết quả nghiên cứu bị dừng lại ở dạng bài báo thay vì đăng ký sáng chế.</w:t>
            </w:r>
          </w:p>
        </w:tc>
        <w:tc>
          <w:tcPr>
            <w:tcW w:type="dxa" w:w="5102"/>
          </w:tcPr>
          <w:p>
            <w:pPr>
              <w:spacing w:after="20"/>
            </w:pPr>
            <w:r/>
            <w:r>
              <w:rPr>
                <w:b w:val="0"/>
                <w:sz w:val="19"/>
              </w:rPr>
              <w:t>3. Yếu tố nguồn lực tài chính: Nguồn kinh phí bảo đảm cho việc nộp đơn, duy trì hiệu lực văn bằng và kinh phí thử nghiệm hoàn thiện công nghệ. Khi các khoản này chưa được dự toán và bố trí sẵn, kết quả nghiên cứu dễ dừng lại ở dạng bài báo thay vì được đăng ký bảo hộ.</w:t>
            </w:r>
          </w:p>
        </w:tc>
        <w:tc>
          <w:tcPr>
            <w:tcW w:type="dxa" w:w="1984"/>
          </w:tcPr>
          <w:p>
            <w:pPr>
              <w:spacing w:after="20"/>
            </w:pPr>
            <w:r/>
            <w:r>
              <w:rPr>
                <w:b w:val="0"/>
                <w:sz w:val="19"/>
              </w:rPr>
              <w:t>Góp ý mục 7: giảm mức khẳng định nhân quả</w:t>
            </w:r>
          </w:p>
        </w:tc>
      </w:tr>
      <w:tr>
        <w:tc>
          <w:tcPr>
            <w:tcW w:type="dxa" w:w="567"/>
          </w:tcPr>
          <w:p>
            <w:pPr>
              <w:spacing w:after="20"/>
            </w:pPr>
            <w:r/>
            <w:r>
              <w:rPr>
                <w:b w:val="0"/>
                <w:sz w:val="19"/>
              </w:rPr>
              <w:t>15</w:t>
            </w:r>
          </w:p>
        </w:tc>
        <w:tc>
          <w:tcPr>
            <w:tcW w:type="dxa" w:w="2041"/>
          </w:tcPr>
          <w:p>
            <w:pPr>
              <w:spacing w:after="20"/>
            </w:pPr>
            <w:r/>
            <w:r>
              <w:rPr>
                <w:b w:val="0"/>
                <w:sz w:val="19"/>
              </w:rPr>
              <w:t>Chương 1; 1.5.2. Cách tiếp cận Không gian sáng tạo mở thử nghiệm hỗ tr, đoạn 1</w:t>
            </w:r>
          </w:p>
        </w:tc>
        <w:tc>
          <w:tcPr>
            <w:tcW w:type="dxa" w:w="5102"/>
          </w:tcPr>
          <w:p>
            <w:pPr>
              <w:spacing w:after="20"/>
            </w:pPr>
            <w:r/>
            <w:r>
              <w:rPr>
                <w:b w:val="0"/>
                <w:sz w:val="19"/>
              </w:rPr>
              <w:t>Trong khuôn khổ đề tài này, mô hình Không gian sáng tạo mở thử nghiệm, được Thuyết minh và Đề cương nghiên cứu đã phê duyệt gọi là mô hình Living Lab, được tiếp cận như một mô-đun chức năng bổ trợ trong mô hình quản trị, hỗ trợ kết nối thực tiễn giữa khâu tạo lập và thương mại hóa kết quả nghiên cứu.</w:t>
            </w:r>
          </w:p>
        </w:tc>
        <w:tc>
          <w:tcPr>
            <w:tcW w:type="dxa" w:w="5102"/>
          </w:tcPr>
          <w:p>
            <w:pPr>
              <w:spacing w:after="20"/>
            </w:pPr>
            <w:r/>
            <w:r>
              <w:rPr>
                <w:b w:val="0"/>
                <w:sz w:val="19"/>
              </w:rPr>
              <w:t>Trong khuôn khổ đề tài này, mô hình Không gian sáng tạo mở thử nghiệm, được thuyết minh đề tài gọi là mô hình Living Lab, được tiếp cận như một mô-đun chức năng bổ trợ trong mô hình quản trị, hỗ trợ kết nối thực tiễn giữa khâu tạo lập và thương mại hóa kết quả nghiên cứu.</w:t>
            </w:r>
          </w:p>
        </w:tc>
        <w:tc>
          <w:tcPr>
            <w:tcW w:type="dxa" w:w="1984"/>
          </w:tcPr>
          <w:p>
            <w:pPr>
              <w:spacing w:after="20"/>
            </w:pPr>
            <w:r/>
            <w:r>
              <w:rPr>
                <w:b w:val="0"/>
                <w:sz w:val="19"/>
              </w:rPr>
              <w:t>Góp ý mục 8: không coi tệp có tên FINAL là thuyết minh đã được phê duyệt</w:t>
            </w:r>
          </w:p>
        </w:tc>
      </w:tr>
      <w:tr>
        <w:tc>
          <w:tcPr>
            <w:tcW w:type="dxa" w:w="567"/>
          </w:tcPr>
          <w:p>
            <w:pPr>
              <w:spacing w:after="20"/>
            </w:pPr>
            <w:r/>
            <w:r>
              <w:rPr>
                <w:b w:val="0"/>
                <w:sz w:val="19"/>
              </w:rPr>
              <w:t>16</w:t>
            </w:r>
          </w:p>
        </w:tc>
        <w:tc>
          <w:tcPr>
            <w:tcW w:type="dxa" w:w="2041"/>
          </w:tcPr>
          <w:p>
            <w:pPr>
              <w:spacing w:after="20"/>
            </w:pPr>
            <w:r/>
            <w:r>
              <w:rPr>
                <w:b w:val="0"/>
                <w:sz w:val="19"/>
              </w:rPr>
              <w:t>Chương 1; TIỂU KẾT CHƯƠNG 1, đoạn 4</w:t>
            </w:r>
          </w:p>
        </w:tc>
        <w:tc>
          <w:tcPr>
            <w:tcW w:type="dxa" w:w="5102"/>
          </w:tcPr>
          <w:p>
            <w:pPr>
              <w:spacing w:after="20"/>
            </w:pPr>
            <w:r/>
            <w:r>
              <w:rPr>
                <w:b w:val="0"/>
                <w:sz w:val="19"/>
              </w:rPr>
              <w:t>Thứ ba, cập nhật hệ thống pháp luật quốc gia hiện hành, làm rõ cơ chế tự động giao quyền sở hữu kết quả nghiên cứu tại Điều 25 và mức thưởng tối thiểu 30% cho tác giả kết quả sử dụng ngân sách nhà nước tại Điều 28 Luật số 93/2025/QH15, quyền đăng ký theo điểm c khoản 1 Điều 86 Luật Sở hữu trí tuệ do Luật số 131/2025/QH15 bổ sung; phân tích việc Luật số 93/2025/QH15 bãi bỏ Điều 86a, Điều 133a và khoản 2 Điều 135 Luật Sở hữu trí tuệ, theo đó pháp luật không còn đặt trần thù lao, trao toàn quyền tự chủ thỏa thuận cho cơ sở giáo dục đại học, qua đó khẳng định rào cản thù lao hiện nay hoàn toàn nằm ở quy chế nội bộ của Nhà trường và cung cấp căn cứ pháp lý vững chắc để đề xuất sửa đổi ở Chương 3.</w:t>
            </w:r>
          </w:p>
        </w:tc>
        <w:tc>
          <w:tcPr>
            <w:tcW w:type="dxa" w:w="5102"/>
          </w:tcPr>
          <w:p>
            <w:pPr>
              <w:spacing w:after="20"/>
            </w:pPr>
            <w:r/>
            <w:r>
              <w:rPr>
                <w:b w:val="0"/>
                <w:sz w:val="19"/>
              </w:rPr>
              <w:t>Thứ ba, cập nhật hệ thống pháp luật quốc gia hiện hành, làm rõ cơ chế tự động giao quyền sở hữu kết quả nghiên cứu tại Điều 25 Luật số 93/2025/QH15, quyền đăng ký theo điểm c khoản 1 Điều 86 Luật Sở hữu trí tuệ do Luật số 131/2025/QH15 bổ sung; phân biệt thưởng cho tác giả theo Điều 28 Luật số 93/2025/QH15, với mức tối thiểu 30% lợi nhuận sau thuế đối với phần kết quả sử dụng ngân sách nhà nước, và thù lao theo Điều 135 Luật Sở hữu trí tuệ, vốn theo thỏa thuận, không có trần và chỉ áp dụng mức mặc định khi không có thỏa thuận; làm rõ quy định chuyển tiếp tại khoản 3 và khoản 7 Điều 73. Trên cơ sở đó, Chương 1 xác định rằng việc rà soát quy chế nội bộ phải căn cứ vào nguồn kinh phí, thời điểm giao nhiệm vụ và loại đối tượng của từng trường hợp, không thể áp một tỷ lệ chung cho mọi tài sản.</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17</w:t>
            </w:r>
          </w:p>
        </w:tc>
        <w:tc>
          <w:tcPr>
            <w:tcW w:type="dxa" w:w="2041"/>
          </w:tcPr>
          <w:p>
            <w:pPr>
              <w:spacing w:after="20"/>
            </w:pPr>
            <w:r/>
            <w:r>
              <w:rPr>
                <w:b w:val="0"/>
                <w:sz w:val="19"/>
              </w:rPr>
              <w:t>Chương 2; CHƯƠNG 2, đoạn 1</w:t>
            </w:r>
          </w:p>
        </w:tc>
        <w:tc>
          <w:tcPr>
            <w:tcW w:type="dxa" w:w="5102"/>
          </w:tcPr>
          <w:p>
            <w:pPr>
              <w:spacing w:after="20"/>
            </w:pPr>
            <w:r/>
            <w:r>
              <w:rPr>
                <w:b w:val="0"/>
                <w:sz w:val="19"/>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w:t>
            </w:r>
          </w:p>
        </w:tc>
        <w:tc>
          <w:tcPr>
            <w:tcW w:type="dxa" w:w="5102"/>
          </w:tcPr>
          <w:p>
            <w:pPr>
              <w:spacing w:after="20"/>
            </w:pPr>
            <w:r/>
            <w:r>
              <w:rPr>
                <w:b w:val="0"/>
                <w:sz w:val="19"/>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 Văn bản ban hành sau năm 2025 chỉ được dùng để mô tả bối cảnh và yêu cầu hiện hành, không dùng để giải thích kết quả giai đoạn 2021 - 2025. Năm của mỗi số liệu được ghi rõ tại từng bảng, hình: năm theo mã số hoặc năm phê duyệt đối với đề tài, năm nghiệm thu, năm nộp đơn hoặc năm cấp văn bằng đối với tài sản trí tuệ.</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18</w:t>
            </w:r>
          </w:p>
        </w:tc>
        <w:tc>
          <w:tcPr>
            <w:tcW w:type="dxa" w:w="2041"/>
          </w:tcPr>
          <w:p>
            <w:pPr>
              <w:spacing w:after="20"/>
            </w:pPr>
            <w:r/>
            <w:r>
              <w:rPr>
                <w:b w:val="0"/>
                <w:sz w:val="19"/>
              </w:rPr>
              <w:t>Chương 2; 2.1.2. Sản phẩm khoa học giai đoạn 2021 - 2025, đoạn 3</w:t>
            </w:r>
          </w:p>
        </w:tc>
        <w:tc>
          <w:tcPr>
            <w:tcW w:type="dxa" w:w="5102"/>
          </w:tcPr>
          <w:p>
            <w:pPr>
              <w:spacing w:after="20"/>
            </w:pPr>
            <w:r/>
            <w:r>
              <w:rPr>
                <w:b w:val="0"/>
                <w:sz w:val="19"/>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Số liệu bài báo, giáo trình và đề tài cấp cơ sở giai đoạn 2021 - 2023 khớp với số liệu tổng kết tại Kế hoạch số 07/KH-ĐHTĐ ngày 01 tháng 7 năm 2024.</w:t>
            </w:r>
          </w:p>
        </w:tc>
        <w:tc>
          <w:tcPr>
            <w:tcW w:type="dxa" w:w="5102"/>
          </w:tcPr>
          <w:p>
            <w:pPr>
              <w:spacing w:after="20"/>
            </w:pPr>
            <w:r/>
            <w:r>
              <w:rPr>
                <w:b w:val="0"/>
                <w:sz w:val="19"/>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Các dòng có đơn vị thống kê khác nhau nên tổng cộng là tổng số bản ghi, không phải số sản phẩm độc lập.</w:t>
            </w:r>
          </w:p>
        </w:tc>
        <w:tc>
          <w:tcPr>
            <w:tcW w:type="dxa" w:w="1984"/>
          </w:tcPr>
          <w:p>
            <w:pPr>
              <w:spacing w:after="20"/>
            </w:pPr>
            <w:r/>
            <w:r>
              <w:rPr>
                <w:b w:val="0"/>
                <w:sz w:val="19"/>
              </w:rPr>
              <w:t>Góp ý mục 7: scripts/ra_soat/so_khop_tac_gia.py; các danh mục thống kê của Phòng Khoa học Công nghệ</w:t>
            </w:r>
          </w:p>
        </w:tc>
      </w:tr>
      <w:tr>
        <w:tc>
          <w:tcPr>
            <w:tcW w:type="dxa" w:w="567"/>
          </w:tcPr>
          <w:p>
            <w:pPr>
              <w:spacing w:after="20"/>
            </w:pPr>
            <w:r/>
            <w:r>
              <w:rPr>
                <w:b w:val="0"/>
                <w:sz w:val="19"/>
              </w:rPr>
              <w:t>19</w:t>
            </w:r>
          </w:p>
        </w:tc>
        <w:tc>
          <w:tcPr>
            <w:tcW w:type="dxa" w:w="2041"/>
          </w:tcPr>
          <w:p>
            <w:pPr>
              <w:spacing w:after="20"/>
            </w:pPr>
            <w:r/>
            <w:r>
              <w:rPr>
                <w:b w:val="0"/>
                <w:sz w:val="19"/>
              </w:rPr>
              <w:t>Chương 2; 2.1.2. Sản phẩm khoa học giai đoạn 2021 - 2025, đoạn 4</w:t>
            </w:r>
          </w:p>
        </w:tc>
        <w:tc>
          <w:tcPr>
            <w:tcW w:type="dxa" w:w="5102"/>
          </w:tcPr>
          <w:p>
            <w:pPr>
              <w:spacing w:after="20"/>
            </w:pPr>
            <w:r/>
            <w:r>
              <w:rPr>
                <w:b w:val="0"/>
                <w:sz w:val="19"/>
              </w:rPr>
              <w:t>Con số 582 là số bản ghi, chưa phải số sản phẩm độc lập. So khớp tên chủ nhiệm đề tài với danh sách tác giả trong ba năm kể từ năm nghiệm thu cho thấy 107 trên 405 bài báo, tức 26,4%, gắn với ít nhất một đề tài và đã được tính hai lần; quy mô thực tế vào khoảng 475 sản phẩm độc lập.</w:t>
            </w:r>
          </w:p>
        </w:tc>
        <w:tc>
          <w:tcPr>
            <w:tcW w:type="dxa" w:w="5102"/>
          </w:tcPr>
          <w:p>
            <w:pPr>
              <w:spacing w:after="20"/>
            </w:pPr>
            <w:r/>
            <w:r>
              <w:rPr>
                <w:b w:val="0"/>
                <w:sz w:val="19"/>
              </w:rPr>
              <w:t>Con số 582 là tổng số bản ghi của các danh mục, không phải số sản phẩm độc lập, vì các danh mục dùng đơn vị thống kê khác nhau: bài báo, sách, giáo trình là ấn phẩm, còn đề tài là nhiệm vụ, và kết quả của một đề tài có thể đồng thời xuất hiện dưới dạng bài báo hoặc tham luận. Hồ sơ nghiệm thu cho thấy 26 trên 38 đề tài khai tổng cộng 32 công bố, nhưng danh mục bài báo không ghi mã đề tài nên chưa xác lập được bản ghi nào trùng với bản ghi nào. Đề tài vì vậy giữ con số 582 như tổng số bản ghi và không quy đổi thành số sản phẩm độc lập.</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20</w:t>
            </w:r>
          </w:p>
        </w:tc>
        <w:tc>
          <w:tcPr>
            <w:tcW w:type="dxa" w:w="2041"/>
          </w:tcPr>
          <w:p>
            <w:pPr>
              <w:spacing w:after="20"/>
            </w:pPr>
            <w:r/>
            <w:r>
              <w:rPr>
                <w:b w:val="0"/>
                <w:sz w:val="19"/>
              </w:rPr>
              <w:t>Chương 2; 2.1.2. Sản phẩm khoa học giai đoạn 2021 - 2025, đoạn 7</w:t>
            </w:r>
          </w:p>
        </w:tc>
        <w:tc>
          <w:tcPr>
            <w:tcW w:type="dxa" w:w="5102"/>
          </w:tcPr>
          <w:p>
            <w:pPr>
              <w:spacing w:after="20"/>
            </w:pPr>
            <w:r/>
            <w:r>
              <w:rPr>
                <w:b w:val="0"/>
                <w:sz w:val="19"/>
              </w:rPr>
              <w:t>Hình 2.1 cho thấy sản lượng tăng từ 56 sản phẩm năm 2021 lên 192 sản phẩm năm 2025, bình quân 36,1% một năm, và mức tăng này gần như hoàn toàn đến từ bài báo. Bài báo tăng từ 23 lên 161 bài, gấp 7,0 lần, nâng tỷ trọng từ 41,1% lên 83,9% sản lượng; giáo trình giảm từ 26 xuống 11 tài liệu, tỷ trọng từ 46,4% còn 5,7%. Chất lượng công bố quốc tế cũng tăng: 71 trên 115 bài quốc tế đăng trên tạp chí có phân hạng Q, trong đó 68 bài thuộc hai năm 2024 - 2025.</w:t>
            </w:r>
          </w:p>
        </w:tc>
        <w:tc>
          <w:tcPr>
            <w:tcW w:type="dxa" w:w="5102"/>
          </w:tcPr>
          <w:p>
            <w:pPr>
              <w:spacing w:after="20"/>
            </w:pPr>
            <w:r/>
            <w:r>
              <w:rPr>
                <w:b w:val="0"/>
                <w:sz w:val="19"/>
              </w:rPr>
              <w:t>Hình 2.1 cho thấy số bản ghi tăng từ 56 năm 2021 lên 192 năm 2025, bình quân 36,1% một năm, và mức tăng này chủ yếu đến từ bài báo. Bài báo tăng từ 23 lên 161 bài, gấp 7,0 lần, nâng tỷ trọng từ 41,1% lên 83,9% số bản ghi; giáo trình giảm từ 26 xuống 11 tài liệu, tỷ trọng từ 46,4% còn 5,7%. Chất lượng công bố quốc tế cũng tăng: 71 trên 115 bài quốc tế đăng trên tạp chí có phân hạng Q, trong đó 68 bài thuộc hai năm 2024 - 2025.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21</w:t>
            </w:r>
          </w:p>
        </w:tc>
        <w:tc>
          <w:tcPr>
            <w:tcW w:type="dxa" w:w="2041"/>
          </w:tcPr>
          <w:p>
            <w:pPr>
              <w:spacing w:after="20"/>
            </w:pPr>
            <w:r/>
            <w:r>
              <w:rPr>
                <w:b w:val="0"/>
                <w:sz w:val="19"/>
              </w:rPr>
              <w:t>Chương 2; 2.1.2. Sản phẩm khoa học giai đoạn 2021 - 2025, đoạn 8</w:t>
            </w:r>
          </w:p>
        </w:tc>
        <w:tc>
          <w:tcPr>
            <w:tcW w:type="dxa" w:w="5102"/>
          </w:tcPr>
          <w:p>
            <w:pPr>
              <w:spacing w:after="20"/>
            </w:pPr>
            <w:r/>
            <w:r>
              <w:rPr>
                <w:b w:val="0"/>
                <w:sz w:val="19"/>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cùng một đội ngũ trong cùng giai đoạn đã tạo được bước nhảy về công bố nhưng không tạo được bước nhảy tương ứng về đơn đăng ký sở hữu công nghiệp; khoảng trống vì vậy không nằm chủ yếu ở năng lực nghiên cứu mà ở cách thiết kế động lực và quy trình, được phân tích tại Mục 2.2.3 và Mục 2.3.3.</w:t>
            </w:r>
          </w:p>
        </w:tc>
        <w:tc>
          <w:tcPr>
            <w:tcW w:type="dxa" w:w="5102"/>
          </w:tcPr>
          <w:p>
            <w:pPr>
              <w:spacing w:after="20"/>
            </w:pPr>
            <w:r/>
            <w:r>
              <w:rPr>
                <w:b w:val="0"/>
                <w:sz w:val="19"/>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trong cùng giai đoạn, số công bố tăng mạnh nhưng số đơn đăng ký sở hữu công nghiệp không tăng tương ứng. Dữ liệu này chưa đủ để xác định nguyên nhân, song cho thấy cần xem xét các yếu tố về quy trình và cơ chế bên cạnh năng lực nghiên cứu, như phân tích tại Mục 2.2.3 và Mục 2.3.3.</w:t>
            </w:r>
          </w:p>
        </w:tc>
        <w:tc>
          <w:tcPr>
            <w:tcW w:type="dxa" w:w="1984"/>
          </w:tcPr>
          <w:p>
            <w:pPr>
              <w:spacing w:after="20"/>
            </w:pPr>
            <w:r/>
            <w:r>
              <w:rPr>
                <w:b w:val="0"/>
                <w:sz w:val="19"/>
              </w:rPr>
              <w:t>Góp ý mục 7: giảm mức khẳng định nhân quả</w:t>
            </w:r>
          </w:p>
        </w:tc>
      </w:tr>
      <w:tr>
        <w:tc>
          <w:tcPr>
            <w:tcW w:type="dxa" w:w="567"/>
          </w:tcPr>
          <w:p>
            <w:pPr>
              <w:spacing w:after="20"/>
            </w:pPr>
            <w:r/>
            <w:r>
              <w:rPr>
                <w:b w:val="0"/>
                <w:sz w:val="19"/>
              </w:rPr>
              <w:t>22</w:t>
            </w:r>
          </w:p>
        </w:tc>
        <w:tc>
          <w:tcPr>
            <w:tcW w:type="dxa" w:w="2041"/>
          </w:tcPr>
          <w:p>
            <w:pPr>
              <w:spacing w:after="20"/>
            </w:pPr>
            <w:r/>
            <w:r>
              <w:rPr>
                <w:b w:val="0"/>
                <w:sz w:val="19"/>
              </w:rPr>
              <w:t>Chương 2; 2.1.2. Sản phẩm khoa học giai đoạn 2021 - 2025, đoạn 9</w:t>
            </w:r>
          </w:p>
        </w:tc>
        <w:tc>
          <w:tcPr>
            <w:tcW w:type="dxa" w:w="5102"/>
          </w:tcPr>
          <w:p>
            <w:pPr>
              <w:spacing w:after="20"/>
            </w:pPr>
            <w:r/>
            <w:r>
              <w:rPr>
                <w:b w:val="0"/>
                <w:sz w:val="19"/>
              </w:rPr>
              <w:t>Trong hai năm cuối kỳ, Nhà trường chủ trì ba đề tài cấp quốc gia do Quỹ Phát triển khoa học và công nghệ quốc gia tài trợ, tổng kinh phí 4,67 tỷ đồng,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Đây là nguồn tài sản trí tuệ tiềm năng lớn nhất của giai đoạn tới, với điều kiện quy trình rà soát được chuẩn bị trước thời điểm nghiệm thu.</w:t>
            </w:r>
          </w:p>
        </w:tc>
        <w:tc>
          <w:tcPr>
            <w:tcW w:type="dxa" w:w="5102"/>
          </w:tcPr>
          <w:p>
            <w:pPr>
              <w:spacing w:after="20"/>
            </w:pPr>
            <w:r/>
            <w:r>
              <w:rPr>
                <w:b w:val="0"/>
                <w:sz w:val="19"/>
              </w:rPr>
              <w:t>Trong hai năm cuối kỳ, Nhà trường chủ trì ba đề tài cấp quốc gia do Quỹ Phát triển khoa học và công nghệ quốc gia tài trợ, tổng kinh phí 4,67 tỷ đồng, được phê duyệt ngày 26 tháng 3 năm 2024, ngày 30 tháng 9 năm 2025 và ngày 15 tháng 12 năm 2025,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Về lợi ích của tác giả khi thương mại hóa, ba đề tài không chịu cùng một chế độ, như phân tích tại Mục 2.2.1. Đây là nguồn tài sản trí tuệ tiềm năng của giai đoạn tới, với điều kiện việc sàng lọc khả năng bảo hộ được thực hiện trước khi công bố kết quả.</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w:t>
            </w:r>
          </w:p>
        </w:tc>
      </w:tr>
      <w:tr>
        <w:tc>
          <w:tcPr>
            <w:tcW w:type="dxa" w:w="567"/>
          </w:tcPr>
          <w:p>
            <w:pPr>
              <w:spacing w:after="20"/>
            </w:pPr>
            <w:r/>
            <w:r>
              <w:rPr>
                <w:b w:val="0"/>
                <w:sz w:val="19"/>
              </w:rPr>
              <w:t>23</w:t>
            </w:r>
          </w:p>
        </w:tc>
        <w:tc>
          <w:tcPr>
            <w:tcW w:type="dxa" w:w="2041"/>
          </w:tcPr>
          <w:p>
            <w:pPr>
              <w:spacing w:after="20"/>
            </w:pPr>
            <w:r/>
            <w:r>
              <w:rPr>
                <w:b w:val="0"/>
                <w:sz w:val="19"/>
              </w:rPr>
              <w:t>Chương 2; 2.1.2. Sản phẩm khoa học giai đoạn 2021 - 2025, đoạn 10</w:t>
            </w:r>
          </w:p>
        </w:tc>
        <w:tc>
          <w:tcPr>
            <w:tcW w:type="dxa" w:w="5102"/>
          </w:tcPr>
          <w:p>
            <w:pPr>
              <w:spacing w:after="20"/>
            </w:pPr>
            <w:r/>
            <w:r>
              <w:rPr>
                <w:b w:val="0"/>
                <w:sz w:val="19"/>
              </w:rPr>
              <w:t>Tính trên toàn bộ nhân sự, gồm cả khối hành chính, 88 trên 247 người có họ tên đầy đủ, tức 35,6%, đứng tên ít nhất một bài báo trong năm năm; hệ số Gini về số bài là 0,829, và trong nhóm có công bố, 10% người dẫn đầu chiếm 39,3% số lượt đứng tên. Lực lượng nghiên cứu nòng cốt vì vậy còn tương đối mỏng so với quy mô Nhà trường. Đáng chú ý, Viện Y - Dược là nơi phát sinh phần lớn sản phẩm đề tài đủ điều kiện xác lập quyền và cả hai đơn sáng chế, cho thấy tiềm năng tài sản trí tuệ của khối ngành Y - Dược rất lớn; số lượng công bố và khả năng hình thành tài sản trí tuệ là hai thước đo khác nhau, cần được theo dõi riêng.</w:t>
            </w:r>
          </w:p>
        </w:tc>
        <w:tc>
          <w:tcPr>
            <w:tcW w:type="dxa" w:w="5102"/>
          </w:tcPr>
          <w:p>
            <w:pPr>
              <w:spacing w:after="20"/>
            </w:pPr>
            <w:r/>
            <w:r>
              <w:rPr>
                <w:b w:val="0"/>
                <w:sz w:val="19"/>
              </w:rPr>
              <w:t>Tính trên toàn bộ nhân sự, gồm cả khối hành chính, 252 người trong danh sách năm 2026 tương ứng 246 tên khác nhau do có 6 trường hợp trùng họ tên. Theo quy tắc so khớp giữ dấu và đúng thứ tự họ tên, 87 trên 246 tên, tức 35,4%, đứng tên ít nhất một bài báo trong năm năm; hệ số Gini về số bài là 0,832, và trong nhóm có công bố, 10% người dẫn đầu chiếm 39,7% số lượt đứng tên. Nếu chấp nhận cả cách viết không dấu trong bài quốc tế, số tên có bài là 103, tức 41,9%, và hệ số Gini là 0,822; nhận định về mức độ tập trung không đổi giữa hai quy tắc. Lực lượng nghiên cứu nòng cốt vì vậy còn tương đối mỏng so với quy mô Nhà trường. Viện Y - Dược là nơi phát sinh 9 trên 11 sản phẩm đề tài có tiềm năng tạo lập tài sản trí tuệ và đơn sáng chế duy nhất trong kỳ; số lượng công bố và khả năng hình thành tài sản trí tuệ là hai thước đo khác nhau, cần được theo dõi riêng.</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24</w:t>
            </w:r>
          </w:p>
        </w:tc>
        <w:tc>
          <w:tcPr>
            <w:tcW w:type="dxa" w:w="2041"/>
          </w:tcPr>
          <w:p>
            <w:pPr>
              <w:spacing w:after="20"/>
            </w:pPr>
            <w:r/>
            <w:r>
              <w:rPr>
                <w:b w:val="0"/>
                <w:sz w:val="19"/>
              </w:rPr>
              <w:t>Chương 2; 2.2.1. Hệ thống quy định nội bộ, đoạn 1</w:t>
            </w:r>
          </w:p>
        </w:tc>
        <w:tc>
          <w:tcPr>
            <w:tcW w:type="dxa" w:w="5102"/>
          </w:tcPr>
          <w:p>
            <w:pPr>
              <w:spacing w:after="20"/>
            </w:pPr>
            <w:r/>
            <w:r>
              <w:rPr>
                <w:b w:val="0"/>
                <w:sz w:val="19"/>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tại Phòng Khoa học Công nghệ; Điều 36 quy định hai công thức chia lợi ích.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yêu cầu tác giả xin ý kiến Phòng Khoa học Công nghệ trước khi bộc lộ công khai tài sản có thể bảo hộ; Điều 11 giao Phòng nhận diện, lập hồ sơ theo dõi, xúc tiến thương mại hóa và giao bộ phận pháp chế thực hiện thủ tục xác lập quyền. Hai văn bản còn lại là Quy chế chi tiêu nội bộ ban hành ngày 01 tháng 8 năm 2026 và Điều lệ Quỹ Học bổng sau tiến sĩ Ngô Xuân Độ năm 2025.</w:t>
            </w:r>
          </w:p>
          <w:p>
            <w:pPr>
              <w:spacing w:after="20"/>
            </w:pPr>
            <w:r>
              <w:rPr>
                <w:b w:val="0"/>
                <w:sz w:val="19"/>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được xây dựng như một quy chế chuyên biệt và chưa dẫn chiếu Chương VI Quyết định 213, hai văn bản cùng hiệu lực; bốn văn bản hiện chứa năm quy định khác nhau về phân chia lợi ích, được trình bày tại Bảng 2.3.</w:t>
            </w:r>
          </w:p>
          <w:p>
            <w:pPr>
              <w:spacing w:after="20"/>
            </w:pPr>
            <w:r>
              <w:rPr>
                <w:b w:val="0"/>
                <w:sz w:val="19"/>
              </w:rPr>
              <w:t>Bảng 2.3. Các quy định về phân chia lợi ích từ tài sản trí tuệ trong nội bộ Trường Đại học Thành Đô</w:t>
            </w:r>
          </w:p>
          <w:p>
            <w:pPr>
              <w:spacing w:after="20"/>
            </w:pPr>
            <w:r>
              <w:rPr>
                <w:b w:val="0"/>
                <w:sz w:val="19"/>
              </w:rPr>
              <w:t>Nguồn: Nhóm nghiên cứu tổng hợp từ Quyết định 213, Quyết định 217, Quy chế chi tiêu nội bộ năm 2026 và Điều lệ Quỹ Học bổng sau tiến sĩ Ngô Xuân Độ.</w:t>
            </w:r>
          </w:p>
          <w:p>
            <w:pPr>
              <w:spacing w:after="20"/>
            </w:pPr>
            <w:r>
              <w:rPr>
                <w:b w:val="0"/>
                <w:sz w:val="19"/>
              </w:rPr>
              <w:t>Hình 2.2. Mô phỏng phần lợi ích của tác giả theo các quy định nội bộ và mức mặc định của Luật Sở hữu trí tuệ</w:t>
            </w:r>
          </w:p>
          <w:p>
            <w:pPr>
              <w:spacing w:after="20"/>
            </w:pPr>
            <w:r>
              <w:rPr>
                <w:b w:val="0"/>
                <w:sz w:val="19"/>
              </w:rPr>
              <w:t>Nguồn: Nhóm nghiên cứu mô phỏng từ Điều 36 Quyết định 213, Điều 9 Điều lệ Quỹ Học bổng sau tiến sĩ Ngô Xuân Độ, điểm b khoản 1 Điều 135 Luật Sở hữu trí tuệ và điểm a khoản 3 Điều 28 Luật số 93/2025/QH15. Khoản thu là số tiền nhận được từ một hợp đồng chuyển giao sau khi trừ chi phí hợp lệ; đơn vị: triệu đồng.</w:t>
            </w:r>
          </w:p>
          <w:p>
            <w:pPr>
              <w:spacing w:after="20"/>
            </w:pPr>
            <w:r>
              <w:rPr>
                <w:b w:val="0"/>
                <w:sz w:val="19"/>
              </w:rPr>
              <w:t>Hình 2.2 mô phỏng phần của tác giả từ một hợp đồng chuyển giao theo từng quy định. Với khoản thu 500 triệu đồng, phần của tác giả dao động từ 100 triệu đồng theo điểm a Điều 36 Quyết định 213 hoặc theo Quỹ từ năm thứ hai, 150 triệu đồng theo điểm b, đến 250 triệu đồng theo Quỹ trong năm đầu. Điều 13 Quyết định 217 giao Hiệu trưởng quyết định tỷ lệ theo từng trường hợp nên không mô phỏng. Về tỷ lệ, các quy định nội bộ nhìn chung cao hơn mức mặc định 15% tại Điều 135 Luật Sở hữu trí tuệ; điểm cần hoàn thiện là tác giả chưa biết trước quy định nào áp dụng cho sản phẩm của mình.</w:t>
            </w:r>
          </w:p>
          <w:p>
            <w:pPr>
              <w:spacing w:after="20"/>
            </w:pPr>
            <w:r>
              <w:rPr>
                <w:b w:val="0"/>
                <w:sz w:val="19"/>
              </w:rPr>
              <w:t>Đối chiếu với Luật số 93/2025/QH15, có hiệu lực từ ngày 01 tháng 10 năm 2025, cho thấy một độ trễ thể chế tất yếu. Điểm a khoản 4 Điều 36 Quyết định 213 được xây dựng năm 2021 theo cơ chế của Luật Khoa học và công nghệ năm 2013, với khoản nộp ngân sách nhà nước và mức trần 100 triệu đồng. Luật mới quy định tổ chức chủ trì được tự động giao quyền sở hữu phần kết quả sử dụng ngân sách nhà nước theo khoản 2 Điều 25, được tự quyết định phương án thương mại hóa theo Điều 27, và thưởng cho tác giả tối thiểu 30% lợi nhuận theo điểm a khoản 3 Điều 28; đồng thời khoản 2 Điều 135 Luật Sở hữu trí tuệ về khung thù lao cũ đã được bãi bỏ. Trên hình, đường điểm b trùng với mức tối thiểu 30% này, còn đường điểm a thấp hơn từ khoản thu khoảng 333 triệu đồng do mức trần. Quy định này sẽ áp dụng trực tiếp cho kết quả của ba đề tài cấp quốc gia khi được thương mại hóa. Việc rà soát, hợp nhất quy chế vì vậy là cơ hội để Nhà trường đi tiên phong đón đầu luật mới; trong bốn văn bản, Điều lệ Quỹ là văn bản gần nhất với tinh thần này khi vừa không đặt trần vừa cho phép các bên thỏa thuận tỷ lệ khác.</w:t>
            </w:r>
          </w:p>
        </w:tc>
        <w:tc>
          <w:tcPr>
            <w:tcW w:type="dxa" w:w="5102"/>
          </w:tcPr>
          <w:p>
            <w:pPr>
              <w:spacing w:after="20"/>
            </w:pPr>
            <w:r/>
            <w:r>
              <w:rPr>
                <w:b w:val="0"/>
                <w:sz w:val="19"/>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trong đó Phòng Khoa học Công nghệ kiểm tra đơn, trình Hiệu trưởng ký và thực hiện việc nộp đơn, lệ phí tại cơ quan nhà nước; Điều 36 quy định phân chia nguồn thu khi chuyển giao.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xác định quyền công bố kết quả nghiên cứu thuộc về Trường, yêu cầu tác giả xin ý kiến Phòng Khoa học Công nghệ trước khi bộc lộ công khai tài sản có thể bảo hộ và đặt nghĩa vụ bảo mật; Điều 11 giao Phòng xây dựng quy trình, biểu mẫu ghi nhận, khai báo, nhận diện, lập hồ sơ theo dõi, xúc tiến thương mại hóa và giao Bộ phận Pháp chế thực hiện thủ tục xác lập quyền; Điều 14 quy định các hành vi xâm phạm quyền tác giả như mạo danh, công bố trái phép, trích dẫn không đầy đủ. Hai văn bản còn lại là Quy chế chi tiêu nội bộ ban hành ngày 01 tháng 8 năm 2026 và Điều lệ Quỹ Học bổng sau tiến sĩ Ngô Xuân Độ năm 2025. Quy chế chi tiêu nội bộ năm 2026 ban hành sau kỳ đánh giá nên chỉ được dùng để mô tả cơ chế hiện hành; quy chế chi tiêu áp dụng trong giai đoạn 2021 - 2025 và văn bản Điều lệ Quỹ chưa có trong hồ sơ Đề tài tiếp cận, nên các nội dung về Quỹ được ghi theo thông tin được cung cấp.</w:t>
            </w:r>
          </w:p>
          <w:p>
            <w:pPr>
              <w:spacing w:after="20"/>
            </w:pPr>
            <w:r>
              <w:rPr>
                <w:b w:val="0"/>
                <w:sz w:val="19"/>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không dẫn chiếu và không thay thế Chương VI Quyết định 213, hai văn bản cùng hiệu lực. Bảng 2.3 tập hợp các quy định nội bộ và quy định của Luật liên quan đến lợi ích của tác giả và phân chia nguồn thu, theo phạm vi, đối tượng hưởng, cơ sở tính và điều kiện áp dụng.</w:t>
            </w:r>
          </w:p>
          <w:p>
            <w:pPr>
              <w:spacing w:after="20"/>
            </w:pPr>
            <w:r>
              <w:rPr>
                <w:b w:val="0"/>
                <w:sz w:val="19"/>
              </w:rPr>
              <w:t>Bảng 2.3. Các quy định về lợi ích của tác giả và phân chia nguồn thu từ tài sản trí tuệ</w:t>
            </w:r>
          </w:p>
          <w:p>
            <w:pPr>
              <w:spacing w:after="20"/>
            </w:pPr>
            <w:r>
              <w:rPr>
                <w:b w:val="0"/>
                <w:sz w:val="19"/>
              </w:rPr>
              <w:t>Nguồn: Nhóm nghiên cứu tổng hợp từ Quyết định 213, Quyết định 217, Quy chế chi tiêu nội bộ năm 2026, Luật số 93/2025/QH15 và Văn bản hợp nhất số 67/VBHN-VPQH. Nội dung về Quỹ Học bổng sau tiến sĩ Ngô Xuân Độ ghi theo thông tin được cung cấp, chưa đối chiếu được văn bản gốc.</w:t>
            </w:r>
          </w:p>
          <w:p>
            <w:pPr>
              <w:spacing w:after="20"/>
            </w:pPr>
            <w:r>
              <w:rPr>
                <w:b w:val="0"/>
                <w:sz w:val="19"/>
              </w:rPr>
              <w:t>Bảng 2.3 cho thấy các tỷ lệ trong văn bản nội bộ và trong Luật không thể so sánh trực tiếp với nhau, vì chúng khác nhau về đối tượng hưởng, cơ sở tính và phạm vi. Phần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dưới đây.</w:t>
            </w:r>
          </w:p>
          <w:p>
            <w:pPr>
              <w:spacing w:after="20"/>
            </w:pPr>
            <w:r>
              <w:rPr>
                <w:b w:val="0"/>
                <w:sz w:val="19"/>
              </w:rPr>
              <w:t>Hình 2.2. Mô phỏng phần dành cho tác giả theo điểm a và điểm b khoản 4 Điều 36 Quyết định 213 trên cùng cơ sở tính</w:t>
            </w:r>
          </w:p>
          <w:p>
            <w:pPr>
              <w:spacing w:after="20"/>
            </w:pPr>
            <w:r>
              <w:rPr>
                <w:b w:val="0"/>
                <w:sz w:val="19"/>
              </w:rPr>
              <w:t>Nguồn: Nhóm nghiên cứu mô phỏng từ khoản 4 Điều 36 Quy chế ban hành kèm Quyết định số 213/QĐ-ĐHTĐ. Trục hoành là nguồn thu sau khi trừ các khoản chi phí cần thiết, hợp lệ, cơ sở tính chung của hai điểm; đơn vị: triệu đồng. Điểm a áp dụng cho sản phẩm đề tài sử dụng ngân sách nhà nước do Trường chủ trì: 30% khen thưởng tập thể tác giả, tối đa 100 triệu đồng một đề tài, phần vượt chuyển vào quỹ khen thưởng, phúc lợi. Điểm b áp dụng cho tài sản trí tuệ thuộc sở hữu của Trường: tác giả hưởng 30%. Hai điểm có phạm vi khác nhau nên không cùng áp dụng cho một tài sản.</w:t>
            </w:r>
          </w:p>
          <w:p>
            <w:pPr>
              <w:spacing w:after="20"/>
            </w:pPr>
            <w:r>
              <w:rPr>
                <w:b w:val="0"/>
                <w:sz w:val="19"/>
              </w:rPr>
              <w:t>Hình 2.2 cho thấy, trên cùng nguồn thu sau chi phí, phần dành cho tác giả theo hai điểm bằng nhau cho đến khoảng 333 triệu đồng; từ mức này, phần theo điểm a không tăng thêm do mức trần 100 triệu đồng một đề tài. Vì hai điểm áp dụng cho hai phạm vi khác nhau, khác biệt này không phải là xung đột giữa hai quy định mà thể hiện tác động của mức trần đối với đề tài sử dụng ngân sách nhà nước.</w:t>
            </w:r>
          </w:p>
          <w:p>
            <w:pPr>
              <w:spacing w:after="20"/>
            </w:pPr>
            <w:r>
              <w:rPr>
                <w:b w:val="0"/>
                <w:sz w:val="19"/>
              </w:rPr>
              <w:t>Đối chiếu theo từng tình huống, chưa xác định được trường hợp nào mà cùng một tài sản đồng thời chịu hai yêu cầu nội bộ không tương thích: điểm a áp dụng cho đề tài sử dụng ngân sách nhà nước, điểm b cho tài sản thuộc sở hữu của Trường, còn khoản 3 Điều 13 Quyết định 217 tự xác định thứ tự áp dụng khi chỉ được dùng nếu không có thỏa thuận, Quy chế chi tiêu nội bộ hoặc pháp luật không quy định. Các điểm cần thống nhất cách hiểu và thứ tự áp dụng gồm: quan hệ giữa Điều 13 Quyết định 217 với khoản 4 Điều 36 Quyết định 213, vì văn bản sau không dẫn chiếu văn bản trước; quan hệ giữa quy định trích 50% kinh phí chuyển giao công nghệ về Nhà trường tại Quy chế chi tiêu nội bộ năm 2026 với phần 30% của tác giả tại điểm b; và thuật ngữ, khi điểm a gọi phần của tác giả là khen thưởng còn điểm b ghi tác giả hưởng 30% theo Luật Sở hữu trí tuệ, trong khi pháp luật phân biệt thưởng theo Điều 28 Luật số 93/2025/QH15 với thù lao theo Điều 135 Luật Sở hữu trí tuệ.</w:t>
            </w:r>
          </w:p>
          <w:p>
            <w:pPr>
              <w:spacing w:after="20"/>
            </w:pPr>
            <w:r>
              <w:rPr>
                <w:b w:val="0"/>
                <w:sz w:val="19"/>
              </w:rPr>
              <w:t>Đối chiếu với Luật số 93/2025/QH15, có hiệu lực từ ngày 01 tháng 10 năm 2025, và Luật Sở hữu trí tuệ hiện hành cho thấy ba điểm cần rà soát. Thứ nhất, với nhiệm vụ sử dụng ngân sách nhà nước được giao từ ngày 01 tháng 10 năm 2025, và với sáng chế, kiểu dáng công nghiệp, thiết kế bố trí đã được cấp văn bằng là kết quả của nhiệm vụ giao từ ngày 01 tháng 01 năm 2023 theo khoản 7 Điều 73, phần thưởng cho tác giả phải đạt tối thiểu 30% lợi nhuận sau thuế; mức trần 100 triệu đồng tại điểm a chỉ dẫn đến phần thưởng thấp hơn mức này khi 30% lợi nhuận sau thuế vượt 100 triệu đồng, còn khoản nộp ngân sách nhà nước 40% không thuộc các mục đích sử dụng lợi nhuận tại khoản 3 Điều 28. Thứ hai, ba đề tài cấp quốc gia không chịu cùng một chế độ: đề tài phê duyệt ngày 15 tháng 12 năm 2025 thuộc phạm vi Điều 28; hai đề tài phê duyệt ngày 26 tháng 3 năm 2024 và ngày 30 tháng 9 năm 2025 tiếp tục theo pháp luật và văn bản có hiệu lực tại thời điểm phê duyệt theo khoản 3 Điều 73, trừ trường hợp kết quả là sáng chế, kiểu dáng công nghiệp, thiết kế bố trí được cấp văn bằng theo khoản 7 Điều 73. Thứ ba, với sáng chế, kiểu dáng công nghiệp, thiết kế bố trí, điểm b tính phần 30% của tác giả trên nguồn thu sau chi phí, trong khi mức mặc định tại khoản 1 Điều 135 tính trên tổng số tiền nhận được trước thuế; khi chi phí vượt một nửa nguồn thu, 30% sau chi phí thấp hơn 15% tổng số tiền. Do đó cần xác định quy chế có được coi là thỏa thuận về thù lao theo khoản 1 Điều 135 hay không. Việc cập nhật quy chế vì vậy cần căn cứ vào phạm vi từng trường hợp, không thể kết luận mức trần trái luật trong mọi trường hợp, cũng không thể thay bằng một tỷ lệ chung.</w:t>
            </w:r>
          </w:p>
        </w:tc>
        <w:tc>
          <w:tcPr>
            <w:tcW w:type="dxa" w:w="1984"/>
          </w:tcPr>
          <w:p>
            <w:pPr>
              <w:spacing w:after="20"/>
            </w:pPr>
            <w:r/>
            <w:r>
              <w:rPr>
                <w:b w:val="0"/>
                <w:sz w:val="19"/>
              </w:rPr>
              <w:t>Góp ý mục 3: Điều 35, Điều 38 và các biểu mẫu Quyết định 213; Điều 10, Điều 11 Quyết định 217; Góp ý mục 4: chỉ kết luận xung đột khi cùng một tình huống chịu yêu cầu không tương thích; Điều 14 Quyết định 217; Góp ý mục 7: thống kê, phễu sở hữu công nghiệp, năm theo loại dữ liệu, giảm khẳng định nhân quả</w:t>
            </w:r>
          </w:p>
        </w:tc>
      </w:tr>
      <w:tr>
        <w:tc>
          <w:tcPr>
            <w:tcW w:type="dxa" w:w="567"/>
          </w:tcPr>
          <w:p>
            <w:pPr>
              <w:spacing w:after="20"/>
            </w:pPr>
            <w:r/>
            <w:r>
              <w:rPr>
                <w:b w:val="0"/>
                <w:sz w:val="19"/>
              </w:rPr>
              <w:t>25</w:t>
            </w:r>
          </w:p>
        </w:tc>
        <w:tc>
          <w:tcPr>
            <w:tcW w:type="dxa" w:w="2041"/>
          </w:tcPr>
          <w:p>
            <w:pPr>
              <w:spacing w:after="20"/>
            </w:pPr>
            <w:r/>
            <w:r>
              <w:rPr>
                <w:b w:val="0"/>
                <w:sz w:val="19"/>
              </w:rPr>
              <w:t>Chương 2; 2.2.2. Tổ chức bộ máy và đầu mối quản lý, đoạn 1</w:t>
            </w:r>
          </w:p>
        </w:tc>
        <w:tc>
          <w:tcPr>
            <w:tcW w:type="dxa" w:w="5102"/>
          </w:tcPr>
          <w:p>
            <w:pPr>
              <w:spacing w:after="20"/>
            </w:pPr>
            <w:r/>
            <w:r>
              <w:rPr>
                <w:b w:val="0"/>
                <w:sz w:val="19"/>
              </w:rPr>
              <w:t>Theo Điều 35 Quyết định 213 và Điều 11 Quyết định 217, Phòng Khoa học Công nghệ là đầu mối tiếp nhận hồ sơ, nhận diện và theo dõi tài sản trí tuệ; bộ phận pháp chế thực hiện thủ tục xác lập quyền. Trên thực tế, chức năng này được phân công cho bốn đơn vị theo thế mạnh nghiệp vụ, như thể hiện tại hình dưới đây. Phòng Khoa học Công nghệ, với 2 nhân sự, giữ khâu tiếp nhận hồ sơ. Trung tâm Tuyển sinh và Quản trị thương hiệu thực hiện xác lập quyền đối với nhãn hiệu và logo. Bộ phận pháp chế thuộc Trung tâm Dịch vụ và Quản trị hành chính tổng hợp là đầu mối của Mạng lưới Trung tâm Hỗ trợ công nghệ và đổi mới sáng tạo mà Nhà trường tham gia từ năm 2023. Viện Nghiên cứu giáo dục và Chuyển giao tri thức là đơn vị đã đăng ký hoạt động khoa học và công nghệ, có con dấu riêng và có hợp đồng khai thác quyền.</w:t>
            </w:r>
          </w:p>
        </w:tc>
        <w:tc>
          <w:tcPr>
            <w:tcW w:type="dxa" w:w="5102"/>
          </w:tcPr>
          <w:p>
            <w:pPr>
              <w:spacing w:after="20"/>
            </w:pPr>
            <w:r/>
            <w:r>
              <w:rPr>
                <w:b w:val="0"/>
                <w:sz w:val="19"/>
              </w:rPr>
              <w:t>Theo Điều 35 Quyết định 213 và Điều 11 Quyết định 217, Phòng Khoa học Công nghệ là đầu mối tiếp nhận hồ sơ, nhận diện, lập hồ sơ theo dõi và xúc tiến thương mại hóa tài sản trí tuệ; Bộ phận Pháp chế thực hiện thủ tục xác lập quyền và hỗ trợ đăng ký; các đơn vị có trách nhiệm phối hợp ghi nhận tài sản mới phát sinh. Trong hồ sơ hiện có, công việc được phân theo bốn đơn vị, như thể hiện tại hình dưới đây. Phòng Khoa học Công nghệ, với 2 nhân sự, tiếp nhận hồ sơ đề tài. Danh mục theo dõi nhãn hiệu và logo do bộ phận quản trị thương hiệu thuộc Trung tâm Tuyển sinh và Quản trị thương hiệu lập. Bộ phận Pháp chế thuộc Trung tâm Dịch vụ và Quản trị hành chính tổng hợp; theo thông tin được cung cấp, bộ phận này là đầu mối của Mạng lưới Trung tâm Hỗ trợ công nghệ và đổi mới sáng tạo mà Nhà trường tham gia từ năm 2023, nhưng hồ sơ Đề tài tiếp cận chưa có văn bản xác nhận. Viện Nghiên cứu giáo dục và Chuyển giao tri thức là đơn vị có thống kê hợp đồng khai thác quyền đối với sách.</w:t>
            </w:r>
          </w:p>
        </w:tc>
        <w:tc>
          <w:tcPr>
            <w:tcW w:type="dxa" w:w="1984"/>
          </w:tcPr>
          <w:p>
            <w:pPr>
              <w:spacing w:after="20"/>
            </w:pPr>
            <w:r/>
            <w:r>
              <w:rPr>
                <w:b w:val="0"/>
                <w:sz w:val="19"/>
              </w:rPr>
              <w:t>Góp ý mục 1: phân biệt quy định, thực hiện, thống kê, nhận định; không suy chưa thấy thành không có; Góp ý mục 3: Điều 35, Điều 38 và các biểu mẫu Quyết định 213; Điều 10, Điều 11 Quyết định 217</w:t>
            </w:r>
          </w:p>
        </w:tc>
      </w:tr>
      <w:tr>
        <w:tc>
          <w:tcPr>
            <w:tcW w:type="dxa" w:w="567"/>
          </w:tcPr>
          <w:p>
            <w:pPr>
              <w:spacing w:after="20"/>
            </w:pPr>
            <w:r/>
            <w:r>
              <w:rPr>
                <w:b w:val="0"/>
                <w:sz w:val="19"/>
              </w:rPr>
              <w:t>26</w:t>
            </w:r>
          </w:p>
        </w:tc>
        <w:tc>
          <w:tcPr>
            <w:tcW w:type="dxa" w:w="2041"/>
          </w:tcPr>
          <w:p>
            <w:pPr>
              <w:spacing w:after="20"/>
            </w:pPr>
            <w:r/>
            <w:r>
              <w:rPr>
                <w:b w:val="0"/>
                <w:sz w:val="19"/>
              </w:rPr>
              <w:t>Chương 2; 2.2.2. Tổ chức bộ máy và đầu mối quản lý, đoạn 4</w:t>
            </w:r>
          </w:p>
        </w:tc>
        <w:tc>
          <w:tcPr>
            <w:tcW w:type="dxa" w:w="5102"/>
          </w:tcPr>
          <w:p>
            <w:pPr>
              <w:spacing w:after="20"/>
            </w:pPr>
            <w:r/>
            <w:r>
              <w:rPr>
                <w:b w:val="0"/>
                <w:sz w:val="19"/>
              </w:rPr>
              <w:t>Hình 2.3 cho thấy ba trong bốn đầu mối thuộc khối Quản trị và Dịch vụ, còn kết quả nghiên cứu phát sinh ở khối Đào tạo và Nghiên cứu. Quyết định 217 đã phân công rõ trách nhiệm; khoảng trống còn lại mang tính kỹ thuật: chưa có biểu mẫu khai báo và hồ sơ theo dõi tài sản trí tuệ dùng chung giữa các đơn vị, nên mỗi đơn vị nắm một đoạn của chu trình và giữa các đoạn chưa có luồng hồ sơ liên thông.</w:t>
            </w:r>
          </w:p>
        </w:tc>
        <w:tc>
          <w:tcPr>
            <w:tcW w:type="dxa" w:w="5102"/>
          </w:tcPr>
          <w:p>
            <w:pPr>
              <w:spacing w:after="20"/>
            </w:pPr>
            <w:r/>
            <w:r>
              <w:rPr>
                <w:b w:val="0"/>
                <w:sz w:val="19"/>
              </w:rPr>
              <w:t>Hình 2.3 cho thấy ba trong bốn đầu mối thuộc khối Quản trị và Dịch vụ, còn kết quả nghiên cứu phát sinh ở khối Đào tạo và Nghiên cứu. Quyết định 217 đã phân công trách nhiệm, trong đó Điều 11 giao Phòng Khoa học Công nghệ xây dựng quy trình, biểu mẫu ghi nhận, khai báo và lập hồ sơ theo dõi tài sản trí tuệ. Trong hồ sơ Đề tài tiếp cận chưa thấy biểu mẫu khai báo hay hồ sơ theo dõi dùng chung giữa các đơn vị; mức độ thực hiện các nhiệm vụ tại Điều 10 và Điều 11 vì vậy là vấn đề cần được đánh giá, chưa thể kết luận là chưa được thực hiện.</w:t>
            </w:r>
          </w:p>
        </w:tc>
        <w:tc>
          <w:tcPr>
            <w:tcW w:type="dxa" w:w="1984"/>
          </w:tcPr>
          <w:p>
            <w:pPr>
              <w:spacing w:after="20"/>
            </w:pPr>
            <w:r/>
            <w:r>
              <w:rPr>
                <w:b w:val="0"/>
                <w:sz w:val="19"/>
              </w:rPr>
              <w:t>Góp ý mục 3: Điều 35, Điều 38 và các biểu mẫu Quyết định 213; Điều 10, Điều 11 Quyết định 217</w:t>
            </w:r>
          </w:p>
        </w:tc>
      </w:tr>
      <w:tr>
        <w:tc>
          <w:tcPr>
            <w:tcW w:type="dxa" w:w="567"/>
          </w:tcPr>
          <w:p>
            <w:pPr>
              <w:spacing w:after="20"/>
            </w:pPr>
            <w:r/>
            <w:r>
              <w:rPr>
                <w:b w:val="0"/>
                <w:sz w:val="19"/>
              </w:rPr>
              <w:t>27</w:t>
            </w:r>
          </w:p>
        </w:tc>
        <w:tc>
          <w:tcPr>
            <w:tcW w:type="dxa" w:w="2041"/>
          </w:tcPr>
          <w:p>
            <w:pPr>
              <w:spacing w:after="20"/>
            </w:pPr>
            <w:r/>
            <w:r>
              <w:rPr>
                <w:b w:val="0"/>
                <w:sz w:val="19"/>
              </w:rPr>
              <w:t>Chương 2; 2.2.3. Nguồn lực tài chính và cơ chế khuyến khích, đoạn 2</w:t>
            </w:r>
          </w:p>
        </w:tc>
        <w:tc>
          <w:tcPr>
            <w:tcW w:type="dxa" w:w="5102"/>
          </w:tcPr>
          <w:p>
            <w:pPr>
              <w:spacing w:after="20"/>
            </w:pPr>
            <w:r/>
            <w:r>
              <w:rPr>
                <w:b w:val="0"/>
                <w:sz w:val="19"/>
              </w:rPr>
              <w:t>Bảng 2.4. Ba kênh tài trợ nghiên cứu và chế độ sở hữu trí tuệ tương ứng</w:t>
            </w:r>
          </w:p>
        </w:tc>
        <w:tc>
          <w:tcPr>
            <w:tcW w:type="dxa" w:w="5102"/>
          </w:tcPr>
          <w:p>
            <w:pPr>
              <w:spacing w:after="20"/>
            </w:pPr>
            <w:r/>
            <w:r>
              <w:rPr>
                <w:b w:val="0"/>
                <w:sz w:val="19"/>
              </w:rPr>
              <w:t>Bảng 2.4. Ba kênh tài trợ nghiên cứu và cơ chế chi cho xác lập quyền</w:t>
            </w:r>
          </w:p>
        </w:tc>
        <w:tc>
          <w:tcPr>
            <w:tcW w:type="dxa" w:w="1984"/>
          </w:tcPr>
          <w:p>
            <w:pPr>
              <w:spacing w:after="20"/>
            </w:pPr>
            <w:r/>
            <w:r>
              <w:rPr>
                <w:b w:val="0"/>
                <w:sz w:val="19"/>
              </w:rPr>
              <w:t>Góp ý mục 3: Điều 35, Điều 38 và các biểu mẫu Quyết định 213; Điều 10, Điều 11 Quyết định 217; Góp ý mục 1: phân biệt quy định, thực hiện, thống kê, nhận định; không suy chưa thấy thành không có</w:t>
            </w:r>
          </w:p>
        </w:tc>
      </w:tr>
      <w:tr>
        <w:tc>
          <w:tcPr>
            <w:tcW w:type="dxa" w:w="567"/>
          </w:tcPr>
          <w:p>
            <w:pPr>
              <w:spacing w:after="20"/>
            </w:pPr>
            <w:r/>
            <w:r>
              <w:rPr>
                <w:b w:val="0"/>
                <w:sz w:val="19"/>
              </w:rPr>
              <w:t>28</w:t>
            </w:r>
          </w:p>
        </w:tc>
        <w:tc>
          <w:tcPr>
            <w:tcW w:type="dxa" w:w="2041"/>
          </w:tcPr>
          <w:p>
            <w:pPr>
              <w:spacing w:after="20"/>
            </w:pPr>
            <w:r/>
            <w:r>
              <w:rPr>
                <w:b w:val="0"/>
                <w:sz w:val="19"/>
              </w:rPr>
              <w:t>Chương 2; 2.2.3. Nguồn lực tài chính và cơ chế khuyến khích, đoạn 3</w:t>
            </w:r>
          </w:p>
        </w:tc>
        <w:tc>
          <w:tcPr>
            <w:tcW w:type="dxa" w:w="5102"/>
          </w:tcPr>
          <w:p>
            <w:pPr>
              <w:spacing w:after="20"/>
            </w:pPr>
            <w:r/>
            <w:r>
              <w:rPr>
                <w:b w:val="0"/>
                <w:sz w:val="19"/>
              </w:rPr>
              <w:t>Nguồn: Nhóm nghiên cứu tổng hợp từ danh mục đề tài cấp cơ sở, danh mục đề tài cấp quốc gia và Điều lệ Quỹ Học bổng sau tiến sĩ Ngô Xuân Độ.</w:t>
            </w:r>
          </w:p>
        </w:tc>
        <w:tc>
          <w:tcPr>
            <w:tcW w:type="dxa" w:w="5102"/>
          </w:tcPr>
          <w:p>
            <w:pPr>
              <w:spacing w:after="20"/>
            </w:pPr>
            <w:r/>
            <w:r>
              <w:rPr>
                <w:b w:val="0"/>
                <w:sz w:val="19"/>
              </w:rPr>
              <w:t>Nguồn: Nhóm nghiên cứu tổng hợp từ danh mục đề tài cấp cơ sở, danh mục đề tài cấp quốc gia và Quyết định 213. Thông tin về Quỹ Học bổng sau tiến sĩ Ngô Xuân Độ ghi theo tài liệu được cung cấp, chưa đối chiếu được Điều lệ.</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29</w:t>
            </w:r>
          </w:p>
        </w:tc>
        <w:tc>
          <w:tcPr>
            <w:tcW w:type="dxa" w:w="2041"/>
          </w:tcPr>
          <w:p>
            <w:pPr>
              <w:spacing w:after="20"/>
            </w:pPr>
            <w:r/>
            <w:r>
              <w:rPr>
                <w:b w:val="0"/>
                <w:sz w:val="19"/>
              </w:rPr>
              <w:t>Chương 2; 2.2.3. Nguồn lực tài chính và cơ chế khuyến khích, đoạn 4</w:t>
            </w:r>
          </w:p>
        </w:tc>
        <w:tc>
          <w:tcPr>
            <w:tcW w:type="dxa" w:w="5102"/>
          </w:tcPr>
          <w:p>
            <w:pPr>
              <w:spacing w:after="20"/>
            </w:pPr>
            <w:r/>
            <w:r>
              <w:rPr>
                <w:b w:val="0"/>
                <w:sz w:val="19"/>
              </w:rPr>
              <w:t>Bảng 2.4 cho thấy nguồn lực không thiếu nhưng đặt chưa đúng chỗ. Quỹ Học bổng sau tiến sĩ Ngô Xuân Độ có ngân sách 5 tỷ đồng, có khoản chi phí khác đủ trang trải chi phí đăng ký và quy định rõ về đồng sở hữu văn bằng, nhưng chỉ dành cho nhà khoa học theo diện học bổng sau tiến sĩ. Đề tài cấp cơ sở, kênh duy nhất đến nay tạo ra sản phẩm đủ điều kiện xác lập quyền, chỉ được Nhà trường cấp 424,75 triệu đồng trong năm năm, bằng 8,5% ngân sách Quỹ, và không có dòng chi cho phí nộp đơn, phí duy trì hiệu lực. Điều 38 Quyết định 213 không có mục chi riêng cho lệ phí đăng ký; Điều 13 Quyết định 217 chỉ coi lệ phí xác lập quyền là khoản được trừ khi chia lợi ích, tức sau khi đã có doanh thu. Giữa hai kênh không có cơ chế chuyển tiếp.</w:t>
            </w:r>
          </w:p>
        </w:tc>
        <w:tc>
          <w:tcPr>
            <w:tcW w:type="dxa" w:w="5102"/>
          </w:tcPr>
          <w:p>
            <w:pPr>
              <w:spacing w:after="20"/>
            </w:pPr>
            <w:r/>
            <w:r>
              <w:rPr>
                <w:b w:val="0"/>
                <w:sz w:val="19"/>
              </w:rPr>
              <w:t>Bảng 2.4 cho thấy ba kênh khác nhau về quy mô và cơ chế. Đề tài cấp cơ sở, kênh duy nhất trong kỳ đã tạo ra sản phẩm có tiềm năng tạo lập tài sản trí tuệ, được Nhà trường cấp 424,75 triệu đồng trong năm năm. Quy chế đã có căn cứ chi cho bước xác lập quyền: Điều 35 Quyết định 213 giao Phòng Khoa học Công nghệ thực hiện việc nộp đơn và lệ phí tại cơ quan nhà nước, Điều 38 cho phép chi thuê ngoài và chi khác liên quan trực tiếp đến đề tài, Điều 13 Quyết định 217 coi lệ phí xác lập quyền là khoản được trừ khi chia lợi ích. Điều chưa thấy trong hồ sơ là dự toán riêng cho phí nộp đơn, phí đại diện, phí duy trì hiệu lực; cách tạm ứng và thanh toán khi đơn được nộp sau khi đề tài đã nghiệm thu; thời hạn và người chịu trách nhiệm đề xuất chi. Số liệu chi thực tế cho xác lập quyền trong kỳ cũng chưa được thống kê. Theo thông tin được cung cấp, Quỹ Học bổng sau tiến sĩ Ngô Xuân Độ có khoản chi phí khác có thể trang trải chi phí đăng ký nhưng chỉ dành cho đối tượng học bổng và hoạt động từ năm 2025; chưa có quy định chuyển tiếp giữa hai kênh.</w:t>
            </w:r>
          </w:p>
        </w:tc>
        <w:tc>
          <w:tcPr>
            <w:tcW w:type="dxa" w:w="1984"/>
          </w:tcPr>
          <w:p>
            <w:pPr>
              <w:spacing w:after="20"/>
            </w:pPr>
            <w:r/>
            <w:r>
              <w:rPr>
                <w:b w:val="0"/>
                <w:sz w:val="19"/>
              </w:rPr>
              <w:t>Góp ý mục 3: Điều 35, Điều 38 và các biểu mẫu Quyết định 213; Điều 10, Điều 11 Quyết định 217; Góp ý mục 1: phân biệt quy định, thực hiện, thống kê, nhận định; không suy chưa thấy thành không có; Góp ý mục 7: thống kê, phễu sở hữu công nghiệp, năm theo loại dữ liệu, giảm khẳng định nhân quả</w:t>
            </w:r>
          </w:p>
        </w:tc>
      </w:tr>
      <w:tr>
        <w:tc>
          <w:tcPr>
            <w:tcW w:type="dxa" w:w="567"/>
          </w:tcPr>
          <w:p>
            <w:pPr>
              <w:spacing w:after="20"/>
            </w:pPr>
            <w:r/>
            <w:r>
              <w:rPr>
                <w:b w:val="0"/>
                <w:sz w:val="19"/>
              </w:rPr>
              <w:t>30</w:t>
            </w:r>
          </w:p>
        </w:tc>
        <w:tc>
          <w:tcPr>
            <w:tcW w:type="dxa" w:w="2041"/>
          </w:tcPr>
          <w:p>
            <w:pPr>
              <w:spacing w:after="20"/>
            </w:pPr>
            <w:r/>
            <w:r>
              <w:rPr>
                <w:b w:val="0"/>
                <w:sz w:val="19"/>
              </w:rPr>
              <w:t>Chương 2; 2.2.3. Nguồn lực tài chính và cơ chế khuyến khích, đoạn 7</w:t>
            </w:r>
          </w:p>
        </w:tc>
        <w:tc>
          <w:tcPr>
            <w:tcW w:type="dxa" w:w="5102"/>
          </w:tcPr>
          <w:p>
            <w:pPr>
              <w:spacing w:after="20"/>
            </w:pPr>
            <w:r/>
            <w:r>
              <w:rPr>
                <w:b w:val="0"/>
                <w:sz w:val="19"/>
              </w:rPr>
              <w:t>Hình 2.4 cho thấy cơ chế cấp kinh phí đề tài cấp cơ sở thay đổi sau năm 2022: toàn bộ 6 đề tài năm 2021 và 7 trên 10 đề tài năm 2022 chỉ được quy đổi giờ nghiên cứu; từ năm 2023, phần lớn đề tài được cấp tiền và tổng kinh phí đạt 145 triệu đồng năm 2025. Mức cấp phân tán mạnh, trung vị 8,5 triệu đồng, cao nhất 80 triệu đồng. Đáng chú ý, cả 11 đề tài có sản phẩm đủ điều kiện xác lập quyền đều thuộc nhóm 19 đề tài được cấp tiền và dùng 396,75 triệu đồng, tức 93,4% tổng kinh phí. Kinh phí bằng tiền là điều kiện cần để tạo ra sản phẩm có thể bảo hộ, nhưng chỉ đủ tạo ra sản phẩm, không có phần cho bước đăng ký.</w:t>
            </w:r>
          </w:p>
        </w:tc>
        <w:tc>
          <w:tcPr>
            <w:tcW w:type="dxa" w:w="5102"/>
          </w:tcPr>
          <w:p>
            <w:pPr>
              <w:spacing w:after="20"/>
            </w:pPr>
            <w:r/>
            <w:r>
              <w:rPr>
                <w:b w:val="0"/>
                <w:sz w:val="19"/>
              </w:rPr>
              <w:t>Hình 2.4 cho thấy cơ chế cấp kinh phí đề tài cấp cơ sở thay đổi sau năm 2022: toàn bộ 6 đề tài mã số 2021 và 7 trên 10 đề tài mã số 2022 chỉ được quy đổi giờ nghiên cứu; từ năm 2023, phần lớn đề tài được cấp tiền và tổng kinh phí đạt 145 triệu đồng năm 2025. Mức cấp phân tán mạnh, trung vị 8,5 triệu đồng, cao nhất 80 triệu đồng. Cả 11 đề tài có sản phẩm tiềm năng đều thuộc nhóm 19 đề tài được cấp tiền và dùng 396,75 triệu đồng, tức 93,4% tổng kinh phí. Mối liên hệ này phù hợp với đặc điểm của các sản phẩm thực nghiệm, chủ yếu ở lĩnh vực dược, cần kinh phí vật tư; dữ liệu không đủ để kết luận kinh phí bằng tiền là nguyên nhân tạo ra sản phẩm. Hồ sơ hiện có cũng không cho biết dự toán của các đề tài này có khoản dành cho bước đăng ký hay không.</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31</w:t>
            </w:r>
          </w:p>
        </w:tc>
        <w:tc>
          <w:tcPr>
            <w:tcW w:type="dxa" w:w="2041"/>
          </w:tcPr>
          <w:p>
            <w:pPr>
              <w:spacing w:after="20"/>
            </w:pPr>
            <w:r/>
            <w:r>
              <w:rPr>
                <w:b w:val="0"/>
                <w:sz w:val="19"/>
              </w:rPr>
              <w:t>Chương 2; 2.2.3. Nguồn lực tài chính và cơ chế khuyến khích, đoạn 8</w:t>
            </w:r>
          </w:p>
        </w:tc>
        <w:tc>
          <w:tcPr>
            <w:tcW w:type="dxa" w:w="5102"/>
          </w:tcPr>
          <w:p>
            <w:pPr>
              <w:spacing w:after="20"/>
            </w:pPr>
            <w:r/>
            <w:r>
              <w:rPr>
                <w:b w:val="0"/>
                <w:sz w:val="19"/>
              </w:rPr>
              <w:t>Về khuyến khích, Quy chế chi tiêu nội bộ năm 2026 quy định kinh phí xét duyệt không quá 50 triệu đồng cho đề tài có đăng ký sở hữu trí tuệ và quy đổi giờ nghiên cứu cho văn bằng, với điều kiện đã có chứng nhận đăng ký thành công. Định mức này được đặt cạnh chế độ dành cho công bố tại hình dưới đây.</w:t>
            </w:r>
          </w:p>
        </w:tc>
        <w:tc>
          <w:tcPr>
            <w:tcW w:type="dxa" w:w="5102"/>
          </w:tcPr>
          <w:p>
            <w:pPr>
              <w:spacing w:after="20"/>
            </w:pPr>
            <w:r/>
            <w:r>
              <w:rPr>
                <w:b w:val="0"/>
                <w:sz w:val="19"/>
              </w:rPr>
              <w:t>Về khuyến khích, Quy chế chi tiêu nội bộ ban hành ngày 01 tháng 8 năm 2026 quy định kinh phí xét duyệt không quá 50 triệu đồng cho đề tài có đăng ký sở hữu trí tuệ và quy đổi giờ nghiên cứu cho văn bằng, với điều kiện đã có chứng nhận đăng ký thành công. Vì quy chế này ban hành sau kỳ đánh giá, phân tích dưới đây mô tả cơ chế hiện hành và có ý nghĩa đối với giai đoạn tới; định mức được đặt cạnh chế độ dành cho công bố tại hình dưới đây.</w:t>
            </w:r>
          </w:p>
        </w:tc>
        <w:tc>
          <w:tcPr>
            <w:tcW w:type="dxa" w:w="1984"/>
          </w:tcPr>
          <w:p>
            <w:pPr>
              <w:spacing w:after="20"/>
            </w:pPr>
            <w:r/>
            <w:r>
              <w:rPr>
                <w:b w:val="0"/>
                <w:sz w:val="19"/>
              </w:rPr>
              <w:t>Góp ý mục 7: không dùng quy định năm 2026 để giải thích kết quả 2021 - 2025</w:t>
            </w:r>
          </w:p>
        </w:tc>
      </w:tr>
      <w:tr>
        <w:tc>
          <w:tcPr>
            <w:tcW w:type="dxa" w:w="567"/>
          </w:tcPr>
          <w:p>
            <w:pPr>
              <w:spacing w:after="20"/>
            </w:pPr>
            <w:r/>
            <w:r>
              <w:rPr>
                <w:b w:val="0"/>
                <w:sz w:val="19"/>
              </w:rPr>
              <w:t>32</w:t>
            </w:r>
          </w:p>
        </w:tc>
        <w:tc>
          <w:tcPr>
            <w:tcW w:type="dxa" w:w="2041"/>
          </w:tcPr>
          <w:p>
            <w:pPr>
              <w:spacing w:after="20"/>
            </w:pPr>
            <w:r/>
            <w:r>
              <w:rPr>
                <w:b w:val="0"/>
                <w:sz w:val="19"/>
              </w:rPr>
              <w:t>Chương 2; 2.2.3. Nguồn lực tài chính và cơ chế khuyến khích, đoạn 11</w:t>
            </w:r>
          </w:p>
        </w:tc>
        <w:tc>
          <w:tcPr>
            <w:tcW w:type="dxa" w:w="5102"/>
          </w:tcPr>
          <w:p>
            <w:pPr>
              <w:spacing w:after="20"/>
            </w:pPr>
            <w:r/>
            <w:r>
              <w:rPr>
                <w:b w:val="0"/>
                <w:sz w:val="19"/>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thường từ hai đến ba năm sau khi nộp đơn. Với cùng một kết quả nghiên cứu, lựa chọn hợp lý của giảng viên là công bố trước. Theo khoản 3 và khoản 4 Điều 60 Luật Sở hữu trí tuệ, đơn phải được nộp trong thời hạn mười hai tháng kể từ ngày bộc lộ thì sáng chế mới không bị coi là mất tính mới. Cấu trúc khuyến khích này phù hợp với việc công bố tăng mạnh trong khi đơn đăng ký hầu như vắng mặt.</w:t>
            </w:r>
          </w:p>
        </w:tc>
        <w:tc>
          <w:tcPr>
            <w:tcW w:type="dxa" w:w="5102"/>
          </w:tcPr>
          <w:p>
            <w:pPr>
              <w:spacing w:after="20"/>
            </w:pPr>
            <w:r/>
            <w:r>
              <w:rPr>
                <w:b w:val="0"/>
                <w:sz w:val="19"/>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tức sau các giai đoạn thẩm định hình thức, công bố đơn và thẩm định nội dung theo Điều 119 Luật Sở hữu trí tuệ. Với cơ chế này, công bố trước là lựa chọn có lợi hơn về thời gian ghi nhận đối với giảng viên. Theo khoản 3 và khoản 4 Điều 60 Luật Sở hữu trí tuệ, đơn phải được nộp trong thời hạn mười hai tháng kể từ ngày bộc lộ thì sáng chế mới không bị coi là mất tính mới. Cấu trúc khuyến khích này vì vậy là một rủi ro cần xử lý cho giai đoạn tới; do quy chế chi tiêu áp dụng giai đoạn 2021 - 2025 chưa có trong hồ sơ, Đề tài không dùng cơ chế năm 2026 để giải thích kết quả của kỳ đánh giá.</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33</w:t>
            </w:r>
          </w:p>
        </w:tc>
        <w:tc>
          <w:tcPr>
            <w:tcW w:type="dxa" w:w="2041"/>
          </w:tcPr>
          <w:p>
            <w:pPr>
              <w:spacing w:after="20"/>
            </w:pPr>
            <w:r/>
            <w:r>
              <w:rPr>
                <w:b w:val="0"/>
                <w:sz w:val="19"/>
              </w:rPr>
              <w:t>Chương 2; 2.2.4. Hệ thống dữ liệu phục vụ quản lý, đoạn 1</w:t>
            </w:r>
          </w:p>
        </w:tc>
        <w:tc>
          <w:tcPr>
            <w:tcW w:type="dxa" w:w="5102"/>
          </w:tcPr>
          <w:p>
            <w:pPr>
              <w:spacing w:after="20"/>
            </w:pPr>
            <w:r/>
            <w:r>
              <w:rPr>
                <w:b w:val="0"/>
                <w:sz w:val="19"/>
              </w:rPr>
              <w:t>Hệ thống thống kê của Phòng Khoa học Công nghệ chỉ theo dõi bài báo, sách, giáo trình, đề tài và tham luận; không có danh mục nào theo dõi tài sản trí tuệ đã đăng ký hoặc được cấp văn bằng, dù Điều 11 Quyết định 217 giao Phòng nhiệm vụ này. Danh mục tài sản trí tuệ hiện có do bộ phận quản trị thương hiệu lập và không liên kết với các danh mục trên. Mức độ khai báo trong hồ sơ nghiệm thu thấp: 26 trên 38 đề tài khai tổng cộng 32 công bố, trong khi phép so khớp gắn được 107 bài báo với các đề tài, tức độ phủ khoảng 29,9%. Nếu bài báo, loại sản phẩm dễ nhận diện nhất, còn khai thiếu thì công thức, quy trình càng ít khả năng được ghi nhận. Dữ liệu cũng chưa chuẩn hóa: tên đơn vị ghi nhiều cách, danh mục bài báo không có trường đơn vị, biểu mẫu giáo trình năm 2021 khác các năm sau.</w:t>
            </w:r>
          </w:p>
        </w:tc>
        <w:tc>
          <w:tcPr>
            <w:tcW w:type="dxa" w:w="5102"/>
          </w:tcPr>
          <w:p>
            <w:pPr>
              <w:spacing w:after="20"/>
            </w:pPr>
            <w:r/>
            <w:r>
              <w:rPr>
                <w:b w:val="0"/>
                <w:sz w:val="19"/>
              </w:rPr>
              <w:t>Trong các danh mục thống kê của Phòng Khoa học Công nghệ mà Đề tài tiếp cận, gồm bài báo, sách, giáo trình, đề tài và tham luận, chưa có danh mục theo dõi tài sản trí tuệ đã đăng ký hoặc được cấp văn bằng, trong khi Điều 11 Quyết định 217 giao Phòng lập hồ sơ thống kê, theo dõi. Danh mục tài sản trí tuệ hiện có là tệp theo dõi đơn và văn bằng gồm hai bảng chưa thống nhất về trạng thái của 5 kiểu dáng công nghiệp, và không liên kết với danh mục đề tài. Hồ sơ nghiệm thu cho thấy 26 trên 38 đề tài khai tổng cộng 32 công bố; do danh mục bài báo không ghi mã đề tài, chưa thể xác định số bài báo thực sự phát sinh từ đề tài để đánh giá mức độ khai báo. Dữ liệu cũng chưa chuẩn hóa: tên đơn vị ghi nhiều cách, danh mục bài báo không có trường đơn vị, biểu mẫu giáo trình năm 2021 khác các năm sau, và năm của một đề tài có thể là năm ghi trong mã số, năm phê duyệt hoặc năm nghiệm thu.</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34</w:t>
            </w:r>
          </w:p>
        </w:tc>
        <w:tc>
          <w:tcPr>
            <w:tcW w:type="dxa" w:w="2041"/>
          </w:tcPr>
          <w:p>
            <w:pPr>
              <w:spacing w:after="20"/>
            </w:pPr>
            <w:r/>
            <w:r>
              <w:rPr>
                <w:b w:val="0"/>
                <w:sz w:val="19"/>
              </w:rPr>
              <w:t>Chương 2; 2.2.4. Hệ thống dữ liệu phục vụ quản lý, đoạn 4</w:t>
            </w:r>
          </w:p>
        </w:tc>
        <w:tc>
          <w:tcPr>
            <w:tcW w:type="dxa" w:w="5102"/>
          </w:tcPr>
          <w:p>
            <w:pPr>
              <w:spacing w:after="20"/>
            </w:pPr>
            <w:r/>
            <w:r>
              <w:rPr>
                <w:b w:val="0"/>
                <w:sz w:val="19"/>
              </w:rPr>
              <w:t>Hình 2.6 lượng hóa hệ quả: trong 16 tiêu chí đánh giá hiệu quả quản lý quyền sở hữu trí tuệ xây dựng tại Mục 1.4.2, chỉ 5 tiêu chí tính được đầy đủ, 4 tiêu chí tính được một phần và 7 tiêu chí chưa tính được; nhóm kết quả không có tiêu chí nào tính được đầy đủ. Nhà trường đo được đã xác lập bao nhiêu quyền nhưng chưa đo được quyền mang lại giá trị gì. Đây lại là nhóm thông tin phải công khai theo điểm đ khoản 3 Điều 28 Luật Giáo dục đại học số 125/2025/QH15.</w:t>
            </w:r>
          </w:p>
        </w:tc>
        <w:tc>
          <w:tcPr>
            <w:tcW w:type="dxa" w:w="5102"/>
          </w:tcPr>
          <w:p>
            <w:pPr>
              <w:spacing w:after="20"/>
            </w:pPr>
            <w:r/>
            <w:r>
              <w:rPr>
                <w:b w:val="0"/>
                <w:sz w:val="19"/>
              </w:rPr>
              <w:t>Hình 2.6 lượng hóa hệ quả: trong 16 tiêu chí đánh giá hiệu quả quản lý quyền sở hữu trí tuệ xây dựng tại Mục 1.4.2, chỉ 4 tiêu chí tính được đầy đủ, 5 tiêu chí tính được một phần và 7 tiêu chí chưa tính được; nhóm kết quả không có tiêu chí nào tính được đầy đủ. Nhà trường đo được số đơn và giấy chứng nhận đã có nhưng chưa đo được giá trị mà các quyền mang lại. Từ năm 2026, đây là nhóm thông tin phải công khai theo điểm đ khoản 3 Điều 28 Luật Giáo dục đại học số 125/2025/QH15.</w:t>
            </w:r>
          </w:p>
        </w:tc>
        <w:tc>
          <w:tcPr>
            <w:tcW w:type="dxa" w:w="1984"/>
          </w:tcPr>
          <w:p>
            <w:pPr>
              <w:spacing w:after="20"/>
            </w:pPr>
            <w:r/>
            <w:r>
              <w:rPr>
                <w:b w:val="0"/>
                <w:sz w:val="19"/>
              </w:rPr>
              <w:t>Góp ý mục 3: Điều 35, Điều 38 và các biểu mẫu Quyết định 213; Điều 10, Điều 11 Quyết định 217; Góp ý mục 5: Theo dõi đơn nhãn hiệu và KDCN.xlsx, Sheet1 và Sheet2; quyền tác giả chưa đăng ký không có nghĩa là chưa có quyền</w:t>
            </w:r>
          </w:p>
        </w:tc>
      </w:tr>
      <w:tr>
        <w:tc>
          <w:tcPr>
            <w:tcW w:type="dxa" w:w="567"/>
          </w:tcPr>
          <w:p>
            <w:pPr>
              <w:spacing w:after="20"/>
            </w:pPr>
            <w:r/>
            <w:r>
              <w:rPr>
                <w:b w:val="0"/>
                <w:sz w:val="19"/>
              </w:rPr>
              <w:t>35</w:t>
            </w:r>
          </w:p>
        </w:tc>
        <w:tc>
          <w:tcPr>
            <w:tcW w:type="dxa" w:w="2041"/>
          </w:tcPr>
          <w:p>
            <w:pPr>
              <w:spacing w:after="20"/>
            </w:pPr>
            <w:r/>
            <w:r>
              <w:rPr>
                <w:b w:val="0"/>
                <w:sz w:val="19"/>
              </w:rPr>
              <w:t>Chương 2; 2.3.1. Đối sánh giữa quy định pháp luật, quy chế nội bộ và t, đoạn 3</w:t>
            </w:r>
          </w:p>
        </w:tc>
        <w:tc>
          <w:tcPr>
            <w:tcW w:type="dxa" w:w="5102"/>
          </w:tcPr>
          <w:p>
            <w:pPr>
              <w:spacing w:after="20"/>
            </w:pPr>
            <w:r/>
            <w:r>
              <w:rPr>
                <w:b w:val="0"/>
                <w:sz w:val="19"/>
              </w:rPr>
              <w:t>Nguồn: Nhóm nghiên cứu tổng hợp từ Luật Sở hữu trí tuệ, Quyết định 213, Quyết định 217 và các danh mục của Trường Đại học Thành Đô. Bảng không liệt kê quyền liên quan, thiết kế bố trí, chỉ dẫn địa lý và giống cây trồng do chưa phát sinh hoặc không thuộc phạm vi hoạt động của Nhà trường.</w:t>
            </w:r>
          </w:p>
        </w:tc>
        <w:tc>
          <w:tcPr>
            <w:tcW w:type="dxa" w:w="5102"/>
          </w:tcPr>
          <w:p>
            <w:pPr>
              <w:spacing w:after="20"/>
            </w:pPr>
            <w:r/>
            <w:r>
              <w:rPr>
                <w:b w:val="0"/>
                <w:sz w:val="19"/>
              </w:rPr>
              <w:t>Nguồn: Nhóm nghiên cứu tổng hợp từ Luật Sở hữu trí tuệ, Quyết định 213, Quyết định 217 và các danh mục của Trường Đại học Thành Đô. Quyền tác giả phát sinh khi tác phẩm được định hình; chưa đăng ký không có nghĩa là chưa có quyền. Bảng không liệt kê quyền liên quan, thiết kế bố trí, chỉ dẫn địa lý và giống cây trồng do chưa phát sinh hoặc không thuộc phạm vi hoạt động của Nhà trường.</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36</w:t>
            </w:r>
          </w:p>
        </w:tc>
        <w:tc>
          <w:tcPr>
            <w:tcW w:type="dxa" w:w="2041"/>
          </w:tcPr>
          <w:p>
            <w:pPr>
              <w:spacing w:after="20"/>
            </w:pPr>
            <w:r/>
            <w:r>
              <w:rPr>
                <w:b w:val="0"/>
                <w:sz w:val="19"/>
              </w:rPr>
              <w:t>Chương 2; 2.3.1. Đối sánh giữa quy định pháp luật, quy chế nội bộ và t, đoạn 4</w:t>
            </w:r>
          </w:p>
        </w:tc>
        <w:tc>
          <w:tcPr>
            <w:tcW w:type="dxa" w:w="5102"/>
          </w:tcPr>
          <w:p>
            <w:pPr>
              <w:spacing w:after="20"/>
            </w:pPr>
            <w:r/>
            <w:r>
              <w:rPr>
                <w:b w:val="0"/>
                <w:sz w:val="19"/>
              </w:rPr>
              <w:t>Bảng 2.5 cho thấy Nhà trường phát sinh tài sản ở nhiều nhóm đối tượng nhưng mới xác lập quyền ở bốn nhóm, trong đó ba nhóm đã có văn bằng. Giải pháp hữu ích và sưu tập dữ liệu, hai nhóm mà sản phẩm đề tài cấp cơ sở rơi vào nhiều nhất, đều đã có trong quy chế nhưng chưa sản phẩm nào được xác lập quyền; giáo trình, nhóm có khả năng khai thác trong đào tạo, chưa được đăng ký quyền tác giả. Khoảng trống vì vậy nằm ở khâu nhận diện, không nằm ở phạm vi văn bản.</w:t>
            </w:r>
          </w:p>
        </w:tc>
        <w:tc>
          <w:tcPr>
            <w:tcW w:type="dxa" w:w="5102"/>
          </w:tcPr>
          <w:p>
            <w:pPr>
              <w:spacing w:after="20"/>
            </w:pPr>
            <w:r/>
            <w:r>
              <w:rPr>
                <w:b w:val="0"/>
                <w:sz w:val="19"/>
              </w:rPr>
              <w:t>Bảng 2.5 cho thấy Nhà trường phát sinh tài sản ở nhiều nhóm đối tượng nhưng mới có văn bằng, giấy chứng nhận hoặc đơn ở bốn nhóm. Giải pháp hữu ích và sưu tập dữ liệu, hai nhóm mà sản phẩm đề tài cấp cơ sở có tiềm năng nhiều nhất, đều đã có trong quy chế nhưng chưa có hồ sơ đăng ký. Giáo trình chưa được đăng ký quyền tác giả; quyền tác giả phát sinh từ khi tác phẩm được định hình, còn giấy chứng nhận đăng ký là chứng cứ phục vụ quản lý, chuyển giao và giải quyết tranh chấp. Khoảng trống vì vậy nằm ở khâu nhận diện và sàng lọc, không nằm ở phạm vi văn bản.</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37</w:t>
            </w:r>
          </w:p>
        </w:tc>
        <w:tc>
          <w:tcPr>
            <w:tcW w:type="dxa" w:w="2041"/>
          </w:tcPr>
          <w:p>
            <w:pPr>
              <w:spacing w:after="20"/>
            </w:pPr>
            <w:r/>
            <w:r>
              <w:rPr>
                <w:b w:val="0"/>
                <w:sz w:val="19"/>
              </w:rPr>
              <w:t>Chương 2; 2.3.2. Tài sản trí tuệ đã được xác lập quyền và đang xử lý, tên mục</w:t>
            </w:r>
          </w:p>
        </w:tc>
        <w:tc>
          <w:tcPr>
            <w:tcW w:type="dxa" w:w="5102"/>
          </w:tcPr>
          <w:p>
            <w:pPr>
              <w:spacing w:after="20"/>
            </w:pPr>
            <w:r/>
            <w:r>
              <w:rPr>
                <w:b w:val="0"/>
                <w:sz w:val="19"/>
              </w:rPr>
              <w:t>2.3.2. Tài sản trí tuệ đã được xác lập quyền</w:t>
            </w:r>
          </w:p>
        </w:tc>
        <w:tc>
          <w:tcPr>
            <w:tcW w:type="dxa" w:w="5102"/>
          </w:tcPr>
          <w:p>
            <w:pPr>
              <w:spacing w:after="20"/>
            </w:pPr>
            <w:r/>
            <w:r>
              <w:rPr>
                <w:b w:val="0"/>
                <w:sz w:val="19"/>
              </w:rPr>
              <w:t>2.3.2. Tài sản trí tuệ đã được xác lập quyền và đang xử lý</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38</w:t>
            </w:r>
          </w:p>
        </w:tc>
        <w:tc>
          <w:tcPr>
            <w:tcW w:type="dxa" w:w="2041"/>
          </w:tcPr>
          <w:p>
            <w:pPr>
              <w:spacing w:after="20"/>
            </w:pPr>
            <w:r/>
            <w:r>
              <w:rPr>
                <w:b w:val="0"/>
                <w:sz w:val="19"/>
              </w:rPr>
              <w:t>Chương 2; 2.3.2. Tài sản trí tuệ đã được xác lập quyền và đang xử lý, đoạn 1</w:t>
            </w:r>
          </w:p>
        </w:tc>
        <w:tc>
          <w:tcPr>
            <w:tcW w:type="dxa" w:w="5102"/>
          </w:tcPr>
          <w:p>
            <w:pPr>
              <w:spacing w:after="20"/>
            </w:pPr>
            <w:r/>
            <w:r>
              <w:rPr>
                <w:b w:val="0"/>
                <w:sz w:val="19"/>
              </w:rPr>
              <w:t>Đến thời điểm nghiên cứu, Nhà trường sở hữu 12 tài sản trí tuệ đã được xác lập quyền hoặc đang xử lý đơn, được liệt kê tại Bảng 2.6.</w:t>
            </w:r>
          </w:p>
        </w:tc>
        <w:tc>
          <w:tcPr>
            <w:tcW w:type="dxa" w:w="5102"/>
          </w:tcPr>
          <w:p>
            <w:pPr>
              <w:spacing w:after="20"/>
            </w:pPr>
            <w:r/>
            <w:r>
              <w:rPr>
                <w:b w:val="0"/>
                <w:sz w:val="19"/>
              </w:rPr>
              <w:t>Tệp theo dõi đơn và văn bằng ghi nhận 11 hồ sơ tài sản trí tuệ thuộc sở hữu hoặc đồng sở hữu của Nhà trường phát sinh trong kỳ 2021 - 2025 và 1 đơn sáng chế nộp năm 2026, được liệt kê tại Bảng 2.6 theo bốn nhóm trạng thái thống nhất: đã nộp đơn, đã chấp nhận đơn hợp lệ, đã cấp văn bằng hoặc giấy chứng nhận, và chưa xác minh.</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39</w:t>
            </w:r>
          </w:p>
        </w:tc>
        <w:tc>
          <w:tcPr>
            <w:tcW w:type="dxa" w:w="2041"/>
          </w:tcPr>
          <w:p>
            <w:pPr>
              <w:spacing w:after="20"/>
            </w:pPr>
            <w:r/>
            <w:r>
              <w:rPr>
                <w:b w:val="0"/>
                <w:sz w:val="19"/>
              </w:rPr>
              <w:t>Chương 2; 2.3.2. Tài sản trí tuệ đã được xác lập quyền và đang xử lý, đoạn 2</w:t>
            </w:r>
          </w:p>
        </w:tc>
        <w:tc>
          <w:tcPr>
            <w:tcW w:type="dxa" w:w="5102"/>
          </w:tcPr>
          <w:p>
            <w:pPr>
              <w:spacing w:after="20"/>
            </w:pPr>
            <w:r/>
            <w:r>
              <w:rPr>
                <w:b w:val="0"/>
                <w:sz w:val="19"/>
              </w:rPr>
              <w:t>Bảng 2.6. Tài sản trí tuệ thuộc sở hữu của Trường Đại học Thành Đô</w:t>
            </w:r>
          </w:p>
        </w:tc>
        <w:tc>
          <w:tcPr>
            <w:tcW w:type="dxa" w:w="5102"/>
          </w:tcPr>
          <w:p>
            <w:pPr>
              <w:spacing w:after="20"/>
            </w:pPr>
            <w:r/>
            <w:r>
              <w:rPr>
                <w:b w:val="0"/>
                <w:sz w:val="19"/>
              </w:rPr>
              <w:t>Bảng 2.6. Hồ sơ tài sản trí tuệ thuộc sở hữu hoặc đồng sở hữu của Trường Đại học Thành Đô</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40</w:t>
            </w:r>
          </w:p>
        </w:tc>
        <w:tc>
          <w:tcPr>
            <w:tcW w:type="dxa" w:w="2041"/>
          </w:tcPr>
          <w:p>
            <w:pPr>
              <w:spacing w:after="20"/>
            </w:pPr>
            <w:r/>
            <w:r>
              <w:rPr>
                <w:b w:val="0"/>
                <w:sz w:val="19"/>
              </w:rPr>
              <w:t>Chương 2; 2.3.2. Tài sản trí tuệ đã được xác lập quyền và đang xử lý, đoạn 3</w:t>
            </w:r>
          </w:p>
        </w:tc>
        <w:tc>
          <w:tcPr>
            <w:tcW w:type="dxa" w:w="5102"/>
          </w:tcPr>
          <w:p>
            <w:pPr>
              <w:spacing w:after="20"/>
            </w:pPr>
            <w:r/>
            <w:r>
              <w:rPr>
                <w:b w:val="0"/>
                <w:sz w:val="19"/>
              </w:rPr>
              <w:t>Nguồn: Nhóm nghiên cứu tổng hợp từ danh mục theo dõi đơn nhãn hiệu, kiểu dáng công nghiệp và thống kê văn bằng của Trường Đại học Thành Đô. Năm là năm cấp văn bằng hoặc năm nộp đơn đối với hồ sơ đang xử lý; danh mục chưa ghi số đơn của hai sáng chế.</w:t>
            </w:r>
          </w:p>
        </w:tc>
        <w:tc>
          <w:tcPr>
            <w:tcW w:type="dxa" w:w="5102"/>
          </w:tcPr>
          <w:p>
            <w:pPr>
              <w:spacing w:after="20"/>
            </w:pPr>
            <w:r/>
            <w:r>
              <w:rPr>
                <w:b w:val="0"/>
                <w:sz w:val="19"/>
              </w:rPr>
              <w:t>Nguồn: Nhóm nghiên cứu tổng hợp từ tệp theo dõi đơn nhãn hiệu, kiểu dáng công nghiệp và thống kê văn bằng của Trường Đại học Thành Đô. Năm là năm cấp văn bằng, giấy chứng nhận đối với hồ sơ đã cấp và năm nộp đơn đối với hồ sơ đã nộp đơn; năm của 5 kiểu dáng ghi theo bảng thống kê văn bằng. Năm kiểu dáng có số hiệu văn bằng tại bảng thống kê văn bằng nhưng được ghi chờ cấp bằng tại bảng theo dõi đơn nên được xếp nhóm chưa xác minh. Bảng theo dõi đơn có một dòng sáng chế ghi chấp nhận đơn hợp lệ nhưng không ghi số đơn nên chưa gán được cho hồ sơ nào. Hồ sơ số 12 nộp năm 2026, ngoài kỳ đánh giá. Không gồm tài sản của pháp nhân UNIGO và của cá nhân.</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41</w:t>
            </w:r>
          </w:p>
        </w:tc>
        <w:tc>
          <w:tcPr>
            <w:tcW w:type="dxa" w:w="2041"/>
          </w:tcPr>
          <w:p>
            <w:pPr>
              <w:spacing w:after="20"/>
            </w:pPr>
            <w:r/>
            <w:r>
              <w:rPr>
                <w:b w:val="0"/>
                <w:sz w:val="19"/>
              </w:rPr>
              <w:t>Chương 2; 2.3.2. Tài sản trí tuệ đã được xác lập quyền và đang xử lý, đoạn 4</w:t>
            </w:r>
          </w:p>
        </w:tc>
        <w:tc>
          <w:tcPr>
            <w:tcW w:type="dxa" w:w="5102"/>
          </w:tcPr>
          <w:p>
            <w:pPr>
              <w:spacing w:after="20"/>
            </w:pPr>
            <w:r/>
            <w:r>
              <w:rPr>
                <w:b w:val="0"/>
                <w:sz w:val="19"/>
              </w:rPr>
              <w:t>Hình 2.7. Tài sản trí tuệ của Nhà trường theo loại hình và tình trạng pháp lý</w:t>
            </w:r>
          </w:p>
        </w:tc>
        <w:tc>
          <w:tcPr>
            <w:tcW w:type="dxa" w:w="5102"/>
          </w:tcPr>
          <w:p>
            <w:pPr>
              <w:spacing w:after="20"/>
            </w:pPr>
            <w:r/>
            <w:r>
              <w:rPr>
                <w:b w:val="0"/>
                <w:sz w:val="19"/>
              </w:rPr>
              <w:t>Hình 2.7. Hồ sơ tài sản trí tuệ của Nhà trường trong kỳ 2021 - 2025 theo loại hình và tình trạng pháp lý</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42</w:t>
            </w:r>
          </w:p>
        </w:tc>
        <w:tc>
          <w:tcPr>
            <w:tcW w:type="dxa" w:w="2041"/>
          </w:tcPr>
          <w:p>
            <w:pPr>
              <w:spacing w:after="20"/>
            </w:pPr>
            <w:r/>
            <w:r>
              <w:rPr>
                <w:b w:val="0"/>
                <w:sz w:val="19"/>
              </w:rPr>
              <w:t>Chương 2; 2.3.2. Tài sản trí tuệ đã được xác lập quyền và đang xử lý, đoạn 5</w:t>
            </w:r>
          </w:p>
        </w:tc>
        <w:tc>
          <w:tcPr>
            <w:tcW w:type="dxa" w:w="5102"/>
          </w:tcPr>
          <w:p>
            <w:pPr>
              <w:spacing w:after="20"/>
            </w:pPr>
            <w:r/>
            <w:r>
              <w:rPr>
                <w:b w:val="0"/>
                <w:sz w:val="19"/>
              </w:rPr>
              <w:t>Nguồn: Nhóm nghiên cứu tổng hợp từ Bảng 2.6.</w:t>
            </w:r>
          </w:p>
        </w:tc>
        <w:tc>
          <w:tcPr>
            <w:tcW w:type="dxa" w:w="5102"/>
          </w:tcPr>
          <w:p>
            <w:pPr>
              <w:spacing w:after="20"/>
            </w:pPr>
            <w:r/>
            <w:r>
              <w:rPr>
                <w:b w:val="0"/>
                <w:sz w:val="19"/>
              </w:rPr>
              <w:t>Nguồn: Nhóm nghiên cứu tổng hợp từ Bảng 2.6. Không gồm đơn sáng chế nộp năm 2026. Nhóm chưa xác minh là 5 kiểu dáng công nghiệp có số hiệu văn bằng tại bảng thống kê văn bằng nhưng được ghi là chờ cấp bằng tại bảng theo dõi đơn.</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43</w:t>
            </w:r>
          </w:p>
        </w:tc>
        <w:tc>
          <w:tcPr>
            <w:tcW w:type="dxa" w:w="2041"/>
          </w:tcPr>
          <w:p>
            <w:pPr>
              <w:spacing w:after="20"/>
            </w:pPr>
            <w:r/>
            <w:r>
              <w:rPr>
                <w:b w:val="0"/>
                <w:sz w:val="19"/>
              </w:rPr>
              <w:t>Chương 2; 2.3.2. Tài sản trí tuệ đã được xác lập quyền và đang xử lý, đoạn 6</w:t>
            </w:r>
          </w:p>
        </w:tc>
        <w:tc>
          <w:tcPr>
            <w:tcW w:type="dxa" w:w="5102"/>
          </w:tcPr>
          <w:p>
            <w:pPr>
              <w:spacing w:after="20"/>
            </w:pPr>
            <w:r/>
            <w:r>
              <w:rPr>
                <w:b w:val="0"/>
                <w:sz w:val="19"/>
              </w:rPr>
              <w:t>Bảng 2.6 và Hình 2.7 cho thấy danh mục hình thành từ ba luồng. Luồng thương hiệu gồm 4 tài sản, đều do Nhà trường đơn sở hữu và đều đã có văn bằng. Luồng hợp tác doanh nghiệp gồm 5 kiểu dáng công nghiệp và 1 nhãn hiệu đồng sở hữu với một doanh nghiệp đối tác; đây là thành công nổi bật của chiến lược hợp tác đại học với doanh nghiệp mà Ban Giám hiệu đã dày công kết nối, riêng năm 2024 có 5 kiểu dáng được cấp, nâng số lũy kế từ 4 lên 9 tài sản. Luồng nghiên cứu đã có 2 đơn sáng chế nộp năm 2025 và 2026. Giai đoạn tới, Nhà trường có thể tận dụng đà hợp tác này để phát triển thêm các tài sản do chính Nhà trường đơn sở hữu từ kết quả nghiên cứu, nhất là công thức và quy trình, những đối tượng mà kiểu dáng công nghiệp chưa bảo hộ. Giải pháp hữu ích, loại hình phù hợp nhất với sản phẩm đề tài cấp cơ sở, là hướng phát triển còn bỏ ngỏ.</w:t>
            </w:r>
          </w:p>
        </w:tc>
        <w:tc>
          <w:tcPr>
            <w:tcW w:type="dxa" w:w="5102"/>
          </w:tcPr>
          <w:p>
            <w:pPr>
              <w:spacing w:after="20"/>
            </w:pPr>
            <w:r/>
            <w:r>
              <w:rPr>
                <w:b w:val="0"/>
                <w:sz w:val="19"/>
              </w:rPr>
              <w:t>Bảng 2.6 và Hình 2.7 cho thấy 11 hồ sơ trong kỳ hình thành từ ba luồng. Luồng thương hiệu gồm 4 tài sản do Nhà trường đơn sở hữu, đều đã được cấp văn bằng hoặc giấy chứng nhận: hai giấy chứng nhận quyền tác giả đối với bộ logo và hai văn bằng nhãn hiệu. Luồng hợp tác doanh nghiệp gồm 5 kiểu dáng công nghiệp và 1 đơn nhãn hiệu đồng sở hữu với một doanh nghiệp đối tác; đây là thành công nổi bật trong chiến lược hợp tác đại học với doanh nghiệp mà Ban Giám hiệu đã dày công kết nối. Năm kiểu dáng đã có số hiệu văn bằng tại bảng thống kê, nhưng trạng thái cần được xác nhận trước khi tính là văn bằng đã cấp. Luồng nghiên cứu có 1 đơn sáng chế nộp năm 2025 trong kỳ và 1 đơn nộp năm 2026. Như vậy, số văn bằng, giấy chứng nhận xác định được trong kỳ là 4; nếu 5 kiểu dáng được xác nhận, con số này là 9. Tổng số hồ sơ không được dùng như tổng số quyền đã được cấp.</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44</w:t>
            </w:r>
          </w:p>
        </w:tc>
        <w:tc>
          <w:tcPr>
            <w:tcW w:type="dxa" w:w="2041"/>
          </w:tcPr>
          <w:p>
            <w:pPr>
              <w:spacing w:after="20"/>
            </w:pPr>
            <w:r/>
            <w:r>
              <w:rPr>
                <w:b w:val="0"/>
                <w:sz w:val="19"/>
              </w:rPr>
              <w:t>Chương 2; 2.3.2. Tài sản trí tuệ đã được xác lập quyền và đang xử lý, đoạn 7</w:t>
            </w:r>
          </w:p>
        </w:tc>
        <w:tc>
          <w:tcPr>
            <w:tcW w:type="dxa" w:w="5102"/>
          </w:tcPr>
          <w:p>
            <w:pPr>
              <w:spacing w:after="20"/>
            </w:pPr>
            <w:r/>
            <w:r>
              <w:rPr>
                <w:b w:val="0"/>
                <w:sz w:val="19"/>
              </w:rPr>
              <w:t>Về bảo vệ quyền, giai đoạn nghiên cứu không ghi nhận tranh chấp, khiếu nại hay xử lý xâm phạm liên quan đến Nhà trường, phù hợp với quy mô tài sản nhỏ và mức khai thác hạn chế. Thời hạn văn bằng được theo dõi trong bảng do bộ phận quản trị thương hiệu lập; do 5 kiểu dáng được cấp cùng năm 2024, việc gia hạn sẽ dồn vào cùng một thời điểm nên cần được đưa vào sổ theo dõi thống nhất.</w:t>
            </w:r>
          </w:p>
        </w:tc>
        <w:tc>
          <w:tcPr>
            <w:tcW w:type="dxa" w:w="5102"/>
          </w:tcPr>
          <w:p>
            <w:pPr>
              <w:spacing w:after="20"/>
            </w:pPr>
            <w:r/>
            <w:r>
              <w:rPr>
                <w:b w:val="0"/>
                <w:sz w:val="19"/>
              </w:rPr>
              <w:t>Giai đoạn tới, Nhà trường có thể tận dụng đà hợp tác này để phát triển thêm tài sản do chính Nhà trường đơn sở hữu từ kết quả nghiên cứu, nhất là công thức và quy trình, những đối tượng mà kiểu dáng công nghiệp không bảo hộ. Giải pháp hữu ích, loại hình phù hợp với nhiều sản phẩm đề tài cấp cơ sở, chưa có hồ sơ nào. Về bảo vệ quyền, hồ sơ Đề tài tiếp cận không ghi nhận tranh chấp, khiếu nại hay xử lý xâm phạm liên quan đến Nhà trường; điều này chưa đủ để kết luận không có hành vi xâm phạm, vì Nhà trường chưa có cơ chế theo dõi xâm phạm. Nếu 5 kiểu dáng được xác nhận cấp cùng năm, thời hạn gia hạn sẽ trùng nhau, nên cần được đưa vào sổ theo dõi thống nhất.</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1: phân biệt quy định, thực hiện, thống kê, nhận định; không suy chưa thấy thành không có</w:t>
            </w:r>
          </w:p>
        </w:tc>
      </w:tr>
      <w:tr>
        <w:tc>
          <w:tcPr>
            <w:tcW w:type="dxa" w:w="567"/>
          </w:tcPr>
          <w:p>
            <w:pPr>
              <w:spacing w:after="20"/>
            </w:pPr>
            <w:r/>
            <w:r>
              <w:rPr>
                <w:b w:val="0"/>
                <w:sz w:val="19"/>
              </w:rPr>
              <w:t>45</w:t>
            </w:r>
          </w:p>
        </w:tc>
        <w:tc>
          <w:tcPr>
            <w:tcW w:type="dxa" w:w="2041"/>
          </w:tcPr>
          <w:p>
            <w:pPr>
              <w:spacing w:after="20"/>
            </w:pPr>
            <w:r/>
            <w:r>
              <w:rPr>
                <w:b w:val="0"/>
                <w:sz w:val="19"/>
              </w:rPr>
              <w:t>Chương 2; 2.3.3. Sản phẩm đề tài có tiềm năng tạo lập tài sản trí tuệ, tên mục</w:t>
            </w:r>
          </w:p>
        </w:tc>
        <w:tc>
          <w:tcPr>
            <w:tcW w:type="dxa" w:w="5102"/>
          </w:tcPr>
          <w:p>
            <w:pPr>
              <w:spacing w:after="20"/>
            </w:pPr>
            <w:r/>
            <w:r>
              <w:rPr>
                <w:b w:val="0"/>
                <w:sz w:val="19"/>
              </w:rPr>
              <w:t>2.3.3. Sản phẩm đề tài đủ điều kiện xác lập quyền</w:t>
            </w:r>
          </w:p>
        </w:tc>
        <w:tc>
          <w:tcPr>
            <w:tcW w:type="dxa" w:w="5102"/>
          </w:tcPr>
          <w:p>
            <w:pPr>
              <w:spacing w:after="20"/>
            </w:pPr>
            <w:r/>
            <w:r>
              <w:rPr>
                <w:b w:val="0"/>
                <w:sz w:val="19"/>
              </w:rPr>
              <w:t>2.3.3. Sản phẩm đề tài có tiềm năng tạo lập tài sản trí tuệ</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46</w:t>
            </w:r>
          </w:p>
        </w:tc>
        <w:tc>
          <w:tcPr>
            <w:tcW w:type="dxa" w:w="2041"/>
          </w:tcPr>
          <w:p>
            <w:pPr>
              <w:spacing w:after="20"/>
            </w:pPr>
            <w:r/>
            <w:r>
              <w:rPr>
                <w:b w:val="0"/>
                <w:sz w:val="19"/>
              </w:rPr>
              <w:t>Chương 2; 2.3.3. Sản phẩm đề tài có tiềm năng tạo lập tài sản trí tuệ, đoạn 1</w:t>
            </w:r>
          </w:p>
        </w:tc>
        <w:tc>
          <w:tcPr>
            <w:tcW w:type="dxa" w:w="5102"/>
          </w:tcPr>
          <w:p>
            <w:pPr>
              <w:spacing w:after="20"/>
            </w:pPr>
            <w:r/>
            <w:r>
              <w:rPr>
                <w:b w:val="0"/>
                <w:sz w:val="19"/>
              </w:rPr>
              <w:t>Rà soát cột sản phẩm nghiệm thu của 38 đề tài cấp cơ sở cho thấy 11 đề tài có sản phẩm cụ thể đủ điều kiện xác lập quyền ngoài báo cáo và bài báo, được liệt kê tại Bảng 2.7.</w:t>
            </w:r>
          </w:p>
        </w:tc>
        <w:tc>
          <w:tcPr>
            <w:tcW w:type="dxa" w:w="5102"/>
          </w:tcPr>
          <w:p>
            <w:pPr>
              <w:spacing w:after="20"/>
            </w:pPr>
            <w:r/>
            <w:r>
              <w:rPr>
                <w:b w:val="0"/>
                <w:sz w:val="19"/>
              </w:rPr>
              <w:t>Rà soát cột sản phẩm nghiệm thu của 38 đề tài cấp cơ sở cho thấy 11 đề tài có sản phẩm cụ thể ngoài báo cáo và bài báo có tiềm năng tạo lập tài sản trí tuệ, được liệt kê tại Bảng 2.7. Đây là đánh giá sơ bộ dựa trên mô tả sản phẩm; khả năng bảo hộ thực tế còn phụ thuộc vào tính mới, trình độ sáng tạo, khả năng áp dụng và tình trạng bộc lộ của từng sản phẩm, chưa được thẩm định.</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47</w:t>
            </w:r>
          </w:p>
        </w:tc>
        <w:tc>
          <w:tcPr>
            <w:tcW w:type="dxa" w:w="2041"/>
          </w:tcPr>
          <w:p>
            <w:pPr>
              <w:spacing w:after="20"/>
            </w:pPr>
            <w:r/>
            <w:r>
              <w:rPr>
                <w:b w:val="0"/>
                <w:sz w:val="19"/>
              </w:rPr>
              <w:t>Chương 2; 2.3.3. Sản phẩm đề tài có tiềm năng tạo lập tài sản trí tuệ, đoạn 2</w:t>
            </w:r>
          </w:p>
        </w:tc>
        <w:tc>
          <w:tcPr>
            <w:tcW w:type="dxa" w:w="5102"/>
          </w:tcPr>
          <w:p>
            <w:pPr>
              <w:spacing w:after="20"/>
            </w:pPr>
            <w:r/>
            <w:r>
              <w:rPr>
                <w:b w:val="0"/>
                <w:sz w:val="19"/>
              </w:rPr>
              <w:t>Bảng 2.7. Đề tài cấp cơ sở có sản phẩm đủ điều kiện xác lập quyền, giai đoạn 2021 - 2025</w:t>
            </w:r>
          </w:p>
        </w:tc>
        <w:tc>
          <w:tcPr>
            <w:tcW w:type="dxa" w:w="5102"/>
          </w:tcPr>
          <w:p>
            <w:pPr>
              <w:spacing w:after="20"/>
            </w:pPr>
            <w:r/>
            <w:r>
              <w:rPr>
                <w:b w:val="0"/>
                <w:sz w:val="19"/>
              </w:rPr>
              <w:t>Bảng 2.7. Đề tài cấp cơ sở có sản phẩm tiềm năng tạo lập tài sản trí tuệ, giai đoạn 2021 - 2025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48</w:t>
            </w:r>
          </w:p>
        </w:tc>
        <w:tc>
          <w:tcPr>
            <w:tcW w:type="dxa" w:w="2041"/>
          </w:tcPr>
          <w:p>
            <w:pPr>
              <w:spacing w:after="20"/>
            </w:pPr>
            <w:r/>
            <w:r>
              <w:rPr>
                <w:b w:val="0"/>
                <w:sz w:val="19"/>
              </w:rPr>
              <w:t>Chương 2; 2.3.3. Sản phẩm đề tài có tiềm năng tạo lập tài sản trí tuệ, đoạn 3</w:t>
            </w:r>
          </w:p>
        </w:tc>
        <w:tc>
          <w:tcPr>
            <w:tcW w:type="dxa" w:w="5102"/>
          </w:tcPr>
          <w:p>
            <w:pPr>
              <w:spacing w:after="20"/>
            </w:pPr>
            <w:r/>
            <w:r>
              <w:rPr>
                <w:b w:val="0"/>
                <w:sz w:val="19"/>
              </w:rPr>
              <w:t>Nguồn: Nhóm nghiên cứu tổng hợp từ danh mục đề tài khoa học công nghệ cấp cơ sở giai đoạn 2021 - 2025. Nhóm quyền có thể xác lập là đánh giá sơ bộ dựa trên mô tả sản phẩm trong hồ sơ nghiệm thu.</w:t>
            </w:r>
          </w:p>
        </w:tc>
        <w:tc>
          <w:tcPr>
            <w:tcW w:type="dxa" w:w="5102"/>
          </w:tcPr>
          <w:p>
            <w:pPr>
              <w:spacing w:after="20"/>
            </w:pPr>
            <w:r/>
            <w:r>
              <w:rPr>
                <w:b w:val="0"/>
                <w:sz w:val="19"/>
              </w:rPr>
              <w:t>Nguồn: Nhóm nghiên cứu tổng hợp từ danh mục đề tài khoa học công nghệ cấp cơ sở giai đoạn 2021 - 2025. Nhóm quyền dự kiến là đánh giá sơ bộ dựa trên mô tả sản phẩm trong hồ sơ nghiệm thu; tình trạng đối chiếu với tệp theo dõi đơn và văn bằng của Nhà trường.</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49</w:t>
            </w:r>
          </w:p>
        </w:tc>
        <w:tc>
          <w:tcPr>
            <w:tcW w:type="dxa" w:w="2041"/>
          </w:tcPr>
          <w:p>
            <w:pPr>
              <w:spacing w:after="20"/>
            </w:pPr>
            <w:r/>
            <w:r>
              <w:rPr>
                <w:b w:val="0"/>
                <w:sz w:val="19"/>
              </w:rPr>
              <w:t>Chương 2; 2.3.3. Sản phẩm đề tài có tiềm năng tạo lập tài sản trí tuệ, đoạn 4</w:t>
            </w:r>
          </w:p>
        </w:tc>
        <w:tc>
          <w:tcPr>
            <w:tcW w:type="dxa" w:w="5102"/>
          </w:tcPr>
          <w:p>
            <w:pPr>
              <w:spacing w:after="20"/>
            </w:pPr>
            <w:r/>
            <w:r>
              <w:rPr>
                <w:b w:val="0"/>
                <w:sz w:val="19"/>
              </w:rPr>
              <w:t>Hình 2.8. Sản phẩm đề tài cấp cơ sở đủ điều kiện xác lập quyền theo nhóm quyền có thể xác lập</w:t>
            </w:r>
          </w:p>
        </w:tc>
        <w:tc>
          <w:tcPr>
            <w:tcW w:type="dxa" w:w="5102"/>
          </w:tcPr>
          <w:p>
            <w:pPr>
              <w:spacing w:after="20"/>
            </w:pPr>
            <w:r/>
            <w:r>
              <w:rPr>
                <w:b w:val="0"/>
                <w:sz w:val="19"/>
              </w:rPr>
              <w:t>Hình 2.8. Sản phẩm đề tài cấp cơ sở có tiềm năng tạo lập tài sản trí tuệ theo nhóm quyền dự kiến</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50</w:t>
            </w:r>
          </w:p>
        </w:tc>
        <w:tc>
          <w:tcPr>
            <w:tcW w:type="dxa" w:w="2041"/>
          </w:tcPr>
          <w:p>
            <w:pPr>
              <w:spacing w:after="20"/>
            </w:pPr>
            <w:r/>
            <w:r>
              <w:rPr>
                <w:b w:val="0"/>
                <w:sz w:val="19"/>
              </w:rPr>
              <w:t>Chương 2; 2.3.3. Sản phẩm đề tài có tiềm năng tạo lập tài sản trí tuệ, đoạn 6</w:t>
            </w:r>
          </w:p>
        </w:tc>
        <w:tc>
          <w:tcPr>
            <w:tcW w:type="dxa" w:w="5102"/>
          </w:tcPr>
          <w:p>
            <w:pPr>
              <w:spacing w:after="20"/>
            </w:pPr>
            <w:r/>
            <w:r>
              <w:rPr>
                <w:b w:val="0"/>
                <w:sz w:val="19"/>
              </w:rPr>
              <w:t>Hình 2.8 cho thấy 9 trên 11 sản phẩm thuộc nhóm sở hữu công nghiệp và giải pháp hữu ích phù hợp với 8 sản phẩm. Loại hình này không đòi hỏi trình độ sáng tạo như sáng chế, có thời hạn bảo hộ ngắn hơn và phù hợp với quy mô đề tài cấp cơ sở, nhưng chưa sản phẩm nào được nộp đơn theo hình thức này. Mười trên 11 sản phẩm thuộc lĩnh vực dược, nên tiềm năng sở hữu công nghiệp của Nhà trường có thể được quản lý có trọng tâm.</w:t>
            </w:r>
          </w:p>
        </w:tc>
        <w:tc>
          <w:tcPr>
            <w:tcW w:type="dxa" w:w="5102"/>
          </w:tcPr>
          <w:p>
            <w:pPr>
              <w:spacing w:after="20"/>
            </w:pPr>
            <w:r/>
            <w:r>
              <w:rPr>
                <w:b w:val="0"/>
                <w:sz w:val="19"/>
              </w:rPr>
              <w:t>Hình 2.8 cho thấy 9 trên 11 sản phẩm thuộc nhóm sở hữu công nghiệp và giải pháp hữu ích là hình thức dự kiến phù hợp với 8 sản phẩm. Loại hình này không đòi hỏi trình độ sáng tạo như sáng chế, có thời hạn bảo hộ ngắn hơn và phù hợp với quy mô đề tài cấp cơ sở, nhưng chưa có hồ sơ nào được nộp theo hình thức này. Mười trên 11 sản phẩm thuộc lĩnh vực dược, nên tiềm năng sở hữu công nghiệp của Nhà trường có thể được quản lý có trọng tâm.</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51</w:t>
            </w:r>
          </w:p>
        </w:tc>
        <w:tc>
          <w:tcPr>
            <w:tcW w:type="dxa" w:w="2041"/>
          </w:tcPr>
          <w:p>
            <w:pPr>
              <w:spacing w:after="20"/>
            </w:pPr>
            <w:r/>
            <w:r>
              <w:rPr>
                <w:b w:val="0"/>
                <w:sz w:val="19"/>
              </w:rPr>
              <w:t>Chương 2; 2.3.3. Sản phẩm đề tài có tiềm năng tạo lập tài sản trí tuệ, đoạn 8</w:t>
            </w:r>
          </w:p>
        </w:tc>
        <w:tc>
          <w:tcPr>
            <w:tcW w:type="dxa" w:w="5102"/>
          </w:tcPr>
          <w:p>
            <w:pPr>
              <w:spacing w:after="20"/>
            </w:pPr>
            <w:r/>
            <w:r>
              <w:rPr>
                <w:b w:val="0"/>
                <w:sz w:val="19"/>
              </w:rPr>
              <w:t>Nguồn: Nhóm nghiên cứu tính toán từ danh mục đề tài cấp cơ sở và Bảng 2.7.</w:t>
            </w:r>
          </w:p>
        </w:tc>
        <w:tc>
          <w:tcPr>
            <w:tcW w:type="dxa" w:w="5102"/>
          </w:tcPr>
          <w:p>
            <w:pPr>
              <w:spacing w:after="20"/>
            </w:pPr>
            <w:r/>
            <w:r>
              <w:rPr>
                <w:b w:val="0"/>
                <w:sz w:val="19"/>
              </w:rPr>
              <w:t>Nguồn: Nhóm nghiên cứu tính toán từ danh mục đề tài cấp cơ sở và Bảng 2.7. Chuỗi chỉ xét sở hữu công nghiệp, không gồm 2 sản phẩm thuộc quyền tác giả. Cột thứ hai gồm các đề tài mang mã số từ năm 2021 đến năm 2024, đều nghiệm thu trước ngày 31 tháng 5 năm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52</w:t>
            </w:r>
          </w:p>
        </w:tc>
        <w:tc>
          <w:tcPr>
            <w:tcW w:type="dxa" w:w="2041"/>
          </w:tcPr>
          <w:p>
            <w:pPr>
              <w:spacing w:after="20"/>
            </w:pPr>
            <w:r/>
            <w:r>
              <w:rPr>
                <w:b w:val="0"/>
                <w:sz w:val="19"/>
              </w:rPr>
              <w:t>Chương 2; 2.3.3. Sản phẩm đề tài có tiềm năng tạo lập tài sản trí tuệ, đoạn 9</w:t>
            </w:r>
          </w:p>
        </w:tc>
        <w:tc>
          <w:tcPr>
            <w:tcW w:type="dxa" w:w="5102"/>
          </w:tcPr>
          <w:p>
            <w:pPr>
              <w:spacing w:after="20"/>
            </w:pPr>
            <w:r/>
            <w:r>
              <w:rPr>
                <w:b w:val="0"/>
                <w:sz w:val="19"/>
              </w:rPr>
              <w:t>Hình 2.9 cho thấy điểm đứt gãy nằm ở bậc thứ hai của chuỗi. Có 28,9% số đề tài tạo ra sản phẩm có thể xác lập quyền, tỷ lệ đáng ghi nhận với một trường có phần lớn ngành thuộc kinh tế, xã hội và ngôn ngữ; nhưng chỉ 9,1% số đề tài đủ điều kiện được nộp đơn. Nếu chỉ xét đề tài giao đến năm 2024, đã đủ thời gian để nộp đơn, có 8 đề tài đủ điều kiện nhưng chưa đề tài nào nộp đơn. Tiềm năng ở đầu vào là rõ ràng; điểm nghẽn nằm ở một khoảng trống kỹ thuật tại khâu nối giữa nghiệm thu và đăng ký: quy trình chưa có biểu mẫu rà soát khả năng bảo hộ tại thời điểm nghiệm thu. Với các sản phẩm đã bộc lộ công khai quá mười hai tháng, khả năng đăng ký sáng chế, giải pháp hữu ích không còn, nên khâu rà soát này càng cần được thiết lập sớm.</w:t>
            </w:r>
          </w:p>
        </w:tc>
        <w:tc>
          <w:tcPr>
            <w:tcW w:type="dxa" w:w="5102"/>
          </w:tcPr>
          <w:p>
            <w:pPr>
              <w:spacing w:after="20"/>
            </w:pPr>
            <w:r/>
            <w:r>
              <w:rPr>
                <w:b w:val="0"/>
                <w:sz w:val="19"/>
              </w:rPr>
              <w:t>Hình 2.9 cho thấy, trong chuỗi sở hữu công nghiệp, 9 trên 38 đề tài, tức 23,7%, có sản phẩm tiềm năng, và 1 trên 9 đề tài, tức 11,1%, đã có đơn. Với 31 đề tài mang mã số 2021 - 2024, đều nghiệm thu trước ngày 31 tháng 5 năm 2025, 6 đề tài có sản phẩm tiềm năng sở hữu công nghiệp nhưng chưa đề tài nào có đơn trong tệp theo dõi. Đây là điểm đứt gãy của chuỗi. Trong điều kiện hồ sơ hiện có, Đề tài nhận định điểm nghẽn nằm ở một khoảng trống kỹ thuật tại khâu nối giữa nghiệm thu và đăng ký: thiếu một biểu mẫu rà soát tại thời điểm nghiệm thu. Các biểu mẫu đề xuất, thuyết minh, hợp đồng và nghiệm thu tại Quyết định 213 đã có mục về đăng ký sở hữu trí tuệ ở dạng sản phẩm dự kiến, tiêu chí chấm điểm và tình trạng đăng ký, nhưng chưa yêu cầu sàng lọc khả năng bảo hộ và tình trạng bộc lộ của các sản phẩm khác. Với sản phẩm đã bộc lộ công khai quá mười hai tháng, khả năng đăng ký sáng chế, giải pháp hữu ích không còn theo khoản 3 Điều 60 Luật Sở hữu trí tuệ, nên khâu sàng lọc cần được thiết lập sớm.</w:t>
            </w:r>
          </w:p>
        </w:tc>
        <w:tc>
          <w:tcPr>
            <w:tcW w:type="dxa" w:w="1984"/>
          </w:tcPr>
          <w:p>
            <w:pPr>
              <w:spacing w:after="20"/>
            </w:pPr>
            <w:r/>
            <w:r>
              <w:rPr>
                <w:b w:val="0"/>
                <w:sz w:val="19"/>
              </w:rPr>
              <w:t>Góp ý mục 7: thống kê, phễu sở hữu công nghiệp, năm theo loại dữ liệu, giảm khẳng định nhân quả; Góp ý mục 3: Điều 35, Điều 38 và các biểu mẫu Quyết định 213; Điều 10, Điều 11 Quyết định 217</w:t>
            </w:r>
          </w:p>
        </w:tc>
      </w:tr>
      <w:tr>
        <w:tc>
          <w:tcPr>
            <w:tcW w:type="dxa" w:w="567"/>
          </w:tcPr>
          <w:p>
            <w:pPr>
              <w:spacing w:after="20"/>
            </w:pPr>
            <w:r/>
            <w:r>
              <w:rPr>
                <w:b w:val="0"/>
                <w:sz w:val="19"/>
              </w:rPr>
              <w:t>53</w:t>
            </w:r>
          </w:p>
        </w:tc>
        <w:tc>
          <w:tcPr>
            <w:tcW w:type="dxa" w:w="2041"/>
          </w:tcPr>
          <w:p>
            <w:pPr>
              <w:spacing w:after="20"/>
            </w:pPr>
            <w:r/>
            <w:r>
              <w:rPr>
                <w:b w:val="0"/>
                <w:sz w:val="19"/>
              </w:rPr>
              <w:t>Chương 2; 2.3.3. Sản phẩm đề tài có tiềm năng tạo lập tài sản trí tuệ, đoạn 10</w:t>
            </w:r>
          </w:p>
        </w:tc>
        <w:tc>
          <w:tcPr>
            <w:tcW w:type="dxa" w:w="5102"/>
          </w:tcPr>
          <w:p>
            <w:pPr>
              <w:spacing w:after="20"/>
            </w:pPr>
            <w:r/>
            <w:r>
              <w:rPr>
                <w:b w:val="0"/>
                <w:sz w:val="19"/>
              </w:rPr>
              <w:t>Đề tài chiết xuất lá Quế hoa năm 2025 là đề tài cấp cơ sở duy nhất trong năm năm chuyển thành đơn sáng chế, và đơn được nộp ngay trong năm nghiệm thu. Trường hợp này cho thấy kênh chuyển hóa vận hành được trong điều kiện hiện có, nhưng mới vận hành một lần, do một chủ nhiệm đồng thời chủ trì đề tài cấp quốc gia. Hai đề tài năm 2025 khác ghi dự kiến đăng ký giải pháp hữu ích nhưng chưa có đơn; hai sản phẩm này vẫn có thể được nộp đơn nếu còn trong thời hạn mười hai tháng kể từ ngày bộc lộ. Đề tài tinh dầu Citrus grandis năm 2023 có liên hệ về tên gọi với kiểu dáng tinh dầu vỏ bưởi đào cấp năm 2024, nhưng hồ sơ chưa đủ để khẳng định; kể cả khi liên hệ được xác nhận, công thức và quy trình chiết xuất vẫn chưa được đăng ký. Hai danh mục do hai bộ phận lập và không có trường liên kết, là bằng chứng trực tiếp cho sự tách rời giữa luồng thương hiệu và luồng nghiên cứu.</w:t>
            </w:r>
          </w:p>
        </w:tc>
        <w:tc>
          <w:tcPr>
            <w:tcW w:type="dxa" w:w="5102"/>
          </w:tcPr>
          <w:p>
            <w:pPr>
              <w:spacing w:after="20"/>
            </w:pPr>
            <w:r/>
            <w:r>
              <w:rPr>
                <w:b w:val="0"/>
                <w:sz w:val="19"/>
              </w:rPr>
              <w:t>Đề tài chiết xuất lá Quế hoa mã số 09-2025, nghiệm thu ngày 25 tháng 12 năm 2025, là đề tài cấp cơ sở duy nhất trong kỳ có sản phẩm được nộp đơn sáng chế; đơn số 1-2025-07378 được nộp trong năm 2025. Trường hợp này cho thấy kênh chuyển hóa có thể vận hành trong điều kiện hiện có, nhưng mới có một trường hợp, do một chủ nhiệm đồng thời chủ trì đề tài cấp quốc gia, nên chưa đủ để coi là một quy trình. Hai đề tài 06-2025 và 07-2025, nghiệm thu ngày 25 tháng 12 năm 2025, ghi dự kiến đăng ký giải pháp hữu ích nhưng chưa có đơn trong tệp theo dõi; nếu kết quả đã được bộc lộ, thời hạn mười hai tháng kể từ ngày bộc lộ cần được kiểm tra ngay. Đề tài tinh dầu Citrus grandis mã số 08-2023 có liên hệ về tên gọi với kiểu dáng tinh dầu vỏ bưởi đào, nhưng hồ sơ chưa đủ để khẳng định; kể cả khi liên hệ được xác nhận, kiểu dáng chỉ bảo hộ hình dáng bên ngoài, còn công thức và quy trình chiết xuất chưa được đăng ký. Hai danh mục không có trường liên kết, nên chưa thể theo dõi một sản phẩm nghiên cứu đến khi xác lập quyền.</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54</w:t>
            </w:r>
          </w:p>
        </w:tc>
        <w:tc>
          <w:tcPr>
            <w:tcW w:type="dxa" w:w="2041"/>
          </w:tcPr>
          <w:p>
            <w:pPr>
              <w:spacing w:after="20"/>
            </w:pPr>
            <w:r/>
            <w:r>
              <w:rPr>
                <w:b w:val="0"/>
                <w:sz w:val="19"/>
              </w:rPr>
              <w:t>Chương 2; 2.4. Thực trạng sử dụng, chuyển giao và khai thác tài sản tr, đoạn 2</w:t>
            </w:r>
          </w:p>
        </w:tc>
        <w:tc>
          <w:tcPr>
            <w:tcW w:type="dxa" w:w="5102"/>
          </w:tcPr>
          <w:p>
            <w:pPr>
              <w:spacing w:after="20"/>
            </w:pPr>
            <w:r/>
            <w:r>
              <w:rPr>
                <w:b w:val="0"/>
                <w:sz w:val="19"/>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phụ thuộc vào biểu mẫu nghiệm thu hơn là bản chất đề tài.</w:t>
            </w:r>
          </w:p>
        </w:tc>
        <w:tc>
          <w:tcPr>
            <w:tcW w:type="dxa" w:w="5102"/>
          </w:tcPr>
          <w:p>
            <w:pPr>
              <w:spacing w:after="20"/>
            </w:pPr>
            <w:r/>
            <w:r>
              <w:rPr>
                <w:b w:val="0"/>
                <w:sz w:val="19"/>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có thể phụ thuộc vào biểu mẫu nghiệm thu hơn là bản chất đề tài.</w:t>
            </w:r>
          </w:p>
        </w:tc>
        <w:tc>
          <w:tcPr>
            <w:tcW w:type="dxa" w:w="1984"/>
          </w:tcPr>
          <w:p>
            <w:pPr>
              <w:spacing w:after="20"/>
            </w:pPr>
            <w:r/>
            <w:r>
              <w:rPr>
                <w:b w:val="0"/>
                <w:sz w:val="19"/>
              </w:rPr>
              <w:t>Góp ý mục 7: giảm mức khẳng định nhân quả</w:t>
            </w:r>
          </w:p>
        </w:tc>
      </w:tr>
      <w:tr>
        <w:tc>
          <w:tcPr>
            <w:tcW w:type="dxa" w:w="567"/>
          </w:tcPr>
          <w:p>
            <w:pPr>
              <w:spacing w:after="20"/>
            </w:pPr>
            <w:r/>
            <w:r>
              <w:rPr>
                <w:b w:val="0"/>
                <w:sz w:val="19"/>
              </w:rPr>
              <w:t>55</w:t>
            </w:r>
          </w:p>
        </w:tc>
        <w:tc>
          <w:tcPr>
            <w:tcW w:type="dxa" w:w="2041"/>
          </w:tcPr>
          <w:p>
            <w:pPr>
              <w:spacing w:after="20"/>
            </w:pPr>
            <w:r/>
            <w:r>
              <w:rPr>
                <w:b w:val="0"/>
                <w:sz w:val="19"/>
              </w:rPr>
              <w:t>Chương 2; 2.4. Thực trạng sử dụng, chuyển giao và khai thác tài sản tr, đoạn 3</w:t>
            </w:r>
          </w:p>
        </w:tc>
        <w:tc>
          <w:tcPr>
            <w:tcW w:type="dxa" w:w="5102"/>
          </w:tcPr>
          <w:p>
            <w:pPr>
              <w:spacing w:after="20"/>
            </w:pPr>
            <w:r/>
            <w:r>
              <w:rPr>
                <w:b w:val="0"/>
                <w:sz w:val="19"/>
              </w:rPr>
              <w:t>Ở mức chuyển giao trong hệ thống, đề tài tinh dầu Citrus grandis năm 2023 do Viện Nghiên cứu giáo dục và Chuyển giao tri thức chủ trì ghi sản phẩm là chuyển giao công nghệ cho Nhà trường thương mại hóa, nhưng không có hợp đồng, biên bản chuyển giao hay kết quả thương mại hóa kèm theo. Ý định chuyển giao được ghi vào hồ sơ nhưng không có bước nào biến ý định thành giao dịch.</w:t>
            </w:r>
          </w:p>
        </w:tc>
        <w:tc>
          <w:tcPr>
            <w:tcW w:type="dxa" w:w="5102"/>
          </w:tcPr>
          <w:p>
            <w:pPr>
              <w:spacing w:after="20"/>
            </w:pPr>
            <w:r/>
            <w:r>
              <w:rPr>
                <w:b w:val="0"/>
                <w:sz w:val="19"/>
              </w:rPr>
              <w:t>Ở mức chuyển giao trong hệ thống, đề tài tinh dầu Citrus grandis năm 2023 do Viện Nghiên cứu giáo dục và Chuyển giao tri thức chủ trì ghi sản phẩm là chuyển giao công nghệ cho Nhà trường thương mại hóa, nhưng hồ sơ Đề tài tiếp cận không có hợp đồng, biên bản chuyển giao hay kết quả thương mại hóa kèm theo.</w:t>
            </w:r>
          </w:p>
        </w:tc>
        <w:tc>
          <w:tcPr>
            <w:tcW w:type="dxa" w:w="1984"/>
          </w:tcPr>
          <w:p>
            <w:pPr>
              <w:spacing w:after="20"/>
            </w:pPr>
            <w:r/>
            <w:r>
              <w:rPr>
                <w:b w:val="0"/>
                <w:sz w:val="19"/>
              </w:rPr>
              <w:t>Góp ý mục 1: phân biệt quy định, thực hiện, thống kê, nhận định; không suy chưa thấy thành không có</w:t>
            </w:r>
          </w:p>
        </w:tc>
      </w:tr>
      <w:tr>
        <w:tc>
          <w:tcPr>
            <w:tcW w:type="dxa" w:w="567"/>
          </w:tcPr>
          <w:p>
            <w:pPr>
              <w:spacing w:after="20"/>
            </w:pPr>
            <w:r/>
            <w:r>
              <w:rPr>
                <w:b w:val="0"/>
                <w:sz w:val="19"/>
              </w:rPr>
              <w:t>56</w:t>
            </w:r>
          </w:p>
        </w:tc>
        <w:tc>
          <w:tcPr>
            <w:tcW w:type="dxa" w:w="2041"/>
          </w:tcPr>
          <w:p>
            <w:pPr>
              <w:spacing w:after="20"/>
            </w:pPr>
            <w:r/>
            <w:r>
              <w:rPr>
                <w:b w:val="0"/>
                <w:sz w:val="19"/>
              </w:rPr>
              <w:t>Chương 2; 2.4. Thực trạng sử dụng, chuyển giao và khai thác tài sản tr, đoạn 4</w:t>
            </w:r>
          </w:p>
        </w:tc>
        <w:tc>
          <w:tcPr>
            <w:tcW w:type="dxa" w:w="5102"/>
          </w:tcPr>
          <w:p>
            <w:pPr>
              <w:spacing w:after="20"/>
            </w:pPr>
            <w:r/>
            <w:r>
              <w:rPr>
                <w:b w:val="0"/>
                <w:sz w:val="19"/>
              </w:rPr>
              <w:t>Ở mức khai thác có thu phí, thống kê của Viện Nghiên cứu giáo dục và Chuyển giao tri thức ghi nhận năm hợp đồng giai đoạn 2023 - 2024.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đúng nghĩa. Ba hợp đồng còn lại là dịch vụ đào tạo, giảng dạy, tổng trị giá 100 triệu đồng, thuộc khai thác tri thức chuyên môn chứ không phải khai thác một tài sản đã xác lập quyền.</w:t>
            </w:r>
          </w:p>
        </w:tc>
        <w:tc>
          <w:tcPr>
            <w:tcW w:type="dxa" w:w="5102"/>
          </w:tcPr>
          <w:p>
            <w:pPr>
              <w:spacing w:after="20"/>
            </w:pPr>
            <w:r/>
            <w:r>
              <w:rPr>
                <w:b w:val="0"/>
                <w:sz w:val="19"/>
              </w:rPr>
              <w:t>Ở mức khai thác có thu phí, theo thống kê do Viện Nghiên cứu giáo dục và Chuyển giao tri thức cung cấp, giai đoạn 2023 - 2024 có năm hợp đồng.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tác giả. Ba hợp đồng còn lại là dịch vụ đào tạo, giảng dạy, tổng trị giá 100 triệu đồng, thuộc khai thác tri thức chuyên môn chứ không phải khai thác một tài sản đã xác lập quyền. Đề tài chưa tiếp cận bản hợp đồng để đối chiếu.</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57</w:t>
            </w:r>
          </w:p>
        </w:tc>
        <w:tc>
          <w:tcPr>
            <w:tcW w:type="dxa" w:w="2041"/>
          </w:tcPr>
          <w:p>
            <w:pPr>
              <w:spacing w:after="20"/>
            </w:pPr>
            <w:r/>
            <w:r>
              <w:rPr>
                <w:b w:val="0"/>
                <w:sz w:val="19"/>
              </w:rPr>
              <w:t>Chương 2; 2.4. Thực trạng sử dụng, chuyển giao và khai thác tài sản tr, đoạn 5</w:t>
            </w:r>
          </w:p>
        </w:tc>
        <w:tc>
          <w:tcPr>
            <w:tcW w:type="dxa" w:w="5102"/>
          </w:tcPr>
          <w:p>
            <w:pPr>
              <w:spacing w:after="20"/>
            </w:pPr>
            <w:r/>
            <w:r>
              <w:rPr>
                <w:b w:val="0"/>
                <w:sz w:val="19"/>
              </w:rPr>
              <w:t>Như vậy, khai thác tài sản trí tuệ hiện chủ yếu ở dạng phi thương mại, phục vụ đào tạo của chính Nhà trường. Khai thác có thu phí mới có hai hợp đồng, do một đơn vị thực hiện và đối với sách chuyên khảo; chín văn bằng đã được cấp chưa phát sinh giao dịch chuyển giao quyền nào. Năng lực khai thác gắn với tư cách pháp lý và chức năng được giao của Viện Nghiên cứu giáo dục và Chuyển giao tri thức, không phân bố theo năng lực chuyên môn. Đây cũng là nội dung có dữ liệu mỏng nhất, vì hệ thống thống kê không theo dõi việc sử dụng và khai thác tài sản trí tuệ; bản thân việc thiếu dữ liệu này là một phát hiện về thực trạng quản lý.</w:t>
            </w:r>
          </w:p>
        </w:tc>
        <w:tc>
          <w:tcPr>
            <w:tcW w:type="dxa" w:w="5102"/>
          </w:tcPr>
          <w:p>
            <w:pPr>
              <w:spacing w:after="20"/>
            </w:pPr>
            <w:r/>
            <w:r>
              <w:rPr>
                <w:b w:val="0"/>
                <w:sz w:val="19"/>
              </w:rPr>
              <w:t>Như vậy, khai thác tài sản trí tuệ hiện chủ yếu ở dạng phi thương mại, phục vụ đào tạo của chính Nhà trường. Khai thác có thu phí ghi nhận được mới có hai hợp đồng, do một đơn vị thực hiện và đối với sách chuyên khảo; các văn bằng, giấy chứng nhận hiện có chưa ghi nhận giao dịch chuyển giao quyền trong hồ sơ. Đây cũng là nội dung có dữ liệu mỏng nhất, vì hệ thống thống kê chưa theo dõi việc sử dụng và khai thác tài sản trí tuệ; bản thân việc thiếu dữ liệu này là một phát hiện về thực trạng quản lý.</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58</w:t>
            </w:r>
          </w:p>
        </w:tc>
        <w:tc>
          <w:tcPr>
            <w:tcW w:type="dxa" w:w="2041"/>
          </w:tcPr>
          <w:p>
            <w:pPr>
              <w:spacing w:after="20"/>
            </w:pPr>
            <w:r/>
            <w:r>
              <w:rPr>
                <w:b w:val="0"/>
                <w:sz w:val="19"/>
              </w:rPr>
              <w:t>Chương 2; 2.5. Đánh giá chung về công tác quản lý quyền sở hữu trí tuệ, đoạn 3</w:t>
            </w:r>
          </w:p>
        </w:tc>
        <w:tc>
          <w:tcPr>
            <w:tcW w:type="dxa" w:w="5102"/>
          </w:tcPr>
          <w:p>
            <w:pPr>
              <w:spacing w:after="20"/>
            </w:pPr>
            <w:r/>
            <w:r>
              <w:rPr>
                <w:b w:val="0"/>
                <w:sz w:val="19"/>
              </w:rPr>
              <w:t>Nguồn: Nhóm nghiên cứu tính toán từ mục 2.2.4 Kế hoạch số 07/KH-ĐHTĐ ngày 01 tháng 7 năm 2024 và các danh mục thống kê của Phòng Khoa học Công nghệ. Chỉ tiêu bài báo trong nước gồm bài đăng tạp chí trong nước và tạp chí của Trường; văn bằng sở hữu trí tuệ gồm sáng chế, kiểu dáng công nghiệp, quyền tác giả được cấp; không gồm tham luận hội thảo quốc gia do danh mục không có năm. Màu xanh dương: công bố; xanh lục: đề tài và học liệu; cam: tài sản trí tuệ.</w:t>
            </w:r>
          </w:p>
        </w:tc>
        <w:tc>
          <w:tcPr>
            <w:tcW w:type="dxa" w:w="5102"/>
          </w:tcPr>
          <w:p>
            <w:pPr>
              <w:spacing w:after="20"/>
            </w:pPr>
            <w:r/>
            <w:r>
              <w:rPr>
                <w:b w:val="0"/>
                <w:sz w:val="19"/>
              </w:rPr>
              <w:t>Nguồn: Nhóm nghiên cứu tính toán từ mục 2.2.4 Kế hoạch số 07/KH-ĐHTĐ ngày 01 tháng 7 năm 2024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tc>
        <w:tc>
          <w:tcPr>
            <w:tcW w:type="dxa" w:w="1984"/>
          </w:tcPr>
          <w:p>
            <w:pPr>
              <w:spacing w:after="20"/>
            </w:pPr>
            <w:r/>
            <w:r>
              <w:rPr>
                <w:b w:val="0"/>
                <w:sz w:val="19"/>
              </w:rPr>
              <w:t>Góp ý mục 6: Kế hoạch số 07/KH-ĐHTĐ, mục 2.2.4, trang 7 - 8</w:t>
            </w:r>
          </w:p>
        </w:tc>
      </w:tr>
      <w:tr>
        <w:tc>
          <w:tcPr>
            <w:tcW w:type="dxa" w:w="567"/>
          </w:tcPr>
          <w:p>
            <w:pPr>
              <w:spacing w:after="20"/>
            </w:pPr>
            <w:r/>
            <w:r>
              <w:rPr>
                <w:b w:val="0"/>
                <w:sz w:val="19"/>
              </w:rPr>
              <w:t>59</w:t>
            </w:r>
          </w:p>
        </w:tc>
        <w:tc>
          <w:tcPr>
            <w:tcW w:type="dxa" w:w="2041"/>
          </w:tcPr>
          <w:p>
            <w:pPr>
              <w:spacing w:after="20"/>
            </w:pPr>
            <w:r/>
            <w:r>
              <w:rPr>
                <w:b w:val="0"/>
                <w:sz w:val="19"/>
              </w:rPr>
              <w:t>Chương 2; 2.5. Đánh giá chung về công tác quản lý quyền sở hữu trí tuệ, đoạn 4</w:t>
            </w:r>
          </w:p>
        </w:tc>
        <w:tc>
          <w:tcPr>
            <w:tcW w:type="dxa" w:w="5102"/>
          </w:tcPr>
          <w:p>
            <w:pPr>
              <w:spacing w:after="20"/>
            </w:pPr>
            <w:r/>
            <w:r>
              <w:rPr>
                <w:b w:val="0"/>
                <w:sz w:val="19"/>
              </w:rPr>
              <w:t>Hình 2.10 cho thấy 7 trên 10 chỉ tiêu đạt hoặc vượt kế hoạch, nhưng kết quả phân hóa rõ theo nhóm. Nhóm công bố vượt xa chỉ tiêu: bài báo quốc tế đạt 85 bài so với 30 bài, tức 283%; sách 267%; tham luận cấp trường 223%; bài báo trong nước 165%. Nhóm đề tài và học liệu dao động quanh kế hoạch, từ 90% với giáo trình đến 150% với đề tài cấp Bộ, Nhà nước. Ở nhóm tài sản trí tuệ, chỉ tiêu văn bằng đạt 150% với 6 văn bằng, nhưng đó là 5 kiểu dáng đồng sở hữu với doanh nghiệp và nhãn hiệu Thado Edupark, không văn bằng nào hình thành từ đề tài; chỉ tiêu chuyển giao công nghệ năm 2025 chưa đạt.</w:t>
            </w:r>
          </w:p>
        </w:tc>
        <w:tc>
          <w:tcPr>
            <w:tcW w:type="dxa" w:w="5102"/>
          </w:tcPr>
          <w:p>
            <w:pPr>
              <w:spacing w:after="20"/>
            </w:pPr>
            <w:r/>
            <w:r>
              <w:rPr>
                <w:b w:val="0"/>
                <w:sz w:val="19"/>
              </w:rPr>
              <w:t>Hình 2.10 cho thấy 6 trên 9 chỉ tiêu xác định được đạt hoặc vượt kế hoạch. Nhóm công bố vượt xa chỉ tiêu: bài báo tạp chí khoa học quốc tế đạt 85 bài so với 30 bài, tức 283%; sách có chỉ số ISBN 267%; bài báo kỷ yếu hội thảo cấp Trường 223%; bài báo trong nước 165%; riêng bài báo hội thảo khoa học quốc tế đạt 91%. Nhóm đề tài và học liệu dao động quanh kế hoạch, từ 90% với giáo trình, tài liệu tham khảo lưu hành nội bộ được nghiệm thu đến 150% với đề tài cấp Bộ, Nhà nước. Chỉ tiêu chuyển giao công nghệ năm 2025 chưa đạt.</w:t>
            </w:r>
          </w:p>
        </w:tc>
        <w:tc>
          <w:tcPr>
            <w:tcW w:type="dxa" w:w="1984"/>
          </w:tcPr>
          <w:p>
            <w:pPr>
              <w:spacing w:after="20"/>
            </w:pPr>
            <w:r/>
            <w:r>
              <w:rPr>
                <w:b w:val="0"/>
                <w:sz w:val="19"/>
              </w:rPr>
              <w:t>Góp ý mục 6: Kế hoạch số 07/KH-ĐHTĐ, mục 2.2.4, chỉ tiêu 1.11 không gồm nhãn hiệu</w:t>
            </w:r>
          </w:p>
        </w:tc>
      </w:tr>
      <w:tr>
        <w:tc>
          <w:tcPr>
            <w:tcW w:type="dxa" w:w="567"/>
          </w:tcPr>
          <w:p>
            <w:pPr>
              <w:spacing w:after="20"/>
            </w:pPr>
            <w:r/>
            <w:r>
              <w:rPr>
                <w:b w:val="0"/>
                <w:sz w:val="19"/>
              </w:rPr>
              <w:t>60</w:t>
            </w:r>
          </w:p>
        </w:tc>
        <w:tc>
          <w:tcPr>
            <w:tcW w:type="dxa" w:w="2041"/>
          </w:tcPr>
          <w:p>
            <w:pPr>
              <w:spacing w:after="20"/>
            </w:pPr>
            <w:r/>
            <w:r>
              <w:rPr>
                <w:b w:val="0"/>
                <w:sz w:val="19"/>
              </w:rPr>
              <w:t>Chương 2; 2.5. Đánh giá chung về công tác quản lý quyền sở hữu trí tuệ, đoạn 5</w:t>
            </w:r>
          </w:p>
        </w:tc>
        <w:tc>
          <w:tcPr>
            <w:tcW w:type="dxa" w:w="5102"/>
          </w:tcPr>
          <w:p>
            <w:pPr>
              <w:spacing w:after="20"/>
            </w:pPr>
            <w:r/>
            <w:r>
              <w:rPr>
                <w:b w:val="0"/>
                <w:sz w:val="19"/>
              </w:rPr>
              <w:t>Do Kế hoạch gộp sáng chế với kiểu dáng công nghiệp và quyền tác giả trong một chỉ tiêu, chỉ tiêu này có thể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tc>
        <w:tc>
          <w:tcPr>
            <w:tcW w:type="dxa" w:w="5102"/>
          </w:tcPr>
          <w:p>
            <w:pPr>
              <w:spacing w:after="20"/>
            </w:pPr>
            <w:r/>
            <w:r>
              <w:rPr>
                <w:b w:val="0"/>
                <w:sz w:val="19"/>
              </w:rPr>
              <w:t>Chỉ tiêu 1.11 “Công nhận sáng chế, phát minh, KDCN, bản quyền tác giả”, tổng 4 cho hai năm, chưa xác định được tỷ lệ thực hiện. Trong phạm vi chỉ tiêu, không gồm nhãn hiệu, hai năm 2024 - 2025 chỉ có 5 kiểu dáng công nghiệp ghi năm 2024 nhưng trạng thái chưa thống nhất; giấy chứng nhận quyền tác giả năm 2025 thuộc pháp nhân UNIGO. Nếu 5 kiểu dáng được xác nhận cấp năm 2024, kết quả là 5 trên 4, tức 125%, và cả 5 đều hình thành qua hợp tác doanh nghiệp, không từ đề tài. Do Kế hoạch gộp sáng chế với kiểu dáng công nghiệp và quyền tác giả trong một chỉ tiêu, chỉ tiêu này có thể được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tc>
        <w:tc>
          <w:tcPr>
            <w:tcW w:type="dxa" w:w="1984"/>
          </w:tcPr>
          <w:p>
            <w:pPr>
              <w:spacing w:after="20"/>
            </w:pPr>
            <w:r/>
            <w:r>
              <w:rPr>
                <w:b w:val="0"/>
                <w:sz w:val="19"/>
              </w:rPr>
              <w:t>Góp ý mục 6: Kế hoạch số 07/KH-ĐHTĐ, mục 2.2.4, chỉ tiêu 1.11 không gồm nhãn hiệu; Góp ý mục 5: Theo dõi đơn nhãn hiệu và KDCN.xlsx, Sheet1 và Sheet2; quyền tác giả chưa đăng ký không có nghĩa là chưa có quyền</w:t>
            </w:r>
          </w:p>
        </w:tc>
      </w:tr>
      <w:tr>
        <w:tc>
          <w:tcPr>
            <w:tcW w:type="dxa" w:w="567"/>
          </w:tcPr>
          <w:p>
            <w:pPr>
              <w:spacing w:after="20"/>
            </w:pPr>
            <w:r/>
            <w:r>
              <w:rPr>
                <w:b w:val="0"/>
                <w:sz w:val="19"/>
              </w:rPr>
              <w:t>61</w:t>
            </w:r>
          </w:p>
        </w:tc>
        <w:tc>
          <w:tcPr>
            <w:tcW w:type="dxa" w:w="2041"/>
          </w:tcPr>
          <w:p>
            <w:pPr>
              <w:spacing w:after="20"/>
            </w:pPr>
            <w:r/>
            <w:r>
              <w:rPr>
                <w:b w:val="0"/>
                <w:sz w:val="19"/>
              </w:rPr>
              <w:t>Chương 2; 2.5.1. Kết quả đạt được, đoạn 1</w:t>
            </w:r>
          </w:p>
        </w:tc>
        <w:tc>
          <w:tcPr>
            <w:tcW w:type="dxa" w:w="5102"/>
          </w:tcPr>
          <w:p>
            <w:pPr>
              <w:spacing w:after="20"/>
            </w:pPr>
            <w:r/>
            <w:r>
              <w:rPr>
                <w:b w:val="0"/>
                <w:sz w:val="19"/>
              </w:rPr>
              <w:t>Thứ nhất, Nhà trường có tầm nhìn sớm về thể chế sở hữu trí tuệ. Quyết định 213 năm 2021 đã dành một chương riêng với phạm vi tài sản khá đầy đủ và quy trình đăng ký một cửa; Quyết định 217 ngày 21 tháng 11 năm 2024 tiếp tục ban hành quy chế chuyên biệt, mở rộng phạm vi tài sản, bổ sung nguyên tắc công bố và bảo mật, phân công đầu mối. Cả hai văn bản đều ra đời trước khi Luật số 93/2025/QH15 và Luật số 131/2025/QH15 được ban hành.</w:t>
            </w:r>
          </w:p>
        </w:tc>
        <w:tc>
          <w:tcPr>
            <w:tcW w:type="dxa" w:w="5102"/>
          </w:tcPr>
          <w:p>
            <w:pPr>
              <w:spacing w:after="20"/>
            </w:pPr>
            <w:r/>
            <w:r>
              <w:rPr>
                <w:b w:val="0"/>
                <w:sz w:val="19"/>
              </w:rPr>
              <w:t>Thứ nhất, Nhà trường có tầm nhìn sớm về thể chế sở hữu trí tuệ. Quyết định 213 năm 2021 đã dành một chương riêng với phạm vi tài sản khá đầy đủ, quy trình đăng ký một cửa và căn cứ chi cho thủ tục xác lập quyền; Quyết định 217 ngày 21 tháng 11 năm 2024 tiếp tục ban hành quy chế chuyên biệt, mở rộng phạm vi tài sản, bổ sung nguyên tắc công bố và bảo mật, phân công đầu mối và quy định các hành vi xâm phạm quyền tác giả. Cả hai văn bản đều ra đời trước khi Luật số 93/2025/QH15 và Luật số 131/2025/QH15 được ban hành.</w:t>
            </w:r>
          </w:p>
        </w:tc>
        <w:tc>
          <w:tcPr>
            <w:tcW w:type="dxa" w:w="1984"/>
          </w:tcPr>
          <w:p>
            <w:pPr>
              <w:spacing w:after="20"/>
            </w:pPr>
            <w:r/>
            <w:r>
              <w:rPr>
                <w:b w:val="0"/>
                <w:sz w:val="19"/>
              </w:rPr>
              <w:t>Góp ý mục 3: Điều 35, Điều 38 và các biểu mẫu Quyết định 213; Điều 10, Điều 11 Quyết định 217; Góp ý mục 4: chỉ kết luận xung đột khi cùng một tình huống chịu yêu cầu không tương thích; Điều 14 Quyết định 217</w:t>
            </w:r>
          </w:p>
        </w:tc>
      </w:tr>
      <w:tr>
        <w:tc>
          <w:tcPr>
            <w:tcW w:type="dxa" w:w="567"/>
          </w:tcPr>
          <w:p>
            <w:pPr>
              <w:spacing w:after="20"/>
            </w:pPr>
            <w:r/>
            <w:r>
              <w:rPr>
                <w:b w:val="0"/>
                <w:sz w:val="19"/>
              </w:rPr>
              <w:t>62</w:t>
            </w:r>
          </w:p>
        </w:tc>
        <w:tc>
          <w:tcPr>
            <w:tcW w:type="dxa" w:w="2041"/>
          </w:tcPr>
          <w:p>
            <w:pPr>
              <w:spacing w:after="20"/>
            </w:pPr>
            <w:r/>
            <w:r>
              <w:rPr>
                <w:b w:val="0"/>
                <w:sz w:val="19"/>
              </w:rPr>
              <w:t>Chương 2; 2.5.1. Kết quả đạt được, đoạn 2</w:t>
            </w:r>
          </w:p>
        </w:tc>
        <w:tc>
          <w:tcPr>
            <w:tcW w:type="dxa" w:w="5102"/>
          </w:tcPr>
          <w:p>
            <w:pPr>
              <w:spacing w:after="20"/>
            </w:pPr>
            <w:r/>
            <w:r>
              <w:rPr>
                <w:b w:val="0"/>
                <w:sz w:val="19"/>
              </w:rPr>
              <w:t>Thứ hai, Nhà trường đã xác lập 12 tài sản trí tuệ, trong đó 9 tài sản có văn bằng. Nhóm thương hiệu gồm tên trường, bộ nhận diện và thương hiệu hệ sinh thái được bảo hộ liên tục từ năm 2021. 5 kiểu dáng công nghiệp và 1 nhãn hiệu đồng sở hữu là thành công nổi bật trong chiến lược hợp tác đại học với doanh nghiệp mà Ban Giám hiệu đã dày công kết nối.</w:t>
            </w:r>
          </w:p>
        </w:tc>
        <w:tc>
          <w:tcPr>
            <w:tcW w:type="dxa" w:w="5102"/>
          </w:tcPr>
          <w:p>
            <w:pPr>
              <w:spacing w:after="20"/>
            </w:pPr>
            <w:r/>
            <w:r>
              <w:rPr>
                <w:b w:val="0"/>
                <w:sz w:val="19"/>
              </w:rPr>
              <w:t>Thứ hai, trong kỳ 2021 - 2025, Nhà trường có 11 hồ sơ tài sản trí tuệ thuộc sở hữu hoặc đồng sở hữu, trong đó 4 tài sản đã được cấp văn bằng, giấy chứng nhận và 5 kiểu dáng công nghiệp đã có số hiệu văn bằng cần xác nhận trạng thái. Nhóm thương hiệu gồm tên trường, bộ nhận diện và thương hiệu hệ sinh thái được bảo hộ từ năm 2021. 5 kiểu dáng công nghiệp và 1 đơn nhãn hiệu đồng sở hữu là thành công nổi bật trong chiến lược hợp tác đại học với doanh nghiệp mà Ban Giám hiệu đã dày công kết nối.</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63</w:t>
            </w:r>
          </w:p>
        </w:tc>
        <w:tc>
          <w:tcPr>
            <w:tcW w:type="dxa" w:w="2041"/>
          </w:tcPr>
          <w:p>
            <w:pPr>
              <w:spacing w:after="20"/>
            </w:pPr>
            <w:r/>
            <w:r>
              <w:rPr>
                <w:b w:val="0"/>
                <w:sz w:val="19"/>
              </w:rPr>
              <w:t>Chương 2; 2.5.1. Kết quả đạt được, đoạn 3</w:t>
            </w:r>
          </w:p>
        </w:tc>
        <w:tc>
          <w:tcPr>
            <w:tcW w:type="dxa" w:w="5102"/>
          </w:tcPr>
          <w:p>
            <w:pPr>
              <w:spacing w:after="20"/>
            </w:pPr>
            <w:r/>
            <w:r>
              <w:rPr>
                <w:b w:val="0"/>
                <w:sz w:val="19"/>
              </w:rPr>
              <w:t>Thứ ba, năng lực nghiên cứu tăng nhanh: số bài báo tăng bình quân 62,7% một năm, đạt 1,11 bài trên một giảng viên năm 2025; 7 trên 10 chỉ tiêu khoa học công nghệ của Kế hoạch 07/KH-ĐHTĐ đạt hoặc vượt; ba đề tài cấp quốc gia với tổng kinh phí 4,67 tỷ đồng được giao.</w:t>
            </w:r>
          </w:p>
        </w:tc>
        <w:tc>
          <w:tcPr>
            <w:tcW w:type="dxa" w:w="5102"/>
          </w:tcPr>
          <w:p>
            <w:pPr>
              <w:spacing w:after="20"/>
            </w:pPr>
            <w:r/>
            <w:r>
              <w:rPr>
                <w:b w:val="0"/>
                <w:sz w:val="19"/>
              </w:rPr>
              <w:t>Thứ ba, năng lực nghiên cứu tăng nhanh: số bài báo tăng bình quân 62,7% một năm, đạt 1,11 bài trên một giảng viên năm 2025; 6 trên 9 chỉ tiêu khoa học công nghệ xác định được của Kế hoạch 07/KH-ĐHTĐ đạt hoặc vượt; ba đề tài cấp quốc gia với tổng kinh phí 4,67 tỷ đồng được phê duyệt.</w:t>
            </w:r>
          </w:p>
        </w:tc>
        <w:tc>
          <w:tcPr>
            <w:tcW w:type="dxa" w:w="1984"/>
          </w:tcPr>
          <w:p>
            <w:pPr>
              <w:spacing w:after="20"/>
            </w:pPr>
            <w:r/>
            <w:r>
              <w:rPr>
                <w:b w:val="0"/>
                <w:sz w:val="19"/>
              </w:rPr>
              <w:t>Góp ý mục 6: Kế hoạch số 07/KH-ĐHTĐ, mục 2.2.4, chỉ tiêu 1.11 không gồm nhãn hiệu</w:t>
            </w:r>
          </w:p>
        </w:tc>
      </w:tr>
      <w:tr>
        <w:tc>
          <w:tcPr>
            <w:tcW w:type="dxa" w:w="567"/>
          </w:tcPr>
          <w:p>
            <w:pPr>
              <w:spacing w:after="20"/>
            </w:pPr>
            <w:r/>
            <w:r>
              <w:rPr>
                <w:b w:val="0"/>
                <w:sz w:val="19"/>
              </w:rPr>
              <w:t>64</w:t>
            </w:r>
          </w:p>
        </w:tc>
        <w:tc>
          <w:tcPr>
            <w:tcW w:type="dxa" w:w="2041"/>
          </w:tcPr>
          <w:p>
            <w:pPr>
              <w:spacing w:after="20"/>
            </w:pPr>
            <w:r/>
            <w:r>
              <w:rPr>
                <w:b w:val="0"/>
                <w:sz w:val="19"/>
              </w:rPr>
              <w:t>Chương 2; 2.5.1. Kết quả đạt được, đoạn 4</w:t>
            </w:r>
          </w:p>
        </w:tc>
        <w:tc>
          <w:tcPr>
            <w:tcW w:type="dxa" w:w="5102"/>
          </w:tcPr>
          <w:p>
            <w:pPr>
              <w:spacing w:after="20"/>
            </w:pPr>
            <w:r/>
            <w:r>
              <w:rPr>
                <w:b w:val="0"/>
                <w:sz w:val="19"/>
              </w:rPr>
              <w:t>Thứ tư, tiềm năng tài sản trí tuệ của đội ngũ là rất lớn, đặc biệt ở khối ngành Y - Dược: 11 trên 38 đề tài cấp cơ sở tạo ra sản phẩm đủ điều kiện xác lập quyền, và kênh chuyển hóa từ đề tài sang quyền sở hữu công nghiệp đã vận hành với đơn sáng chế từ đề tài chiết xuất lá Quế hoa năm 2025 và đơn sáng chế thứ hai năm 2026.</w:t>
            </w:r>
          </w:p>
        </w:tc>
        <w:tc>
          <w:tcPr>
            <w:tcW w:type="dxa" w:w="5102"/>
          </w:tcPr>
          <w:p>
            <w:pPr>
              <w:spacing w:after="20"/>
            </w:pPr>
            <w:r/>
            <w:r>
              <w:rPr>
                <w:b w:val="0"/>
                <w:sz w:val="19"/>
              </w:rPr>
              <w:t>Thứ tư, đội ngũ có tiềm năng tạo lập tài sản trí tuệ, nhất là ở khối ngành Y - Dược: 11 trên 38 đề tài cấp cơ sở có sản phẩm tiềm năng, trong đó 9 thuộc sở hữu công nghiệp; kênh chuyển hóa từ đề tài sang đơn sáng chế đã có trường hợp đầu tiên với đề tài chiết xuất lá Quế hoa năm 2025, và năm 2026 có thêm một đơn sáng chế.</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65</w:t>
            </w:r>
          </w:p>
        </w:tc>
        <w:tc>
          <w:tcPr>
            <w:tcW w:type="dxa" w:w="2041"/>
          </w:tcPr>
          <w:p>
            <w:pPr>
              <w:spacing w:after="20"/>
            </w:pPr>
            <w:r/>
            <w:r>
              <w:rPr>
                <w:b w:val="0"/>
                <w:sz w:val="19"/>
              </w:rPr>
              <w:t>Chương 2; 2.5.1. Kết quả đạt được, đoạn 5</w:t>
            </w:r>
          </w:p>
        </w:tc>
        <w:tc>
          <w:tcPr>
            <w:tcW w:type="dxa" w:w="5102"/>
          </w:tcPr>
          <w:p>
            <w:pPr>
              <w:spacing w:after="20"/>
            </w:pPr>
            <w:r/>
            <w:r>
              <w:rPr>
                <w:b w:val="0"/>
                <w:sz w:val="19"/>
              </w:rPr>
              <w:t>Thứ năm, Nhà trường đã có nguồn lực tài chính gắn cơ chế sở hữu trí tuệ tương đối hoàn chỉnh là Quỹ Học bổng sau tiến sĩ Ngô Xuân Độ với ngân sách 5 tỷ đồng, và có kết nối với Mạng lưới Trung tâm Hỗ trợ công nghệ và đổi mới sáng tạo từ năm 2023.</w:t>
            </w:r>
          </w:p>
        </w:tc>
        <w:tc>
          <w:tcPr>
            <w:tcW w:type="dxa" w:w="5102"/>
          </w:tcPr>
          <w:p>
            <w:pPr>
              <w:spacing w:after="20"/>
            </w:pPr>
            <w:r/>
            <w:r>
              <w:rPr>
                <w:b w:val="0"/>
                <w:sz w:val="19"/>
              </w:rPr>
              <w:t>Thứ năm, các biểu mẫu đề xuất, thuyết minh, hợp đồng và nghiệm thu tại Quyết định 213 đã có mục về đăng ký sở hữu trí tuệ, tạo nền để bổ sung nội dung sàng lọc; từ năm 2025, theo thông tin được cung cấp, Nhà trường có thêm Quỹ Học bổng sau tiến sĩ Ngô Xuân Độ với cơ chế đồng sở hữu văn bằng.</w:t>
            </w:r>
          </w:p>
        </w:tc>
        <w:tc>
          <w:tcPr>
            <w:tcW w:type="dxa" w:w="1984"/>
          </w:tcPr>
          <w:p>
            <w:pPr>
              <w:spacing w:after="20"/>
            </w:pPr>
            <w:r/>
            <w:r>
              <w:rPr>
                <w:b w:val="0"/>
                <w:sz w:val="19"/>
              </w:rPr>
              <w:t>Góp ý mục 3: Điều 35, Điều 38 và các biểu mẫu Quyết định 213; Điều 10, Điều 11 Quyết định 217</w:t>
            </w:r>
          </w:p>
        </w:tc>
      </w:tr>
      <w:tr>
        <w:tc>
          <w:tcPr>
            <w:tcW w:type="dxa" w:w="567"/>
          </w:tcPr>
          <w:p>
            <w:pPr>
              <w:spacing w:after="20"/>
            </w:pPr>
            <w:r/>
            <w:r>
              <w:rPr>
                <w:b w:val="0"/>
                <w:sz w:val="19"/>
              </w:rPr>
              <w:t>66</w:t>
            </w:r>
          </w:p>
        </w:tc>
        <w:tc>
          <w:tcPr>
            <w:tcW w:type="dxa" w:w="2041"/>
          </w:tcPr>
          <w:p>
            <w:pPr>
              <w:spacing w:after="20"/>
            </w:pPr>
            <w:r/>
            <w:r>
              <w:rPr>
                <w:b w:val="0"/>
                <w:sz w:val="19"/>
              </w:rPr>
              <w:t>Chương 2; 2.5.2. Hạn chế, đoạn 1</w:t>
            </w:r>
          </w:p>
        </w:tc>
        <w:tc>
          <w:tcPr>
            <w:tcW w:type="dxa" w:w="5102"/>
          </w:tcPr>
          <w:p>
            <w:pPr>
              <w:spacing w:after="20"/>
            </w:pPr>
            <w:r/>
            <w:r>
              <w:rPr>
                <w:b w:val="0"/>
                <w:sz w:val="19"/>
              </w:rPr>
              <w:t>Thứ nhất, kết quả nghiên cứu chưa được chuyển hóa thành quyền tương xứng với tiềm năng: 11 trên 38 đề tài có sản phẩm đủ điều kiện nhưng mới 1 đề tài nộp đơn; 8 đề tài đủ điều kiện giai đoạn 2021 - 2024 chưa được nộp đơn.</w:t>
            </w:r>
          </w:p>
        </w:tc>
        <w:tc>
          <w:tcPr>
            <w:tcW w:type="dxa" w:w="5102"/>
          </w:tcPr>
          <w:p>
            <w:pPr>
              <w:spacing w:after="20"/>
            </w:pPr>
            <w:r/>
            <w:r>
              <w:rPr>
                <w:b w:val="0"/>
                <w:sz w:val="19"/>
              </w:rPr>
              <w:t>Thứ nhất, kết quả nghiên cứu chưa được chuyển hóa thành quyền tương xứng với tiềm năng: 9 đề tài có sản phẩm tiềm năng sở hữu công nghiệp nhưng mới 1 đề tài có đơn; 6 đề tài mã số 2021 - 2024 có sản phẩm tiềm năng sở hữu công nghiệp chưa có đơn, và 2 sản phẩm thuộc quyền tác giả chưa được đăng ký.</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67</w:t>
            </w:r>
          </w:p>
        </w:tc>
        <w:tc>
          <w:tcPr>
            <w:tcW w:type="dxa" w:w="2041"/>
          </w:tcPr>
          <w:p>
            <w:pPr>
              <w:spacing w:after="20"/>
            </w:pPr>
            <w:r/>
            <w:r>
              <w:rPr>
                <w:b w:val="0"/>
                <w:sz w:val="19"/>
              </w:rPr>
              <w:t>Chương 2; 2.5.2. Hạn chế, đoạn 2</w:t>
            </w:r>
          </w:p>
        </w:tc>
        <w:tc>
          <w:tcPr>
            <w:tcW w:type="dxa" w:w="5102"/>
          </w:tcPr>
          <w:p>
            <w:pPr>
              <w:spacing w:after="20"/>
            </w:pPr>
            <w:r/>
            <w:r>
              <w:rPr>
                <w:b w:val="0"/>
                <w:sz w:val="19"/>
              </w:rPr>
              <w:t>Thứ hai, hệ thống quy định nội bộ ban hành ở các thời điểm khác nhau chưa kịp cập nhật theo pháp luật mới: bốn văn bản chứa năm quy định chia lợi ích; khoản nộp ngân sách và mức trần 100 triệu đồng tại điểm a khoản 4 Điều 36 Quyết định 213 được xây dựng theo khung pháp luật trước đây, nay chưa tương thích với Điều 28 Luật số 93/2025/QH15 và Điều 135 Luật Sở hữu trí tuệ hiện hành.</w:t>
            </w:r>
          </w:p>
        </w:tc>
        <w:tc>
          <w:tcPr>
            <w:tcW w:type="dxa" w:w="5102"/>
          </w:tcPr>
          <w:p>
            <w:pPr>
              <w:spacing w:after="20"/>
            </w:pPr>
            <w:r/>
            <w:r>
              <w:rPr>
                <w:b w:val="0"/>
                <w:sz w:val="19"/>
              </w:rPr>
              <w:t>Thứ hai, các quy định nội bộ ban hành ở những thời điểm khác nhau chưa làm rõ phạm vi và thứ tự áp dụng giữa các quy định về lợi ích của tác giả, chưa phân biệt thưởng, thù lao và phần chia nguồn thu; điểm a khoản 4 Điều 36 Quyết định 213 cần được rà soát theo Điều 28 và Điều 73 Luật số 93/2025/QH15 đối với các trường hợp thuộc phạm vi áp dụng của Luật mới.</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w:t>
            </w:r>
          </w:p>
        </w:tc>
      </w:tr>
      <w:tr>
        <w:tc>
          <w:tcPr>
            <w:tcW w:type="dxa" w:w="567"/>
          </w:tcPr>
          <w:p>
            <w:pPr>
              <w:spacing w:after="20"/>
            </w:pPr>
            <w:r/>
            <w:r>
              <w:rPr>
                <w:b w:val="0"/>
                <w:sz w:val="19"/>
              </w:rPr>
              <w:t>68</w:t>
            </w:r>
          </w:p>
        </w:tc>
        <w:tc>
          <w:tcPr>
            <w:tcW w:type="dxa" w:w="2041"/>
          </w:tcPr>
          <w:p>
            <w:pPr>
              <w:spacing w:after="20"/>
            </w:pPr>
            <w:r/>
            <w:r>
              <w:rPr>
                <w:b w:val="0"/>
                <w:sz w:val="19"/>
              </w:rPr>
              <w:t>Chương 2; 2.5.2. Hạn chế, đoạn 4</w:t>
            </w:r>
          </w:p>
        </w:tc>
        <w:tc>
          <w:tcPr>
            <w:tcW w:type="dxa" w:w="5102"/>
          </w:tcPr>
          <w:p>
            <w:pPr>
              <w:spacing w:after="20"/>
            </w:pPr>
            <w:r/>
            <w:r>
              <w:rPr>
                <w:b w:val="0"/>
                <w:sz w:val="19"/>
              </w:rPr>
              <w:t>Thứ tư, tài sản do Nhà trường đơn sở hữu hình thành từ kết quả nghiên cứu còn ít: ngoài 4 tài sản thương hiệu, mới có 2 đơn sáng chế; các văn bằng sở hữu công nghiệp hiện có đều hình thành qua hợp tác doanh nghiệp.</w:t>
            </w:r>
          </w:p>
        </w:tc>
        <w:tc>
          <w:tcPr>
            <w:tcW w:type="dxa" w:w="5102"/>
          </w:tcPr>
          <w:p>
            <w:pPr>
              <w:spacing w:after="20"/>
            </w:pPr>
            <w:r/>
            <w:r>
              <w:rPr>
                <w:b w:val="0"/>
                <w:sz w:val="19"/>
              </w:rPr>
              <w:t>Thứ tư, tài sản do Nhà trường đơn sở hữu hình thành từ kết quả nghiên cứu còn ít: ngoài 4 tài sản thương hiệu, trong kỳ mới có 1 đơn sáng chế; các hồ sơ sở hữu công nghiệp khác đều hình thành qua hợp tác doanh nghiệp.</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69</w:t>
            </w:r>
          </w:p>
        </w:tc>
        <w:tc>
          <w:tcPr>
            <w:tcW w:type="dxa" w:w="2041"/>
          </w:tcPr>
          <w:p>
            <w:pPr>
              <w:spacing w:after="20"/>
            </w:pPr>
            <w:r/>
            <w:r>
              <w:rPr>
                <w:b w:val="0"/>
                <w:sz w:val="19"/>
              </w:rPr>
              <w:t>Chương 2; 2.5.2. Hạn chế, đoạn 5</w:t>
            </w:r>
          </w:p>
        </w:tc>
        <w:tc>
          <w:tcPr>
            <w:tcW w:type="dxa" w:w="5102"/>
          </w:tcPr>
          <w:p>
            <w:pPr>
              <w:spacing w:after="20"/>
            </w:pPr>
            <w:r/>
            <w:r>
              <w:rPr>
                <w:b w:val="0"/>
                <w:sz w:val="19"/>
              </w:rPr>
              <w:t>Thứ năm, hệ thống dữ liệu chưa đáp ứng đầy đủ yêu cầu quản lý và nghĩa vụ công khai: chưa có danh mục tài sản trí tuệ trong hệ thống thống kê, độ phủ khai báo khoảng 29,9%, 7 trên 16 tiêu chí đánh giá chưa tính được.</w:t>
            </w:r>
          </w:p>
        </w:tc>
        <w:tc>
          <w:tcPr>
            <w:tcW w:type="dxa" w:w="5102"/>
          </w:tcPr>
          <w:p>
            <w:pPr>
              <w:spacing w:after="20"/>
            </w:pPr>
            <w:r/>
            <w:r>
              <w:rPr>
                <w:b w:val="0"/>
                <w:sz w:val="19"/>
              </w:rPr>
              <w:t>Thứ năm, hệ thống dữ liệu chưa đáp ứng đầy đủ yêu cầu quản lý và nghĩa vụ công khai: chưa có danh mục tài sản trí tuệ trong hệ thống thống kê, hai bảng theo dõi chưa thống nhất trạng thái 5 kiểu dáng, danh mục bài báo không liên kết với đề tài, 7 trên 16 tiêu chí đánh giá chưa tính được.</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70</w:t>
            </w:r>
          </w:p>
        </w:tc>
        <w:tc>
          <w:tcPr>
            <w:tcW w:type="dxa" w:w="2041"/>
          </w:tcPr>
          <w:p>
            <w:pPr>
              <w:spacing w:after="20"/>
            </w:pPr>
            <w:r/>
            <w:r>
              <w:rPr>
                <w:b w:val="0"/>
                <w:sz w:val="19"/>
              </w:rPr>
              <w:t>Chương 2; 2.5.2. Hạn chế, đoạn 6</w:t>
            </w:r>
          </w:p>
        </w:tc>
        <w:tc>
          <w:tcPr>
            <w:tcW w:type="dxa" w:w="5102"/>
          </w:tcPr>
          <w:p>
            <w:pPr>
              <w:spacing w:after="20"/>
            </w:pPr>
            <w:r/>
            <w:r>
              <w:rPr>
                <w:b w:val="0"/>
                <w:sz w:val="19"/>
              </w:rPr>
              <w:t>Thứ sáu, hoạt động khai thác có thu phí còn ở quy mô nhỏ: hai hợp đồng chuyển giao quyền sử dụng tác phẩm trong năm năm; các văn bằng đã cấp chưa phát sinh giao dịch chuyển giao quyền.</w:t>
            </w:r>
          </w:p>
        </w:tc>
        <w:tc>
          <w:tcPr>
            <w:tcW w:type="dxa" w:w="5102"/>
          </w:tcPr>
          <w:p>
            <w:pPr>
              <w:spacing w:after="20"/>
            </w:pPr>
            <w:r/>
            <w:r>
              <w:rPr>
                <w:b w:val="0"/>
                <w:sz w:val="19"/>
              </w:rPr>
              <w:t>Thứ sáu, hoạt động khai thác có thu phí còn ở quy mô nhỏ: hai hợp đồng chuyển giao quyền sử dụng tác phẩm trong năm năm; các văn bằng, giấy chứng nhận hiện có chưa ghi nhận giao dịch chuyển giao quyền.</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71</w:t>
            </w:r>
          </w:p>
        </w:tc>
        <w:tc>
          <w:tcPr>
            <w:tcW w:type="dxa" w:w="2041"/>
          </w:tcPr>
          <w:p>
            <w:pPr>
              <w:spacing w:after="20"/>
            </w:pPr>
            <w:r/>
            <w:r>
              <w:rPr>
                <w:b w:val="0"/>
                <w:sz w:val="19"/>
              </w:rPr>
              <w:t>Chương 2; a) Nguyên nhân khách quan, đoạn 1</w:t>
            </w:r>
          </w:p>
        </w:tc>
        <w:tc>
          <w:tcPr>
            <w:tcW w:type="dxa" w:w="5102"/>
          </w:tcPr>
          <w:p>
            <w:pPr>
              <w:spacing w:after="20"/>
            </w:pPr>
            <w:r/>
            <w:r>
              <w:rPr>
                <w:b w:val="0"/>
                <w:sz w:val="19"/>
              </w:rPr>
              <w:t>Thứ nhất, độ trễ thể chế trước sự thay đổi dồn dập của pháp luật quốc gia giai đoạn 2025 - 2026. Chỉ trong khoảng một năm, Luật Khoa học, công nghệ và đổi mới sáng tạo số 93/2025/QH15 có hiệu lực từ ngày 01 tháng 10 năm 2025 thay thế Luật Khoa học và công nghệ năm 2013, với cơ chế tự động giao quyền sở hữu kết quả và thưởng tác giả tối thiểu 30% lợi nhuận;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Nhà trường ban hành năm 2021 và 2024 với tầm nhìn sớm vì vậy tất yếu cần được rà soát, và việc hợp nhất quy chế là cơ hội để Nhà trường đi tiên phong đón đầu luật mới.</w:t>
            </w:r>
          </w:p>
        </w:tc>
        <w:tc>
          <w:tcPr>
            <w:tcW w:type="dxa" w:w="5102"/>
          </w:tcPr>
          <w:p>
            <w:pPr>
              <w:spacing w:after="20"/>
            </w:pPr>
            <w:r/>
            <w:r>
              <w:rPr>
                <w:b w:val="0"/>
                <w:sz w:val="19"/>
              </w:rPr>
              <w:t>Thứ nhất, độ trễ thể chế trước sự thay đổi dồn dập của pháp luật quốc gia giai đoạn 2025 - 2026. Luật Khoa học, công nghệ và đổi mới sáng tạo số 93/2025/QH15 có hiệu lực từ ngày 01 tháng 10 năm 2025,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ban hành năm 2021 và 2024 được xây dựng theo khung pháp luật tại thời điểm ban hành, nên từ cuối năm 2025 cần được rà soát để xác định phạm vi áp dụng theo luật mới. Nguyên nhân này giải thích nhu cầu cập nhật quy chế, không giải thích kết quả xác lập quyền giai đoạn 2021 - 2024, khi các luật mới chưa có hiệu lực.</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72</w:t>
            </w:r>
          </w:p>
        </w:tc>
        <w:tc>
          <w:tcPr>
            <w:tcW w:type="dxa" w:w="2041"/>
          </w:tcPr>
          <w:p>
            <w:pPr>
              <w:spacing w:after="20"/>
            </w:pPr>
            <w:r/>
            <w:r>
              <w:rPr>
                <w:b w:val="0"/>
                <w:sz w:val="19"/>
              </w:rPr>
              <w:t>Chương 2; a) Nguyên nhân khách quan, đoạn 2</w:t>
            </w:r>
          </w:p>
        </w:tc>
        <w:tc>
          <w:tcPr>
            <w:tcW w:type="dxa" w:w="5102"/>
          </w:tcPr>
          <w:p>
            <w:pPr>
              <w:spacing w:after="20"/>
            </w:pPr>
            <w:r/>
            <w:r>
              <w:rPr>
                <w:b w:val="0"/>
                <w:sz w:val="19"/>
              </w:rPr>
              <w:t>Thứ hai, thủ tục xác lập quyền sở hữu công nghiệp kéo dài và phát sinh chi phí tra cứu, soạn đơn, lệ phí, phí duy trì; là trường tư thục, Nhà trường phải tự cân đối các khoản này từ nguồn thu của mình.</w:t>
            </w:r>
          </w:p>
        </w:tc>
        <w:tc>
          <w:tcPr>
            <w:tcW w:type="dxa" w:w="5102"/>
          </w:tcPr>
          <w:p>
            <w:pPr>
              <w:spacing w:after="20"/>
            </w:pPr>
            <w:r/>
            <w:r>
              <w:rPr>
                <w:b w:val="0"/>
                <w:sz w:val="19"/>
              </w:rPr>
              <w:t>Thứ hai, thủ tục xác lập quyền sở hữu công nghiệp kéo dài và phát sinh chi phí tra cứu, soạn đơn, lệ phí, phí duy trì; là trường tư thục, Nhà trường tự cân đối các khoản này từ nguồn thu của mình.</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73</w:t>
            </w:r>
          </w:p>
        </w:tc>
        <w:tc>
          <w:tcPr>
            <w:tcW w:type="dxa" w:w="2041"/>
          </w:tcPr>
          <w:p>
            <w:pPr>
              <w:spacing w:after="20"/>
            </w:pPr>
            <w:r/>
            <w:r>
              <w:rPr>
                <w:b w:val="0"/>
                <w:sz w:val="19"/>
              </w:rPr>
              <w:t>Chương 2; a) Nguyên nhân khách quan, đoạn 4</w:t>
            </w:r>
          </w:p>
        </w:tc>
        <w:tc>
          <w:tcPr>
            <w:tcW w:type="dxa" w:w="5102"/>
          </w:tcPr>
          <w:p>
            <w:pPr>
              <w:spacing w:after="20"/>
            </w:pPr>
            <w:r/>
            <w:r>
              <w:rPr>
                <w:b w:val="0"/>
                <w:sz w:val="19"/>
              </w:rPr>
              <w:t>Các nguyên nhân khách quan giải thích vì sao quy mô tài sản trí tuệ còn nhỏ, song chưa giải thích đầy đủ vì sao 8 đề tài đủ điều kiện giai đoạn 2021 - 2024 chưa được nộp đơn.</w:t>
            </w:r>
          </w:p>
        </w:tc>
        <w:tc>
          <w:tcPr>
            <w:tcW w:type="dxa" w:w="5102"/>
          </w:tcPr>
          <w:p>
            <w:pPr>
              <w:spacing w:after="20"/>
            </w:pPr>
            <w:r/>
            <w:r>
              <w:rPr>
                <w:b w:val="0"/>
                <w:sz w:val="19"/>
              </w:rPr>
              <w:t>Các nguyên nhân khách quan giải thích vì sao quy mô tài sản trí tuệ còn nhỏ, song chưa giải thích đầy đủ vì sao 6 đề tài mã số 2021 - 2024 có sản phẩm tiềm năng sở hữu công nghiệp chưa có đơn.</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74</w:t>
            </w:r>
          </w:p>
        </w:tc>
        <w:tc>
          <w:tcPr>
            <w:tcW w:type="dxa" w:w="2041"/>
          </w:tcPr>
          <w:p>
            <w:pPr>
              <w:spacing w:after="20"/>
            </w:pPr>
            <w:r/>
            <w:r>
              <w:rPr>
                <w:b w:val="0"/>
                <w:sz w:val="19"/>
              </w:rPr>
              <w:t>Chương 2; b) Nguyên nhân chủ quan, đoạn 1</w:t>
            </w:r>
          </w:p>
        </w:tc>
        <w:tc>
          <w:tcPr>
            <w:tcW w:type="dxa" w:w="5102"/>
          </w:tcPr>
          <w:p>
            <w:pPr>
              <w:spacing w:after="20"/>
            </w:pPr>
            <w:r/>
            <w:r>
              <w:rPr>
                <w:b w:val="0"/>
                <w:sz w:val="19"/>
              </w:rPr>
              <w:t>Về quy trình, đây là khoảng trống kỹ thuật cốt lõi: quy trình nghiệm thu chưa có biểu mẫu rà soát khả năng bảo hộ, nên việc nhận diện sản phẩm và khởi động thủ tục phụ thuộc vào sự chủ động của từng tác giả theo Điều 35 Quyết định 213 và Điều 10 Quyết định 217.</w:t>
            </w:r>
          </w:p>
          <w:p>
            <w:pPr>
              <w:spacing w:after="20"/>
            </w:pPr>
            <w:r>
              <w:rPr>
                <w:b w:val="0"/>
                <w:sz w:val="19"/>
              </w:rPr>
              <w:t>Về thể chế, các văn bản được ban hành ở những thời điểm và cho những kênh tài trợ khác nhau, chưa được hợp nhất thành một cơ chế phân chia lợi ích thống nhất.</w:t>
            </w:r>
          </w:p>
          <w:p>
            <w:pPr>
              <w:spacing w:after="20"/>
            </w:pPr>
            <w:r>
              <w:rPr>
                <w:b w:val="0"/>
                <w:sz w:val="19"/>
              </w:rPr>
              <w:t>Về nguồn lực, kênh đề tài cấp cơ sở, nơi tạo ra các sản phẩm có thể bảo hộ, chưa có dòng chi cho phí nộp đơn và duy trì hiệu lực; Quỹ Học bổng sau tiến sĩ có cơ chế đầy đủ nhưng dành cho đối tượng hẹp; đơn vị đầu mối chưa có vị trí chuyên trách về sở hữu trí tuệ.</w:t>
            </w:r>
          </w:p>
          <w:p>
            <w:pPr>
              <w:spacing w:after="20"/>
            </w:pPr>
            <w:r>
              <w:rPr>
                <w:b w:val="0"/>
                <w:sz w:val="19"/>
              </w:rPr>
              <w:t>Về động lực, chế độ khuyến khích hiện hành được thiết kế trước hết cho công bố: văn bằng được quy đổi từ 180 đến 600 giờ nghiên cứu nhưng chưa có tiền thưởng và chỉ được ghi nhận sau khi được cấp, trong khi bài báo quốc tế được thưởng từ 10 đến 20 triệu đồng ngay khi đăng.</w:t>
            </w:r>
          </w:p>
        </w:tc>
        <w:tc>
          <w:tcPr>
            <w:tcW w:type="dxa" w:w="5102"/>
          </w:tcPr>
          <w:p>
            <w:pPr>
              <w:spacing w:after="20"/>
            </w:pPr>
            <w:r/>
            <w:r>
              <w:rPr>
                <w:b w:val="0"/>
                <w:sz w:val="19"/>
              </w:rPr>
              <w:t>Các nguyên nhân chủ quan dưới đây là nhận định rút ra từ hồ sơ hiện có, cần được kiểm chứng thêm bằng hồ sơ thực hiện quy chế và ý kiến của chủ nhiệm đề tài.</w:t>
            </w:r>
          </w:p>
          <w:p>
            <w:pPr>
              <w:spacing w:after="20"/>
            </w:pPr>
            <w:r>
              <w:rPr>
                <w:b w:val="0"/>
                <w:sz w:val="19"/>
              </w:rPr>
              <w:t>Về quy trình, đây là khoảng trống kỹ thuật cốt lõi: thiếu một biểu mẫu rà soát tại thời điểm nghiệm thu. Biểu mẫu hiện hành ghi nhận tình trạng đăng ký nhưng chưa yêu cầu sàng lọc khả năng bảo hộ và tình trạng bộc lộ, nên việc khởi động thủ tục phụ thuộc nhiều vào sự chủ động của chủ nhiệm đề tài khi nộp hồ sơ tại Phòng Khoa học Công nghệ theo Điều 35 Quyết định 213; mức độ thực hiện nhiệm vụ nhận diện của Phòng theo Điều 11 Quyết định 217 chưa được đánh giá.</w:t>
            </w:r>
          </w:p>
          <w:p>
            <w:pPr>
              <w:spacing w:after="20"/>
            </w:pPr>
            <w:r>
              <w:rPr>
                <w:b w:val="0"/>
                <w:sz w:val="19"/>
              </w:rPr>
              <w:t>Về thể chế, các văn bản được ban hành ở những thời điểm và cho những kênh tài trợ khác nhau, chưa xác định rõ phạm vi và thứ tự áp dụng giữa các quy định về lợi ích của tác giả.</w:t>
            </w:r>
          </w:p>
          <w:p>
            <w:pPr>
              <w:spacing w:after="20"/>
            </w:pPr>
            <w:r>
              <w:rPr>
                <w:b w:val="0"/>
                <w:sz w:val="19"/>
              </w:rPr>
              <w:t>Về nguồn lực, quy chế đã có căn cứ chi lệ phí và chi thuê ngoài, nhưng chưa thấy dự toán riêng, cách tạm ứng, thanh toán khi đơn được nộp sau nghiệm thu và người chịu trách nhiệm đề xuất chi; đơn vị đầu mối chưa có vị trí chuyên trách về sở hữu trí tuệ.</w:t>
            </w:r>
          </w:p>
          <w:p>
            <w:pPr>
              <w:spacing w:after="20"/>
            </w:pPr>
            <w:r>
              <w:rPr>
                <w:b w:val="0"/>
                <w:sz w:val="19"/>
              </w:rPr>
              <w:t>Về động lực, quy chế chi tiêu áp dụng giai đoạn 2021 - 2025 chưa có trong hồ sơ nên chưa đánh giá được vai trò của cơ chế khuyến khích đối với kết quả của kỳ. Quy chế chi tiêu nội bộ năm 2026 ghi nhận văn bằng khi được cấp và chưa có tiền thưởng cho văn bằng, trong khi bài báo quốc tế được thưởng ngay khi đăng; đây là rủi ro cho giai đoạn tới.</w:t>
            </w:r>
          </w:p>
        </w:tc>
        <w:tc>
          <w:tcPr>
            <w:tcW w:type="dxa" w:w="1984"/>
          </w:tcPr>
          <w:p>
            <w:pPr>
              <w:spacing w:after="20"/>
            </w:pPr>
            <w:r/>
            <w:r>
              <w:rPr>
                <w:b w:val="0"/>
                <w:sz w:val="19"/>
              </w:rPr>
              <w:t>Góp ý mục 3: Điều 35, Điều 38 và các biểu mẫu Quyết định 213; Điều 10, Điều 11 Quyết định 217; Góp ý mục 7: thống kê, phễu sở hữu công nghiệp, năm theo loại dữ liệu, giảm khẳng định nhân quả</w:t>
            </w:r>
          </w:p>
        </w:tc>
      </w:tr>
      <w:tr>
        <w:tc>
          <w:tcPr>
            <w:tcW w:type="dxa" w:w="567"/>
          </w:tcPr>
          <w:p>
            <w:pPr>
              <w:spacing w:after="20"/>
            </w:pPr>
            <w:r/>
            <w:r>
              <w:rPr>
                <w:b w:val="0"/>
                <w:sz w:val="19"/>
              </w:rPr>
              <w:t>75</w:t>
            </w:r>
          </w:p>
        </w:tc>
        <w:tc>
          <w:tcPr>
            <w:tcW w:type="dxa" w:w="2041"/>
          </w:tcPr>
          <w:p>
            <w:pPr>
              <w:spacing w:after="20"/>
            </w:pPr>
            <w:r/>
            <w:r>
              <w:rPr>
                <w:b w:val="0"/>
                <w:sz w:val="19"/>
              </w:rPr>
              <w:t>Chương 2; b) Nguyên nhân chủ quan, đoạn 7</w:t>
            </w:r>
          </w:p>
        </w:tc>
        <w:tc>
          <w:tcPr>
            <w:tcW w:type="dxa" w:w="5102"/>
          </w:tcPr>
          <w:p>
            <w:pPr>
              <w:spacing w:after="20"/>
            </w:pPr>
            <w:r/>
            <w:r>
              <w:rPr>
                <w:b w:val="0"/>
                <w:sz w:val="19"/>
              </w:rPr>
              <w:t>Về dữ liệu, chưa có danh mục tài sản trí tuệ và độ phủ khai báo còn thấp nên đơn vị đầu mối chưa có công cụ phát hiện sản phẩm cần rà soát.</w:t>
            </w:r>
          </w:p>
        </w:tc>
        <w:tc>
          <w:tcPr>
            <w:tcW w:type="dxa" w:w="5102"/>
          </w:tcPr>
          <w:p>
            <w:pPr>
              <w:spacing w:after="20"/>
            </w:pPr>
            <w:r/>
            <w:r>
              <w:rPr>
                <w:b w:val="0"/>
                <w:sz w:val="19"/>
              </w:rPr>
              <w:t>Về dữ liệu, chưa có danh mục tài sản trí tuệ liên kết với danh mục đề tài nên đơn vị đầu mối chưa có công cụ phát hiện sản phẩm cần rà soát.</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76</w:t>
            </w:r>
          </w:p>
        </w:tc>
        <w:tc>
          <w:tcPr>
            <w:tcW w:type="dxa" w:w="2041"/>
          </w:tcPr>
          <w:p>
            <w:pPr>
              <w:spacing w:after="20"/>
            </w:pPr>
            <w:r/>
            <w:r>
              <w:rPr>
                <w:b w:val="0"/>
                <w:sz w:val="19"/>
              </w:rPr>
              <w:t>Chương 2; b) Nguyên nhân chủ quan, đoạn 9</w:t>
            </w:r>
          </w:p>
        </w:tc>
        <w:tc>
          <w:tcPr>
            <w:tcW w:type="dxa" w:w="5102"/>
          </w:tcPr>
          <w:p>
            <w:pPr>
              <w:spacing w:after="20"/>
            </w:pPr>
            <w:r/>
            <w:r>
              <w:rPr>
                <w:b w:val="0"/>
                <w:sz w:val="19"/>
              </w:rPr>
              <w:t>Hình 2.11. Chuỗi nguyên nhân dẫn đến việc sản phẩm đủ điều kiện chưa được đăng ký bảo hộ</w:t>
            </w:r>
          </w:p>
        </w:tc>
        <w:tc>
          <w:tcPr>
            <w:tcW w:type="dxa" w:w="5102"/>
          </w:tcPr>
          <w:p>
            <w:pPr>
              <w:spacing w:after="20"/>
            </w:pPr>
            <w:r/>
            <w:r>
              <w:rPr>
                <w:b w:val="0"/>
                <w:sz w:val="19"/>
              </w:rPr>
              <w:t>Hình 2.11. Giả thuyết về chuỗi nguyên nhân dẫn đến việc sản phẩm có tiềm năng chưa được đăng ký bảo hộ</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77</w:t>
            </w:r>
          </w:p>
        </w:tc>
        <w:tc>
          <w:tcPr>
            <w:tcW w:type="dxa" w:w="2041"/>
          </w:tcPr>
          <w:p>
            <w:pPr>
              <w:spacing w:after="20"/>
            </w:pPr>
            <w:r/>
            <w:r>
              <w:rPr>
                <w:b w:val="0"/>
                <w:sz w:val="19"/>
              </w:rPr>
              <w:t>Chương 2; b) Nguyên nhân chủ quan, đoạn 10</w:t>
            </w:r>
          </w:p>
        </w:tc>
        <w:tc>
          <w:tcPr>
            <w:tcW w:type="dxa" w:w="5102"/>
          </w:tcPr>
          <w:p>
            <w:pPr>
              <w:spacing w:after="20"/>
            </w:pPr>
            <w:r/>
            <w:r>
              <w:rPr>
                <w:b w:val="0"/>
                <w:sz w:val="19"/>
              </w:rPr>
              <w:t>Nguồn: Nhóm nghiên cứu tổng hợp từ kết quả phân tích tại Mục 2.2 và Mục 2.3.</w:t>
            </w:r>
          </w:p>
        </w:tc>
        <w:tc>
          <w:tcPr>
            <w:tcW w:type="dxa" w:w="5102"/>
          </w:tcPr>
          <w:p>
            <w:pPr>
              <w:spacing w:after="20"/>
            </w:pPr>
            <w:r/>
            <w:r>
              <w:rPr>
                <w:b w:val="0"/>
                <w:sz w:val="19"/>
              </w:rPr>
              <w:t>Nguồn: Nhóm nghiên cứu tổng hợp từ kết quả phân tích tại Mục 2.2 và Mục 2.3. Các mắt xích là giả thuyết cần được kiểm chứng.</w:t>
            </w:r>
          </w:p>
        </w:tc>
        <w:tc>
          <w:tcPr>
            <w:tcW w:type="dxa" w:w="1984"/>
          </w:tcPr>
          <w:p>
            <w:pPr>
              <w:spacing w:after="20"/>
            </w:pPr>
            <w:r/>
            <w:r>
              <w:rPr>
                <w:b w:val="0"/>
                <w:sz w:val="19"/>
              </w:rPr>
              <w:t>Góp ý mục 3: Điều 10, Điều 11 Quyết định 217; không kết luận khi chưa có bằng chứng</w:t>
            </w:r>
          </w:p>
        </w:tc>
      </w:tr>
      <w:tr>
        <w:tc>
          <w:tcPr>
            <w:tcW w:type="dxa" w:w="567"/>
          </w:tcPr>
          <w:p>
            <w:pPr>
              <w:spacing w:after="20"/>
            </w:pPr>
            <w:r/>
            <w:r>
              <w:rPr>
                <w:b w:val="0"/>
                <w:sz w:val="19"/>
              </w:rPr>
              <w:t>78</w:t>
            </w:r>
          </w:p>
        </w:tc>
        <w:tc>
          <w:tcPr>
            <w:tcW w:type="dxa" w:w="2041"/>
          </w:tcPr>
          <w:p>
            <w:pPr>
              <w:spacing w:after="20"/>
            </w:pPr>
            <w:r/>
            <w:r>
              <w:rPr>
                <w:b w:val="0"/>
                <w:sz w:val="19"/>
              </w:rPr>
              <w:t>Chương 2; b) Nguyên nhân chủ quan, đoạn 11</w:t>
            </w:r>
          </w:p>
        </w:tc>
        <w:tc>
          <w:tcPr>
            <w:tcW w:type="dxa" w:w="5102"/>
          </w:tcPr>
          <w:p>
            <w:pPr>
              <w:spacing w:after="20"/>
            </w:pPr>
            <w:r/>
            <w:r>
              <w:rPr>
                <w:b w:val="0"/>
                <w:sz w:val="19"/>
              </w:rPr>
              <w:t>Hình 2.11 cho thấy các nguyên nhân chủ quan liên kết thành một chuỗi. Điểm nghẽn không nằm ở chất lượng đề tài hay năng lực đội ngũ mà ở khoảng trống kỹ thuật tại khâu nghiệm thu: khi chưa có biểu mẫu rà soát, trách nhiệm nhận diện dồn về tác giả; tác giả chưa có kinh phí nộp đơn và phần thưởng cho văn bằng đến chậm nên ưu tiên công bố; sau mười hai tháng kể từ ngày bộc lộ, sản phẩm không còn khả năng đăng ký sáng chế, giải pháp hữu ích. Việc Nhà trường đã tham gia Mạng lưới Trung tâm Hỗ trợ công nghệ và đổi mới sáng tạo từ năm 2023 cho thấy nguồn lực hỗ trợ đã sẵn có; điều cần bổ sung là một bước rà soát bắt buộc để kích hoạt nguồn lực đó. Hệ thống giải pháp tại Chương 3 vì vậy tác động đồng thời vào cả chuỗi, trong đó phiếu rà soát bắt buộc tại thời điểm nghiệm thu là điểm can thiệp ưu tiên.</w:t>
            </w:r>
          </w:p>
        </w:tc>
        <w:tc>
          <w:tcPr>
            <w:tcW w:type="dxa" w:w="5102"/>
          </w:tcPr>
          <w:p>
            <w:pPr>
              <w:spacing w:after="20"/>
            </w:pPr>
            <w:r/>
            <w:r>
              <w:rPr>
                <w:b w:val="0"/>
                <w:sz w:val="19"/>
              </w:rPr>
              <w:t>Hình 2.11 trình bày các nguyên nhân chủ quan dưới dạng một chuỗi giả thuyết. Dữ liệu hiện có cho thấy sản phẩm tiềm năng đã được tạo ra, nên điểm nghẽn nhiều khả năng nằm ở khâu nối giữa nghiệm thu và đăng ký: khi chưa có bước sàng lọc tại nghiệm thu, việc nhận diện phụ thuộc vào sự chủ động của chủ nhiệm đề tài; khi chưa có dự toán và người chịu trách nhiệm đề xuất chi cho bước đăng ký, thủ tục khó được khởi động; nếu kết quả đã được công bố quá mười hai tháng, khả năng đăng ký sáng chế, giải pháp hữu ích không còn. Mỗi mắt xích cần được kiểm chứng bằng hồ sơ thực hiện Điều 10, Điều 11 Quyết định 217 và ý kiến của chủ nhiệm đề tài. Hệ thống giải pháp tại Chương 3 vì vậy ưu tiên bước sàng lọc tại thời điểm nghiệm thu và trước khi công bố, đồng thời thiết kế cách đo để kiểm chứng các giả thuyết này.</w:t>
            </w:r>
          </w:p>
        </w:tc>
        <w:tc>
          <w:tcPr>
            <w:tcW w:type="dxa" w:w="1984"/>
          </w:tcPr>
          <w:p>
            <w:pPr>
              <w:spacing w:after="20"/>
            </w:pPr>
            <w:r/>
            <w:r>
              <w:rPr>
                <w:b w:val="0"/>
                <w:sz w:val="19"/>
              </w:rPr>
              <w:t>Góp ý mục 3: Điều 35, Điều 38 và các biểu mẫu Quyết định 213; Điều 10, Điều 11 Quyết định 217; Góp ý mục 7: thống kê, phễu sở hữu công nghiệp, năm theo loại dữ liệu, giảm khẳng định nhân quả</w:t>
            </w:r>
          </w:p>
        </w:tc>
      </w:tr>
      <w:tr>
        <w:tc>
          <w:tcPr>
            <w:tcW w:type="dxa" w:w="567"/>
          </w:tcPr>
          <w:p>
            <w:pPr>
              <w:spacing w:after="20"/>
            </w:pPr>
            <w:r/>
            <w:r>
              <w:rPr>
                <w:b w:val="0"/>
                <w:sz w:val="19"/>
              </w:rPr>
              <w:t>79</w:t>
            </w:r>
          </w:p>
        </w:tc>
        <w:tc>
          <w:tcPr>
            <w:tcW w:type="dxa" w:w="2041"/>
          </w:tcPr>
          <w:p>
            <w:pPr>
              <w:spacing w:after="20"/>
            </w:pPr>
            <w:r/>
            <w:r>
              <w:rPr>
                <w:b w:val="0"/>
                <w:sz w:val="19"/>
              </w:rPr>
              <w:t>Chương 2; TIỂU KẾT CHƯƠNG 2, đoạn 1</w:t>
            </w:r>
          </w:p>
        </w:tc>
        <w:tc>
          <w:tcPr>
            <w:tcW w:type="dxa" w:w="5102"/>
          </w:tcPr>
          <w:p>
            <w:pPr>
              <w:spacing w:after="20"/>
            </w:pPr>
            <w:r/>
            <w:r>
              <w:rPr>
                <w:b w:val="0"/>
                <w:sz w:val="19"/>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12 tài sản trí tuệ đã được xác lập hoặc đang xử lý đơn, hợp tác doanh nghiệp hiệu quả và kênh chuyển hóa từ đề tài sang đơn sáng chế đã vận hành. Tiềm năng tài sản trí tuệ, nhất là ở khối ngành Y - Dược, là rất lớn: 11 trên 38 đề tài có sản phẩm đủ điều kiện xác lập quyền, trong khi mới 1 đề tài được nộp đơn.</w:t>
            </w:r>
          </w:p>
        </w:tc>
        <w:tc>
          <w:tcPr>
            <w:tcW w:type="dxa" w:w="5102"/>
          </w:tcPr>
          <w:p>
            <w:pPr>
              <w:spacing w:after="20"/>
            </w:pPr>
            <w:r/>
            <w:r>
              <w:rPr>
                <w:b w:val="0"/>
                <w:sz w:val="19"/>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11 hồ sơ tài sản trí tuệ trong kỳ, trong đó 4 tài sản đã được cấp văn bằng, giấy chứng nhận và 5 kiểu dáng cần xác nhận trạng thái, hợp tác doanh nghiệp hiệu quả và trường hợp đầu tiên chuyển đề tài thành đơn sáng chế. Tiềm năng tài sản trí tuệ, nhất là ở khối ngành Y - Dược, là rõ ràng: 11 trên 38 đề tài có sản phẩm tiềm năng tạo lập tài sản trí tuệ, trong đó 9 thuộc sở hữu công nghiệp, trong khi mới 1 đề tài có đơn.</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80</w:t>
            </w:r>
          </w:p>
        </w:tc>
        <w:tc>
          <w:tcPr>
            <w:tcW w:type="dxa" w:w="2041"/>
          </w:tcPr>
          <w:p>
            <w:pPr>
              <w:spacing w:after="20"/>
            </w:pPr>
            <w:r/>
            <w:r>
              <w:rPr>
                <w:b w:val="0"/>
                <w:sz w:val="19"/>
              </w:rPr>
              <w:t>Chương 2; TIỂU KẾT CHƯƠNG 2, đoạn 2</w:t>
            </w:r>
          </w:p>
        </w:tc>
        <w:tc>
          <w:tcPr>
            <w:tcW w:type="dxa" w:w="5102"/>
          </w:tcPr>
          <w:p>
            <w:pPr>
              <w:spacing w:after="20"/>
            </w:pPr>
            <w:r/>
            <w:r>
              <w:rPr>
                <w:b w:val="0"/>
                <w:sz w:val="19"/>
              </w:rPr>
              <w:t>Khoảng cách giữa tiềm năng và kết quả chủ yếu đến từ hai nhóm yếu tố. Về khách quan, pháp luật thay đổi dồn dập trong giai đoạn 2025 - 2026 tạo ra độ trễ thể chế tất yếu đối với các quy chế ban hành trước đó. Về chủ quan, khoảng trống kỹ thuật cốt lõi là quy trình nghiệm thu chưa có biểu mẫu rà soát khả năng bảo hộ, kéo theo các khoảng trống về kinh phí nộp đơn, cơ chế khuyến khích, luồng hồ sơ và dữ liệu. Đây là căn cứ để Chương 3 đề xuất hệ thống giải pháp, trong đó phiếu rà soát bắt buộc tại nghiệm thu và việc hợp nhất quy chế theo luật mới là hai điểm ưu tiên.</w:t>
            </w:r>
          </w:p>
        </w:tc>
        <w:tc>
          <w:tcPr>
            <w:tcW w:type="dxa" w:w="5102"/>
          </w:tcPr>
          <w:p>
            <w:pPr>
              <w:spacing w:after="20"/>
            </w:pPr>
            <w:r/>
            <w:r>
              <w:rPr>
                <w:b w:val="0"/>
                <w:sz w:val="19"/>
              </w:rPr>
              <w:t>Về khách quan, pháp luật thay đổi dồn dập trong giai đoạn 2025 - 2026 tạo ra độ trễ thể chế đối với các quy chế ban hành trước đó, làm phát sinh nhu cầu rà soát phạm vi áp dụng từ cuối năm 2025. Về chủ quan, Đề tài nhận định khoảng trống kỹ thuật cốt lõi là thiếu một biểu mẫu rà soát tại thời điểm nghiệm thu, cùng với việc chưa có dự toán riêng cho bước đăng ký, chưa thống nhất cách hiểu và thứ tự áp dụng các quy định về lợi ích của tác giả, và chưa có dữ liệu liên thông; các nhận định này cần được kiểm chứng trong quá trình triển khai. Đây là căn cứ để Chương 3 đề xuất hệ thống giải pháp, trong đó bước sàng lọc tại nghiệm thu và trước khi công bố, cùng việc hoàn thiện quy chế theo phạm vi áp dụng của luật mới, là hai điểm ưu tiên.</w:t>
            </w:r>
          </w:p>
        </w:tc>
        <w:tc>
          <w:tcPr>
            <w:tcW w:type="dxa" w:w="1984"/>
          </w:tcPr>
          <w:p>
            <w:pPr>
              <w:spacing w:after="20"/>
            </w:pPr>
            <w:r/>
            <w:r>
              <w:rPr>
                <w:b w:val="0"/>
                <w:sz w:val="19"/>
              </w:rPr>
              <w:t>Góp ý mục 3: Điều 35, Điều 38 và các biểu mẫu Quyết định 213; Điều 10, Điều 11 Quyết định 217; Góp ý mục 4: chỉ kết luận xung đột khi cùng một tình huống chịu yêu cầu không tương thích; Điều 14 Quyết định 217; Góp ý mục 7: thống kê, phễu sở hữu công nghiệp, năm theo loại dữ liệu, giảm khẳng định nhân quả</w:t>
            </w:r>
          </w:p>
        </w:tc>
      </w:tr>
      <w:tr>
        <w:tc>
          <w:tcPr>
            <w:tcW w:type="dxa" w:w="567"/>
          </w:tcPr>
          <w:p>
            <w:pPr>
              <w:spacing w:after="20"/>
            </w:pPr>
            <w:r/>
            <w:r>
              <w:rPr>
                <w:b w:val="0"/>
                <w:sz w:val="19"/>
              </w:rPr>
              <w:t>81</w:t>
            </w:r>
          </w:p>
        </w:tc>
        <w:tc>
          <w:tcPr>
            <w:tcW w:type="dxa" w:w="2041"/>
          </w:tcPr>
          <w:p>
            <w:pPr>
              <w:spacing w:after="20"/>
            </w:pPr>
            <w:r/>
            <w:r>
              <w:rPr>
                <w:b w:val="0"/>
                <w:sz w:val="19"/>
              </w:rPr>
              <w:t>Chương 3; 3.1.1. Căn cứ quy phạm pháp luật và thể chế vĩ mô mới điều c, đoạn 4</w:t>
            </w:r>
          </w:p>
        </w:tc>
        <w:tc>
          <w:tcPr>
            <w:tcW w:type="dxa" w:w="5102"/>
          </w:tcPr>
          <w:p>
            <w:pPr>
              <w:spacing w:after="20"/>
            </w:pPr>
            <w:r/>
            <w:r>
              <w:rPr>
                <w:b w:val="0"/>
                <w:sz w:val="19"/>
              </w:rPr>
              <w:t>Thứ ba, Luật Khoa học, Công nghệ và Đổi mới sáng tạo số 93/2025/QH15 có hiệu lực thi hành từ ngày 01 tháng 10 năm 2025, tại điểm b và điểm h khoản 7 Điều 71 đã sửa đổi Điều 135 Luật Sở hữu trí tuệ (thể hiện trong Văn bản hợp nhất số 67/VBHN-VPQH năm 2026), 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 Do đó, mức giới hạn trần 100 triệu đồng tại điểm a khoản 4 Điều 36 Quyết định số 213/QĐ-ĐHTĐ được xây dựng năm 2021 theo khung pháp luật khi đó, nay cần được cập nhật để tương thích với pháp luật hiện hành và tạo động lực thực sự cho hoạt động sáng tạo. Bên cạnh đó, khoản 2 Điều 25 Luật này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a khoản 3 Điều 28 quy định thưởng cho tác giả tối thiểu 30% lợi nhuận thu được từ thương mại hóa phần kết quả sử dụng ngân sách nhà nước; điểm b khoản 2 Điều 66 cho phép quỹ phát triển khoa học và công nghệ của tổ chức chi cho đăng ký, bảo hộ, quản lý, khai thác quyền sở hữu trí tuệ.</w:t>
            </w:r>
          </w:p>
        </w:tc>
        <w:tc>
          <w:tcPr>
            <w:tcW w:type="dxa" w:w="5102"/>
          </w:tcPr>
          <w:p>
            <w:pPr>
              <w:spacing w:after="20"/>
            </w:pPr>
            <w:r/>
            <w:r>
              <w:rPr>
                <w:b w:val="0"/>
                <w:sz w:val="19"/>
              </w:rPr>
              <w:t>Thứ ba, Luật Khoa học, công nghệ và đổi mới sáng tạo số 93/2025/QH15 có hiệu lực thi hành từ ngày 01 tháng 10 năm 2025 điều chỉnh hai cơ chế lợi ích của tác giả. Một là, tại điểm b và điểm h khoản 7 Điều 71, Luật sửa khoản 1 Điều 135 Luật Sở hữu trí tuệ: chủ sở hữu trả thù lao cho tác giả sáng chế, kiểu dáng công nghiệp, thiết kế bố trí theo thỏa thuận; nếu không có thỏa thuận thì mức thù lao là 10% lợi nhuận trước thuế khi chủ sở hữu tự sử dụng, hoặc 15% tổng số tiền nhận được mỗi lần trước thuế khi chuyển giao quyền sử dụng; khoản 2 Điều 135 bị bãi bỏ. Hai là, Điều 28 quy định phân chia lợi nhuận từ thương mại hóa theo nguồn hình thành: chủ sở hữu tự quyết định đối với phần không sử dụng ngân sách nhà nước; đối với phần sử dụng ngân sách nhà nước, tổ chức chủ trì dùng lợi nhuận sau thuế để thưởng cho tác giả tối thiểu 30%, thưởng cho người tổ chức thương mại hóa, tái đầu tư và mục đích khác, và tác giả sáng chế, kiểu dáng công nghiệp, thiết kế bố trí còn hưởng quyền lợi theo Luật Sở hữu trí tuệ; khoản 3 và khoản 7 Điều 73 quy định chuyển tiếp theo thời điểm giao nhiệm vụ. Bên cạnh đó, khoản 2 Điều 25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b khoản 2 Điều 66 cho phép quỹ phát triển khoa học và công nghệ của tổ chức chi cho đăng ký, bảo hộ, quản lý, khai thác quyền sở hữu trí tuệ. Các quy định này là căn cứ để rà soát điểm a khoản 4 Điều 36 Quyết định số 213/QĐ-ĐHTĐ, gồm mức trần 100 triệu đồng, khoản nộp ngân sách nhà nước và cơ sở tính, đối với các trường hợp thuộc phạm vi áp dụng của Luật mới, như phân tích tại Mục 2.2.1.</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w:t>
            </w:r>
          </w:p>
        </w:tc>
      </w:tr>
      <w:tr>
        <w:tc>
          <w:tcPr>
            <w:tcW w:type="dxa" w:w="567"/>
          </w:tcPr>
          <w:p>
            <w:pPr>
              <w:spacing w:after="20"/>
            </w:pPr>
            <w:r/>
            <w:r>
              <w:rPr>
                <w:b w:val="0"/>
                <w:sz w:val="19"/>
              </w:rPr>
              <w:t>82</w:t>
            </w:r>
          </w:p>
        </w:tc>
        <w:tc>
          <w:tcPr>
            <w:tcW w:type="dxa" w:w="2041"/>
          </w:tcPr>
          <w:p>
            <w:pPr>
              <w:spacing w:after="20"/>
            </w:pPr>
            <w:r/>
            <w:r>
              <w:rPr>
                <w:b w:val="0"/>
                <w:sz w:val="19"/>
              </w:rPr>
              <w:t>Chương 3; 3.1.1. Căn cứ quy phạm pháp luật và thể chế vĩ mô mới điều c, đoạn 5</w:t>
            </w:r>
          </w:p>
        </w:tc>
        <w:tc>
          <w:tcPr>
            <w:tcW w:type="dxa" w:w="5102"/>
          </w:tcPr>
          <w:p>
            <w:pPr>
              <w:spacing w:after="20"/>
            </w:pPr>
            <w:r/>
            <w:r>
              <w:rPr>
                <w:b w:val="0"/>
                <w:sz w:val="19"/>
              </w:rPr>
              <w:t>Thứ tư,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p>
        </w:tc>
        <w:tc>
          <w:tcPr>
            <w:tcW w:type="dxa" w:w="5102"/>
          </w:tcPr>
          <w:p>
            <w:pPr>
              <w:spacing w:after="20"/>
            </w:pPr>
            <w:r/>
            <w:r>
              <w:rPr>
                <w:b w:val="0"/>
                <w:sz w:val="19"/>
              </w:rPr>
              <w:t>Thứ tư,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đăng ký các đối tượng nêu trên là kết quả của các đề tài này; việc đăng ký cần được chuẩn bị trước khi kết quả được công bố.</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83</w:t>
            </w:r>
          </w:p>
        </w:tc>
        <w:tc>
          <w:tcPr>
            <w:tcW w:type="dxa" w:w="2041"/>
          </w:tcPr>
          <w:p>
            <w:pPr>
              <w:spacing w:after="20"/>
            </w:pPr>
            <w:r/>
            <w:r>
              <w:rPr>
                <w:b w:val="0"/>
                <w:sz w:val="19"/>
              </w:rPr>
              <w:t>Chương 3; 3.1.1. Căn cứ quy phạm pháp luật và thể chế vĩ mô mới điều c, đoạn 12</w:t>
            </w:r>
          </w:p>
        </w:tc>
        <w:tc>
          <w:tcPr>
            <w:tcW w:type="dxa" w:w="5102"/>
          </w:tcPr>
          <w:p>
            <w:pPr>
              <w:spacing w:after="20"/>
            </w:pPr>
            <w:r/>
            <w:r>
              <w:rPr>
                <w:b w:val="0"/>
                <w:sz w:val="19"/>
              </w:rPr>
              <w:t>Bên cạnh đó, tư cách thành viên Mạng lưới Trung tâm Hỗ trợ công nghệ và đổi mới sáng tạo mà Nhà trường có từ năm 2023 giúp Nhà trường tiếp cận cơ sở dữ liệu sáng chế quốc tế phục vụ công tác tra cứu tiền kiểm và đánh giá tính mới của kết quả nghiên cứu.</w:t>
            </w:r>
          </w:p>
        </w:tc>
        <w:tc>
          <w:tcPr>
            <w:tcW w:type="dxa" w:w="5102"/>
          </w:tcPr>
          <w:p>
            <w:pPr>
              <w:spacing w:after="20"/>
            </w:pPr>
            <w:r/>
            <w:r>
              <w:rPr>
                <w:b w:val="0"/>
                <w:sz w:val="19"/>
              </w:rPr>
              <w:t>Bên cạnh đó, theo thông tin được cung cấp, Nhà trường tham gia Mạng lưới Trung tâm Hỗ trợ công nghệ và đổi mới sáng tạo từ năm 2023; nếu được xác nhận bằng văn bản, tư cách này giúp Nhà trường tiếp cận cơ sở dữ liệu sáng chế phục vụ tra cứu và đánh giá tính mới của kết quả nghiên cứu.</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84</w:t>
            </w:r>
          </w:p>
        </w:tc>
        <w:tc>
          <w:tcPr>
            <w:tcW w:type="dxa" w:w="2041"/>
          </w:tcPr>
          <w:p>
            <w:pPr>
              <w:spacing w:after="20"/>
            </w:pPr>
            <w:r/>
            <w:r>
              <w:rPr>
                <w:b w:val="0"/>
                <w:sz w:val="19"/>
              </w:rPr>
              <w:t>Chương 3; 3.1.2. Phân tích điểm mạnh, điểm yếu, thời cơ và thách thức, đoạn 4</w:t>
            </w:r>
          </w:p>
        </w:tc>
        <w:tc>
          <w:tcPr>
            <w:tcW w:type="dxa" w:w="5102"/>
          </w:tcPr>
          <w:p>
            <w:pPr>
              <w:spacing w:after="20"/>
            </w:pPr>
            <w:r/>
            <w:r>
              <w:rPr>
                <w:b w:val="0"/>
                <w:sz w:val="19"/>
              </w:rPr>
              <w:t>Bảng 3.1 cho thấy ba đặc điểm. Thứ nhất, điểm mạnh của Nhà trường nằm ở nền tảng và đầu vào: quy chế đã có, năng lực nghiên cứu tăng, sản phẩm có khả năng bảo hộ đã hình thành và nguồn lực tài chính đã được thiết lập;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thách thức lớn nhất không nằm ở thiếu nguồn lực mà ở sức ép thời gian: yêu cầu tuân thủ của Chuẩn mới có hiệu lực ngay trong năm 2026, còn sức ép công bố quốc tế có thể làm mất tính mới của chính các sản phẩm đủ điều kiện bảo hộ.</w:t>
            </w:r>
          </w:p>
        </w:tc>
        <w:tc>
          <w:tcPr>
            <w:tcW w:type="dxa" w:w="5102"/>
          </w:tcPr>
          <w:p>
            <w:pPr>
              <w:spacing w:after="20"/>
            </w:pPr>
            <w:r/>
            <w:r>
              <w:rPr>
                <w:b w:val="0"/>
                <w:sz w:val="19"/>
              </w:rPr>
              <w:t>Bảng 3.1 cho thấy ba đặc điểm. Thứ nhất, điểm mạnh của Nhà trường nằm ở nền tảng và đầu vào: quy chế đã có, năng lực nghiên cứu tăng, sản phẩm có tiềm năng bảo hộ đã hình thành và quy chế đã có căn cứ chi;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sức ép thời gian là thách thức rõ nhất: yêu cầu tuân thủ của Chuẩn mới có hiệu lực ngay trong năm 2026, còn sức ép công bố quốc tế có thể làm mất tính mới của chính các sản phẩm có tiềm năng bảo hộ.</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85</w:t>
            </w:r>
          </w:p>
        </w:tc>
        <w:tc>
          <w:tcPr>
            <w:tcW w:type="dxa" w:w="2041"/>
          </w:tcPr>
          <w:p>
            <w:pPr>
              <w:spacing w:after="20"/>
            </w:pPr>
            <w:r/>
            <w:r>
              <w:rPr>
                <w:b w:val="0"/>
                <w:sz w:val="19"/>
              </w:rPr>
              <w:t>Chương 3; 3.1.3. Các nguyên tắc xây dựng giải pháp, đoạn 1</w:t>
            </w:r>
          </w:p>
        </w:tc>
        <w:tc>
          <w:tcPr>
            <w:tcW w:type="dxa" w:w="5102"/>
          </w:tcPr>
          <w:p>
            <w:pPr>
              <w:spacing w:after="20"/>
            </w:pPr>
            <w:r/>
            <w:r>
              <w:rPr>
                <w:b w:val="0"/>
                <w:sz w:val="19"/>
              </w:rPr>
              <w:t>Dữ liệu thực trạng tại Chương 2 cho thấy điểm nghẽn nằm ở khâu nối giữa nghiệm thu và đăng ký: 11 trên 38 đề tài có sản phẩm đủ điều kiện xác lập quyền nhưng chỉ 1 đề tài được nộp đơn, trong khi năng lực công bố tập trung ở một nhóm nhỏ với hệ số Gini 0,829. Điểm nghẽn này mang tính hệ thống, liên quan đồng thời đến quy chế, quy trình, động lực tài chính, năng lực chuyên trách và dữ liệu. Kết hợp với phân tích tại Mục 3.1.2, hệ thống giải pháp được xây dựng dựa trên năm nguyên tắc chỉ đạo:</w:t>
            </w:r>
          </w:p>
        </w:tc>
        <w:tc>
          <w:tcPr>
            <w:tcW w:type="dxa" w:w="5102"/>
          </w:tcPr>
          <w:p>
            <w:pPr>
              <w:spacing w:after="20"/>
            </w:pPr>
            <w:r/>
            <w:r>
              <w:rPr>
                <w:b w:val="0"/>
                <w:sz w:val="19"/>
              </w:rPr>
              <w:t>Dữ liệu thực trạng tại Chương 2 cho thấy điểm nghẽn nằm ở khâu nối giữa nghiệm thu và đăng ký: 9 trên 38 đề tài có sản phẩm tiềm năng sở hữu công nghiệp nhưng chỉ 1 đề tài có đơn, trong khi năng lực công bố tập trung ở một nhóm nhỏ với hệ số Gini 0,832. Điểm nghẽn này liên quan đồng thời đến quy chế, quy trình, cơ chế tài chính, năng lực đầu mối và dữ liệu. Kết hợp với phân tích tại Mục 3.1.2, hệ thống giải pháp được xây dựng dựa trên năm nguyên tắc chỉ đạo:</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86</w:t>
            </w:r>
          </w:p>
        </w:tc>
        <w:tc>
          <w:tcPr>
            <w:tcW w:type="dxa" w:w="2041"/>
          </w:tcPr>
          <w:p>
            <w:pPr>
              <w:spacing w:after="20"/>
            </w:pPr>
            <w:r/>
            <w:r>
              <w:rPr>
                <w:b w:val="0"/>
                <w:sz w:val="19"/>
              </w:rPr>
              <w:t>Chương 3; 3.1.3. Các nguyên tắc xây dựng giải pháp, đoạn 4</w:t>
            </w:r>
          </w:p>
        </w:tc>
        <w:tc>
          <w:tcPr>
            <w:tcW w:type="dxa" w:w="5102"/>
          </w:tcPr>
          <w:p>
            <w:pPr>
              <w:spacing w:after="20"/>
            </w:pPr>
            <w:r/>
            <w:r>
              <w:rPr>
                <w:b w:val="0"/>
                <w:sz w:val="19"/>
              </w:rPr>
              <w:t>Nguyên tắc 3: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và là đầu mối của Mạng lưới Trung tâm Hỗ trợ công nghệ và đổi mới sáng tạo. Trên nền tảng đó, giải pháp bổ sung cơ chế phối hợp liên phòng ban để nâng cao hiệu quả vận hành.</w:t>
            </w:r>
          </w:p>
        </w:tc>
        <w:tc>
          <w:tcPr>
            <w:tcW w:type="dxa" w:w="5102"/>
          </w:tcPr>
          <w:p>
            <w:pPr>
              <w:spacing w:after="20"/>
            </w:pPr>
            <w:r/>
            <w:r>
              <w:rPr>
                <w:b w:val="0"/>
                <w:sz w:val="19"/>
              </w:rPr>
              <w:t>Nguyên tắc 3: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Quy chế, biểu mẫu hiện có được hoàn thiện thay vì thay thế; các đề xuất cần nhiều nguồn lực được triển khai theo giai đoạn, kèm điều kiện chuyển bước.</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87</w:t>
            </w:r>
          </w:p>
        </w:tc>
        <w:tc>
          <w:tcPr>
            <w:tcW w:type="dxa" w:w="2041"/>
          </w:tcPr>
          <w:p>
            <w:pPr>
              <w:spacing w:after="20"/>
            </w:pPr>
            <w:r/>
            <w:r>
              <w:rPr>
                <w:b w:val="0"/>
                <w:sz w:val="19"/>
              </w:rPr>
              <w:t>Chương 3; 3.1.3. Các nguyên tắc xây dựng giải pháp, đoạn 5</w:t>
            </w:r>
          </w:p>
        </w:tc>
        <w:tc>
          <w:tcPr>
            <w:tcW w:type="dxa" w:w="5102"/>
          </w:tcPr>
          <w:p>
            <w:pPr>
              <w:spacing w:after="20"/>
            </w:pPr>
            <w:r/>
            <w:r>
              <w:rPr>
                <w:b w:val="0"/>
                <w:sz w:val="19"/>
              </w:rPr>
              <w:t>Nguyên tắc 4: 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tc>
        <w:tc>
          <w:tcPr>
            <w:tcW w:type="dxa" w:w="5102"/>
          </w:tcPr>
          <w:p>
            <w:pPr>
              <w:spacing w:after="20"/>
            </w:pPr>
            <w:r/>
            <w:r>
              <w:rPr>
                <w:b w:val="0"/>
                <w:sz w:val="19"/>
              </w:rPr>
              <w:t>Nguyên tắc 4: Chủ động sàng lọc và xem xét bảo mật từ khâu đề xuất, trước mọi hoạt động công bố, trình diễn và tại thời điểm nghiệm thu. Nguyên tắc này nhằm hạn chế việc bỏ sót kết quả có tiềm năng bảo hộ và ngăn ngừa nguy cơ bộc lộ công khai làm mất tính mới của sáng chế trước khi kịp nộp đơn đăng ký.</w:t>
            </w:r>
          </w:p>
        </w:tc>
        <w:tc>
          <w:tcPr>
            <w:tcW w:type="dxa" w:w="1984"/>
          </w:tcPr>
          <w:p>
            <w:pPr>
              <w:spacing w:after="20"/>
            </w:pPr>
            <w:r/>
            <w:r>
              <w:rPr>
                <w:b w:val="0"/>
                <w:sz w:val="19"/>
              </w:rPr>
              <w:t>Góp ý mục 8: quy trình có nhận diện, tra cứu, xem xét bảo mật trước khi công bố, phân nhánh theo loại đối tượng</w:t>
            </w:r>
          </w:p>
        </w:tc>
      </w:tr>
      <w:tr>
        <w:tc>
          <w:tcPr>
            <w:tcW w:type="dxa" w:w="567"/>
          </w:tcPr>
          <w:p>
            <w:pPr>
              <w:spacing w:after="20"/>
            </w:pPr>
            <w:r/>
            <w:r>
              <w:rPr>
                <w:b w:val="0"/>
                <w:sz w:val="19"/>
              </w:rPr>
              <w:t>88</w:t>
            </w:r>
          </w:p>
        </w:tc>
        <w:tc>
          <w:tcPr>
            <w:tcW w:type="dxa" w:w="2041"/>
          </w:tcPr>
          <w:p>
            <w:pPr>
              <w:spacing w:after="20"/>
            </w:pPr>
            <w:r/>
            <w:r>
              <w:rPr>
                <w:b w:val="0"/>
                <w:sz w:val="19"/>
              </w:rPr>
              <w:t>Chương 3; 3.1.3. Các nguyên tắc xây dựng giải pháp, đoạn 6</w:t>
            </w:r>
          </w:p>
        </w:tc>
        <w:tc>
          <w:tcPr>
            <w:tcW w:type="dxa" w:w="5102"/>
          </w:tcPr>
          <w:p>
            <w:pPr>
              <w:spacing w:after="20"/>
            </w:pPr>
            <w:r/>
            <w:r>
              <w:rPr>
                <w:b w:val="0"/>
                <w:sz w:val="19"/>
              </w:rPr>
              <w:t>Nguyên tắc 5: 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tc>
        <w:tc>
          <w:tcPr>
            <w:tcW w:type="dxa" w:w="5102"/>
          </w:tcPr>
          <w:p>
            <w:pPr>
              <w:spacing w:after="20"/>
            </w:pPr>
            <w:r/>
            <w:r>
              <w:rPr>
                <w:b w:val="0"/>
                <w:sz w:val="19"/>
              </w:rPr>
              <w:t>Nguyên tắc 5: Hài hòa lợi ích kinh tế và quyền nhân thân giữa Nhà trường, tập thể tác giả và các pháp nhân thành viên trong hệ sinh thái giáo dục. Cơ chế phân chia lợi ích được xác định theo nguồn hình thành tài sản, thời điểm giao nhiệm vụ và loại đối tượng, phân biệt thưởng, thù lao, nhuận bút và phần chia nguồn thu; phần do Nhà trường tự quyết phải đủ hấp dẫn để tạo động lực cho giảng viên, đồng thời bảo đảm nguồn tái đầu tư cho quỹ phát triển khoa học công nghệ của Nhà trường.</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89</w:t>
            </w:r>
          </w:p>
        </w:tc>
        <w:tc>
          <w:tcPr>
            <w:tcW w:type="dxa" w:w="2041"/>
          </w:tcPr>
          <w:p>
            <w:pPr>
              <w:spacing w:after="20"/>
            </w:pPr>
            <w:r/>
            <w:r>
              <w:rPr>
                <w:b w:val="0"/>
                <w:sz w:val="19"/>
              </w:rPr>
              <w:t>Chương 3; 3.2. Hệ thống giải pháp cụ thể, đoạn 1</w:t>
            </w:r>
          </w:p>
        </w:tc>
        <w:tc>
          <w:tcPr>
            <w:tcW w:type="dxa" w:w="5102"/>
          </w:tcPr>
          <w:p>
            <w:pPr>
              <w:spacing w:after="20"/>
            </w:pPr>
            <w:r/>
            <w:r>
              <w:rPr>
                <w:b w:val="0"/>
                <w:sz w:val="19"/>
              </w:rPr>
              <w:t>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 Mỗi nhóm giải pháp tương ứng với một hoặc nhiều phương án kết hợp tại Bảng 3.2.</w:t>
            </w:r>
          </w:p>
        </w:tc>
        <w:tc>
          <w:tcPr>
            <w:tcW w:type="dxa" w:w="5102"/>
          </w:tcPr>
          <w:p>
            <w:pPr>
              <w:spacing w:after="20"/>
            </w:pPr>
            <w:r/>
            <w:r>
              <w:rPr>
                <w:b w:val="0"/>
                <w:sz w:val="19"/>
              </w:rPr>
              <w:t>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từ hoàn thiện thể chế nội bộ, kiện toàn tổ chức, chuẩn hóa quy trình, hoàn thiện cơ chế tài chính đến phát triển văn hóa và đào tạo. Mỗi nhóm giải pháp gắn với một hoặc nhiều hạn chế tại Mục 2.5.2 và một hoặc nhiều phương án kết hợp tại Bảng 3.2; chủ trì, phối hợp, nguồn lực, thời gian, sản phẩm đầu ra và cách đánh giá của từng giải pháp được tổng hợp tại Mục 3.2.6.</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90</w:t>
            </w:r>
          </w:p>
        </w:tc>
        <w:tc>
          <w:tcPr>
            <w:tcW w:type="dxa" w:w="2041"/>
          </w:tcPr>
          <w:p>
            <w:pPr>
              <w:spacing w:after="20"/>
            </w:pPr>
            <w:r/>
            <w:r>
              <w:rPr>
                <w:b w:val="0"/>
                <w:sz w:val="19"/>
              </w:rPr>
              <w:t>Chương 3; 3.2.1. Giải pháp 1: Hoàn thiện cơ chế, chính sách và hệ thốn, đoạn 2</w:t>
            </w:r>
          </w:p>
        </w:tc>
        <w:tc>
          <w:tcPr>
            <w:tcW w:type="dxa" w:w="5102"/>
          </w:tcPr>
          <w:p>
            <w:pPr>
              <w:spacing w:after="20"/>
            </w:pPr>
            <w:r/>
            <w:r>
              <w:rPr>
                <w:b w:val="0"/>
                <w:sz w:val="19"/>
              </w:rPr>
              <w:t>Kết quả phân tích thực trạng tại Chương 2 cho thấy hiện nay Nhà trường đang vận hành đồng thời bốn văn bản nội bộ có quy định về sở hữu trí tuệ, gồm Quyết định số 213/QĐ-ĐHTĐ, Quyết định số 217/QĐ-ĐHTĐ ngày 21 tháng 11 năm 2024 ban hành Quy chế quản trị tài sản trí tuệ, Quy chế chi tiêu nội bộ và Điều lệ Quỹ Học bổng sau tiến sĩ Ngô Xuân Độ, với năm quy định khác nhau về phân chia lợi ích. Các văn bản này được ban hành ở những thời điểm và cho những kênh tài trợ khác nhau, trước khi Luật số 93/2025/QH15 và Luật số 131/2025/QH15 có hiệu lực, nay cần được hợp nhất để thống nhất cách áp dụng. Quy chế ban hành kèm Quyết định 217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chưa có biểu mẫu để nhận diện các tài sản này trong thực tế và chưa có nội dung về liêm chính khoa học, liêm chính học thuật mà Thông tư số 83/2026/TT-BGDĐT xếp cùng nhóm nội dung quản trị bắt buộc về sở hữu trí tuệ.</w:t>
            </w:r>
          </w:p>
        </w:tc>
        <w:tc>
          <w:tcPr>
            <w:tcW w:type="dxa" w:w="5102"/>
          </w:tcPr>
          <w:p>
            <w:pPr>
              <w:spacing w:after="20"/>
            </w:pPr>
            <w:r/>
            <w:r>
              <w:rPr>
                <w:b w:val="0"/>
                <w:sz w:val="19"/>
              </w:rPr>
              <w:t>Kết quả phân tích tại Chương 2 cho thấy các quy định nội bộ liên quan đến lợi ích của tác giả nằm ở bốn văn bản, gồm Quyết định số 213/QĐ-ĐHTĐ, Quyết định số 217/QĐ-ĐHTĐ ngày 21 tháng 11 năm 2024 ban hành Quy chế quản trị tài sản trí tuệ, Quy chế chi tiêu nội bộ và Điều lệ Quỹ Học bổng sau tiến sĩ Ngô Xuân Độ, được ban hành ở những thời điểm và cho những kênh tài trợ khác nhau. Các quy định này chưa xung đột trong cùng một tình huống, nhưng chưa làm rõ phạm vi và thứ tự áp dụng, chưa phân biệt thưởng, thù lao, nhuận bút và phần chia nguồn thu, và điểm a khoản 4 Điều 36 Quyết định 213 cần được rà soát theo Điều 28, Điều 73 Luật số 93/2025/QH15 đối với các trường hợp thuộc phạm vi của Luật mới; đây là hạn chế thứ hai tại Mục 2.5.2. Quyết định 217 đã mở rộng phạm vi tài sản, quy định công bố, bảo mật, phân công trách nhiệm và hành vi xâm phạm quyền tác giả tại Điều 14, nhưng không dẫn chiếu Chương VI Quyết định 213; Thông tư số 83/2026/TT-BGDĐT xếp liêm chính khoa học, liêm chính học thuật cùng nhóm nội dung quản trị bắt buộc về sở hữu trí tuệ.</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91</w:t>
            </w:r>
          </w:p>
        </w:tc>
        <w:tc>
          <w:tcPr>
            <w:tcW w:type="dxa" w:w="2041"/>
          </w:tcPr>
          <w:p>
            <w:pPr>
              <w:spacing w:after="20"/>
            </w:pPr>
            <w:r/>
            <w:r>
              <w:rPr>
                <w:b w:val="0"/>
                <w:sz w:val="19"/>
              </w:rPr>
              <w:t>Chương 3; 3.2.1. Giải pháp 1: Hoàn thiện cơ chế, chính sách và hệ thốn, đoạn 3</w:t>
            </w:r>
          </w:p>
        </w:tc>
        <w:tc>
          <w:tcPr>
            <w:tcW w:type="dxa" w:w="5102"/>
          </w:tcPr>
          <w:p>
            <w:pPr>
              <w:spacing w:after="20"/>
            </w:pPr>
            <w:r/>
            <w:r>
              <w:rPr>
                <w:b w:val="0"/>
                <w:sz w:val="19"/>
              </w:rPr>
              <w:t>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tc>
        <w:tc>
          <w:tcPr>
            <w:tcW w:type="dxa" w:w="5102"/>
          </w:tcPr>
          <w:p>
            <w:pPr>
              <w:spacing w:after="20"/>
            </w:pPr>
            <w:r/>
            <w:r>
              <w:rPr>
                <w:b w:val="0"/>
                <w:sz w:val="19"/>
              </w:rPr>
              <w:t>Giải pháp này nhằm hoàn thiện Quy chế quản trị tài sản trí tuệ trên nền Quyết định 217, hợp nhất các quy định về sở hữu trí tuệ tại Chương VI Quyết định 213, xác định rõ phạm vi và thứ tự áp dụng, bảo đảm phù hợp với pháp luật hiện hành và tạo nền tảng thể chế cho các giải pháp tiếp theo.</w:t>
            </w:r>
          </w:p>
        </w:tc>
        <w:tc>
          <w:tcPr>
            <w:tcW w:type="dxa" w:w="1984"/>
          </w:tcPr>
          <w:p>
            <w:pPr>
              <w:spacing w:after="20"/>
            </w:pPr>
            <w:r/>
            <w:r>
              <w:rPr>
                <w:b w:val="0"/>
                <w:sz w:val="19"/>
              </w:rPr>
              <w:t>Góp ý mục 4: chỉ kết luận xung đột khi cùng một tình huống chịu các yêu cầu không tương thích</w:t>
            </w:r>
          </w:p>
        </w:tc>
      </w:tr>
      <w:tr>
        <w:tc>
          <w:tcPr>
            <w:tcW w:type="dxa" w:w="567"/>
          </w:tcPr>
          <w:p>
            <w:pPr>
              <w:spacing w:after="20"/>
            </w:pPr>
            <w:r/>
            <w:r>
              <w:rPr>
                <w:b w:val="0"/>
                <w:sz w:val="19"/>
              </w:rPr>
              <w:t>92</w:t>
            </w:r>
          </w:p>
        </w:tc>
        <w:tc>
          <w:tcPr>
            <w:tcW w:type="dxa" w:w="2041"/>
          </w:tcPr>
          <w:p>
            <w:pPr>
              <w:spacing w:after="20"/>
            </w:pPr>
            <w:r/>
            <w:r>
              <w:rPr>
                <w:b w:val="0"/>
                <w:sz w:val="19"/>
              </w:rPr>
              <w:t>Chương 3; 3.2.1. Giải pháp 1: Hoàn thiện cơ chế, chính sách và hệ thốn, đoạn 5</w:t>
            </w:r>
          </w:p>
        </w:tc>
        <w:tc>
          <w:tcPr>
            <w:tcW w:type="dxa" w:w="5102"/>
          </w:tcPr>
          <w:p>
            <w:pPr>
              <w:spacing w:after="20"/>
            </w:pPr>
            <w:r/>
            <w:r>
              <w:rPr>
                <w:b w:val="0"/>
                <w:sz w:val="19"/>
              </w:rPr>
              <w:t>Bộ phận Pháp chế chủ trì tham mưu soạn thảo Quy chế quản lý và khai thác tài sản trí tuệ sửa đổi, hợp nhất Quyết định số 213/QĐ-ĐHTĐ và Quyết định số 217/QĐ-ĐHTĐ. Quy chế mới cần bảo đảm các nội dung trọng tâm sau:</w:t>
            </w:r>
          </w:p>
        </w:tc>
        <w:tc>
          <w:tcPr>
            <w:tcW w:type="dxa" w:w="5102"/>
          </w:tcPr>
          <w:p>
            <w:pPr>
              <w:spacing w:after="20"/>
            </w:pPr>
            <w:r/>
            <w:r>
              <w:rPr>
                <w:b w:val="0"/>
                <w:sz w:val="19"/>
              </w:rPr>
              <w:t>Theo khoản 3 Điều 17 Quyết định 217, Bộ phận Pháp chế chủ trì tham mưu sửa đổi Quy chế khi pháp luật thay đổi. Quy chế sửa đổi, hợp nhất các quy định về sở hữu trí tuệ của Quyết định số 213/QĐ-ĐHTĐ và Quyết định số 217/QĐ-ĐHTĐ, cần bảo đảm các nội dung trọng tâm sau:</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w:t>
            </w:r>
          </w:p>
        </w:tc>
      </w:tr>
      <w:tr>
        <w:tc>
          <w:tcPr>
            <w:tcW w:type="dxa" w:w="567"/>
          </w:tcPr>
          <w:p>
            <w:pPr>
              <w:spacing w:after="20"/>
            </w:pPr>
            <w:r/>
            <w:r>
              <w:rPr>
                <w:b w:val="0"/>
                <w:sz w:val="19"/>
              </w:rPr>
              <w:t>93</w:t>
            </w:r>
          </w:p>
        </w:tc>
        <w:tc>
          <w:tcPr>
            <w:tcW w:type="dxa" w:w="2041"/>
          </w:tcPr>
          <w:p>
            <w:pPr>
              <w:spacing w:after="20"/>
            </w:pPr>
            <w:r/>
            <w:r>
              <w:rPr>
                <w:b w:val="0"/>
                <w:sz w:val="19"/>
              </w:rPr>
              <w:t>Chương 3; 3.2.1. Giải pháp 1: Hoàn thiện cơ chế, chính sách và hệ thốn, đoạn 7</w:t>
            </w:r>
          </w:p>
        </w:tc>
        <w:tc>
          <w:tcPr>
            <w:tcW w:type="dxa" w:w="5102"/>
          </w:tcPr>
          <w:p>
            <w:pPr>
              <w:spacing w:after="20"/>
            </w:pPr>
            <w:r/>
            <w:r>
              <w:rPr>
                <w:b w:val="0"/>
                <w:sz w:val="19"/>
              </w:rPr>
              <w:t>- Về cơ chế thù lao và phân chia lợi ích: Bãi bỏ mức trần thù lao 100 triệu đồng tại điểm a khoản 4 Điều 36 Quyết định số 213/QĐ-ĐHTĐ. Áp dụng cơ chế thù lao theo thỏa thuận; 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 đối với kết quả sử dụng ngân sách nhà nước như ba đề tài cấp quốc gia, bảo đảm mức thưởng cho tác giả không thấp hơn 30% lợi nhuận theo điểm a khoản 3 Điều 28 Luật số 93/2025/QH15.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tc>
        <w:tc>
          <w:tcPr>
            <w:tcW w:type="dxa" w:w="5102"/>
          </w:tcPr>
          <w:p>
            <w:pPr>
              <w:spacing w:after="20"/>
            </w:pPr>
            <w:r/>
            <w:r>
              <w:rPr>
                <w:b w:val="0"/>
                <w:sz w:val="19"/>
              </w:rPr>
              <w:t>- Về lợi ích của tác giả và phân chia nguồn thu: Thiết kế theo ba lớp, xác định theo nguồn hình thành tài sản, thời điểm giao nhiệm vụ và loại đối tượng. Lớp thứ nhất là nghĩa vụ theo luật: đối với phần kết quả sử dụng ngân sách nhà nước thuộc phạm vi Điều 28 Luật số 93/2025/QH15, gồm nhiệm vụ giao từ ngày 01 tháng 10 năm 2025 và trường hợp tại khoản 7 Điều 73, thưởng cho tác giả không thấp hơn 30% lợi nhuận sau thuế hoặc 30% giá trị kết quả khi góp vốn, không áp mức trần làm phần thưởng thấp hơn mức này và không giữ khoản nộp ngân sách nhà nước như một tỷ lệ cố định; đối với nhiệm vụ phê duyệt trước ngày 01 tháng 10 năm 2025 không thuộc khoản 7 Điều 73, áp dụng văn bản có hiệu lực tại thời điểm phê duyệt; đối với sáng chế, kiểu dáng công nghiệp, thiết kế bố trí, quy định thù lao theo Điều 135 Luật Sở hữu trí tuệ như một khoản riêng và xác định rõ quy chế hoặc hợp đồng có phải là thỏa thuận về thù lao hay không. Lớp thứ hai là phần do Nhà trường tự quyết đối với tài sản không sử dụng ngân sách nhà nước theo khoản 2 Điều 28: tỷ lệ thưởng cho tác giả, phần cho đơn vị có tác giả và quỹ phát triển khoa học công nghệ, quan hệ với quy định trích 50% kinh phí chuyển giao công nghệ tại Quy chế chi tiêu nội bộ. Lớp thứ ba là nhuận bút cho sách, giáo trình theo Quy chế chi tiêu nội bộ, giữ nguyên khoản 2 Điều 13 Quyết định 217. Các phương án tỷ lệ cụ thể cho lớp thứ hai, như dành tỷ lệ cao hơn cho tác giả trong năm đầu phát sinh doanh thu, chỉ là phương án tham khảo và cần được mô phỏng trên một số tình huống chuyển giao trước khi đưa vào quy chế; Quy chế không áp một công thức chung cho mọi tài sản và mọi nguồn kinh phí.</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w:t>
            </w:r>
          </w:p>
        </w:tc>
      </w:tr>
      <w:tr>
        <w:tc>
          <w:tcPr>
            <w:tcW w:type="dxa" w:w="567"/>
          </w:tcPr>
          <w:p>
            <w:pPr>
              <w:spacing w:after="20"/>
            </w:pPr>
            <w:r/>
            <w:r>
              <w:rPr>
                <w:b w:val="0"/>
                <w:sz w:val="19"/>
              </w:rPr>
              <w:t>94</w:t>
            </w:r>
          </w:p>
        </w:tc>
        <w:tc>
          <w:tcPr>
            <w:tcW w:type="dxa" w:w="2041"/>
          </w:tcPr>
          <w:p>
            <w:pPr>
              <w:spacing w:after="20"/>
            </w:pPr>
            <w:r/>
            <w:r>
              <w:rPr>
                <w:b w:val="0"/>
                <w:sz w:val="19"/>
              </w:rPr>
              <w:t>Chương 3; 3.2.1. Giải pháp 1: Hoàn thiện cơ chế, chính sách và hệ thốn, đoạn 9</w:t>
            </w:r>
          </w:p>
        </w:tc>
        <w:tc>
          <w:tcPr>
            <w:tcW w:type="dxa" w:w="5102"/>
          </w:tcPr>
          <w:p>
            <w:pPr>
              <w:spacing w:after="20"/>
            </w:pPr>
            <w:r/>
            <w:r>
              <w:rPr>
                <w:b w:val="0"/>
                <w:sz w:val="19"/>
              </w:rPr>
              <w:t>- Về liêm chính khoa học, liêm chính học thuật: Bổ sung quy định về trách nhiệm tôn trọng quyền tác giả, kiểm tra trùng lặp, công khai việc sử dụng trí tuệ nhân tạo phù hợp với Điều 5a Nghị định số 134/2026/NĐ-CP và xử lý vi phạm, để Quy chế hợp nhất đáp ứng nội dung quản trị bắt buộc về sở hữu trí tuệ, liêm chính khoa học, liêm chính học thuật theo Thông tư số 83/2026/TT-BGDĐT.</w:t>
            </w:r>
          </w:p>
        </w:tc>
        <w:tc>
          <w:tcPr>
            <w:tcW w:type="dxa" w:w="5102"/>
          </w:tcPr>
          <w:p>
            <w:pPr>
              <w:spacing w:after="20"/>
            </w:pPr>
            <w:r/>
            <w:r>
              <w:rPr>
                <w:b w:val="0"/>
                <w:sz w:val="19"/>
              </w:rPr>
              <w:t>- Về liêm chính khoa học, liêm chính học thuật: Hoàn thiện và mở rộng Điều 14 Quyết định 217 về hành vi xâm phạm quyền tác giả, bổ sung trách nhiệm kiểm tra trùng lặp, công khai việc sử dụng trí tuệ nhân tạo phù hợp với Điều 5a Nghị định số 134/2026/NĐ-CP và quy trình xử lý vi phạm, để Quy chế hợp nhất đáp ứng nội dung quản trị bắt buộc về sở hữu trí tuệ, liêm chính khoa học, liêm chính học thuật theo Thông tư số 83/2026/TT-BGDĐT.</w:t>
            </w:r>
          </w:p>
        </w:tc>
        <w:tc>
          <w:tcPr>
            <w:tcW w:type="dxa" w:w="1984"/>
          </w:tcPr>
          <w:p>
            <w:pPr>
              <w:spacing w:after="20"/>
            </w:pPr>
            <w:r/>
            <w:r>
              <w:rPr>
                <w:b w:val="0"/>
                <w:sz w:val="19"/>
              </w:rPr>
              <w:t>Góp ý mục 4: Điều 14 Quyết định 217 đã có quy định về hành vi xâm phạm quyền tác giả</w:t>
            </w:r>
          </w:p>
        </w:tc>
      </w:tr>
      <w:tr>
        <w:tc>
          <w:tcPr>
            <w:tcW w:type="dxa" w:w="567"/>
          </w:tcPr>
          <w:p>
            <w:pPr>
              <w:spacing w:after="20"/>
            </w:pPr>
            <w:r/>
            <w:r>
              <w:rPr>
                <w:b w:val="0"/>
                <w:sz w:val="19"/>
              </w:rPr>
              <w:t>95</w:t>
            </w:r>
          </w:p>
        </w:tc>
        <w:tc>
          <w:tcPr>
            <w:tcW w:type="dxa" w:w="2041"/>
          </w:tcPr>
          <w:p>
            <w:pPr>
              <w:spacing w:after="20"/>
            </w:pPr>
            <w:r/>
            <w:r>
              <w:rPr>
                <w:b w:val="0"/>
                <w:sz w:val="19"/>
              </w:rPr>
              <w:t>Chương 3; 3.2.2. Giải pháp 2: Kiện toàn mô hình tổ chức bộ máy, thiết , đoạn 2</w:t>
            </w:r>
          </w:p>
        </w:tc>
        <w:tc>
          <w:tcPr>
            <w:tcW w:type="dxa" w:w="5102"/>
          </w:tcPr>
          <w:p>
            <w:pPr>
              <w:spacing w:after="20"/>
            </w:pPr>
            <w:r/>
            <w:r>
              <w:rPr>
                <w:b w:val="0"/>
                <w:sz w:val="19"/>
              </w:rPr>
              <w:t>Thực trạng phân tích tại Chương 2 cho thấy chức năng quản lý sở hữu trí tuệ hiện đang được phân tán ở bốn đầu mối: Phòng Khoa học Công nghệ tiếp nhận hồ sơ nhưng chỉ có 2 nhân sự, Bộ phận Pháp chế thực hiện thủ tục và giữ đầu mối Mạng lưới Trung tâm Hỗ trợ công nghệ và đổi mới sáng tạo, Trung tâm Tuyển sinh và Quản trị thương hiệu xác lập quyền đối với nhãn hiệu, Viện Nghiên cứu giáo dục và Chuyển giao tri thức nắm khâu khai thác. Sự phân tán này, dù Điều 11 Quy chế ban hành kèm Quyết định số 217/QĐ-ĐHTĐ đã giao Phòng Khoa học Công nghệ vai trò quản lý chung, dẫn đến thiếu đầu mối điều phối thống nhất và chậm trễ trong luồng thông tin. Giải pháp này nhằm kiện toàn mô hình tổ chức trên cơ sở kế thừa vai trò hiện có của Bộ phận Pháp chế, đồng thời thiết lập cơ chế phối hợp liên phòng ban hiệu quả.</w:t>
            </w:r>
          </w:p>
        </w:tc>
        <w:tc>
          <w:tcPr>
            <w:tcW w:type="dxa" w:w="5102"/>
          </w:tcPr>
          <w:p>
            <w:pPr>
              <w:spacing w:after="20"/>
            </w:pPr>
            <w:r/>
            <w:r>
              <w:rPr>
                <w:b w:val="0"/>
                <w:sz w:val="19"/>
              </w:rPr>
              <w:t>Thực trạng tại Chương 2 cho thấy công việc quản lý sở hữu trí tuệ được phân cho bốn đơn vị, Phòng Khoa học Công nghệ có 2 nhân sự kiêm nhiều mảng và chưa có vị trí chuyên trách, giữa các đơn vị chưa có luồng hồ sơ liên thông; đây là hạn chế thứ ba tại Mục 2.5.2. Điều 11 Quyết định 217 đã giao Phòng Khoa học Công nghệ quản lý chung và Bộ phận Pháp chế thực hiện thủ tục, nhưng mức độ thực hiện các nhiệm vụ này chưa được đánh giá. Giải pháp này nhằm bảo đảm các nhiệm vụ đã giao có người thực hiện, có quy chế phối hợp và có số liệu về khối lượng công việc để quyết định bước kiện toàn tiếp theo.</w:t>
            </w:r>
          </w:p>
        </w:tc>
        <w:tc>
          <w:tcPr>
            <w:tcW w:type="dxa" w:w="1984"/>
          </w:tcPr>
          <w:p>
            <w:pPr>
              <w:spacing w:after="20"/>
            </w:pPr>
            <w:r/>
            <w:r>
              <w:rPr>
                <w:b w:val="0"/>
                <w:sz w:val="19"/>
              </w:rPr>
              <w:t>Góp ý mục 3: Điều 10, Điều 11 Quyết định 217; không kết luận khi chưa có bằng chứng</w:t>
            </w:r>
          </w:p>
        </w:tc>
      </w:tr>
      <w:tr>
        <w:tc>
          <w:tcPr>
            <w:tcW w:type="dxa" w:w="567"/>
          </w:tcPr>
          <w:p>
            <w:pPr>
              <w:spacing w:after="20"/>
            </w:pPr>
            <w:r/>
            <w:r>
              <w:rPr>
                <w:b w:val="0"/>
                <w:sz w:val="19"/>
              </w:rPr>
              <w:t>96</w:t>
            </w:r>
          </w:p>
        </w:tc>
        <w:tc>
          <w:tcPr>
            <w:tcW w:type="dxa" w:w="2041"/>
          </w:tcPr>
          <w:p>
            <w:pPr>
              <w:spacing w:after="20"/>
            </w:pPr>
            <w:r/>
            <w:r>
              <w:rPr>
                <w:b w:val="0"/>
                <w:sz w:val="19"/>
              </w:rPr>
              <w:t>Chương 3; 3.2.2. Giải pháp 2: Kiện toàn mô hình tổ chức bộ máy, thiết , đoạn 4</w:t>
            </w:r>
          </w:p>
        </w:tc>
        <w:tc>
          <w:tcPr>
            <w:tcW w:type="dxa" w:w="5102"/>
          </w:tcPr>
          <w:p>
            <w:pPr>
              <w:spacing w:after="20"/>
            </w:pPr>
            <w:r/>
            <w:r>
              <w:rPr>
                <w:b w:val="0"/>
                <w:sz w:val="19"/>
              </w:rPr>
              <w:t>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tc>
        <w:tc>
          <w:tcPr>
            <w:tcW w:type="dxa" w:w="5102"/>
          </w:tcPr>
          <w:p>
            <w:pPr>
              <w:spacing w:after="20"/>
            </w:pPr>
            <w:r/>
            <w:r>
              <w:rPr>
                <w:b w:val="0"/>
                <w:sz w:val="19"/>
              </w:rPr>
              <w:t>Bố trí nhân sự theo giai đoạn. Ở giai đoạn 1, giao một nhân sự hiện có của Phòng Khoa học Công nghệ và một nhân sự của Bộ phận Pháp chế làm đầu mối kiêm nhiệm, cử tham gia tập huấn của Cục Sở hữu trí tuệ về tra cứu sáng chế, soạn bản mô tả và định giá tài sản trí tuệ; thuê tổ chức đại diện sở hữu công nghiệp cho các hồ sơ sáng chế, giải pháp hữu ích. Ở giai đoạn 2, căn cứ số liệu của thí điểm và năm đầu áp dụng, xem xét bố trí vị trí chuyên trách khi khối lượng công việc đạt ngưỡng đề xuất, chẳng hạn từ 15 kết quả được sàng lọc hoặc từ 5 đơn mỗi năm; ngưỡng cụ thể do Ban Giám hiệu quyết định sau thí điểm.</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97</w:t>
            </w:r>
          </w:p>
        </w:tc>
        <w:tc>
          <w:tcPr>
            <w:tcW w:type="dxa" w:w="2041"/>
          </w:tcPr>
          <w:p>
            <w:pPr>
              <w:spacing w:after="20"/>
            </w:pPr>
            <w:r/>
            <w:r>
              <w:rPr>
                <w:b w:val="0"/>
                <w:sz w:val="19"/>
              </w:rPr>
              <w:t>Chương 3; 3.2.2. Giải pháp 2: Kiện toàn mô hình tổ chức bộ máy, thiết , đoạn 8</w:t>
            </w:r>
          </w:p>
        </w:tc>
        <w:tc>
          <w:tcPr>
            <w:tcW w:type="dxa" w:w="5102"/>
          </w:tcPr>
          <w:p>
            <w:pPr>
              <w:spacing w:after="20"/>
            </w:pPr>
            <w:r/>
            <w:r>
              <w:rPr>
                <w:b w:val="0"/>
                <w:sz w:val="19"/>
              </w:rPr>
              <w:t>Phối hợp với Viện Nghiên cứu giáo dục và Chuyển giao tri thức xây dựng Đề án thành lập Trung tâm tư vấn, định giá và thương mại hóa tài sản trí tuệ trong trường, đáp ứng định hướng tại điểm a khoản 6 Mục III Điều 1 Quyết định số 1068/QĐ-TTg đã được sửa đổi tại Quyết định số 1624/QĐ-TTg. Trung tâm này là đầu mối thực hiện các hoạt động định giá tài sản trí tuệ, đàm phán hợp đồng chuyển giao công nghệ và kết nối với doanh nghiệp bên ngoài.</w:t>
            </w:r>
          </w:p>
        </w:tc>
        <w:tc>
          <w:tcPr>
            <w:tcW w:type="dxa" w:w="5102"/>
          </w:tcPr>
          <w:p>
            <w:pPr>
              <w:spacing w:after="20"/>
            </w:pPr>
            <w:r/>
            <w:r>
              <w:rPr>
                <w:b w:val="0"/>
                <w:sz w:val="19"/>
              </w:rPr>
              <w:t>Việc thành lập Trung tâm tư vấn, định giá và thương mại hóa tài sản trí tuệ theo định hướng tại điểm a khoản 6 Mục III Điều 1 Quyết định số 1068/QĐ-TTg đã được sửa đổi tại Quyết định số 1624/QĐ-TTg được đặt ở giai đoạn 2, với điều kiện chuyển bước: danh mục đã có tài sản sẵn sàng chuyển giao, có nhu cầu định giá thực tế và có nguồn kinh phí vận hành. Trước đó, các chức năng định giá, đàm phán được thực hiện qua hợp đồng với tổ chức tư vấn bên ngoài, với sự phối hợp của Viện Nghiên cứu giáo dục và Chuyển giao tri thức.</w:t>
            </w:r>
          </w:p>
        </w:tc>
        <w:tc>
          <w:tcPr>
            <w:tcW w:type="dxa" w:w="1984"/>
          </w:tcPr>
          <w:p>
            <w:pPr>
              <w:spacing w:after="20"/>
            </w:pPr>
            <w:r/>
            <w:r>
              <w:rPr>
                <w:b w:val="0"/>
                <w:sz w:val="19"/>
              </w:rPr>
              <w:t>Góp ý mục 8: căn cứ nhu cầu, phương án theo giai đoạn và điều kiện chuyển bước</w:t>
            </w:r>
          </w:p>
        </w:tc>
      </w:tr>
      <w:tr>
        <w:tc>
          <w:tcPr>
            <w:tcW w:type="dxa" w:w="567"/>
          </w:tcPr>
          <w:p>
            <w:pPr>
              <w:spacing w:after="20"/>
            </w:pPr>
            <w:r/>
            <w:r>
              <w:rPr>
                <w:b w:val="0"/>
                <w:sz w:val="19"/>
              </w:rPr>
              <w:t>98</w:t>
            </w:r>
          </w:p>
        </w:tc>
        <w:tc>
          <w:tcPr>
            <w:tcW w:type="dxa" w:w="2041"/>
          </w:tcPr>
          <w:p>
            <w:pPr>
              <w:spacing w:after="20"/>
            </w:pPr>
            <w:r/>
            <w:r>
              <w:rPr>
                <w:b w:val="0"/>
                <w:sz w:val="19"/>
              </w:rPr>
              <w:t>Chương 3; 3.2.2. Giải pháp 2: Kiện toàn mô hình tổ chức bộ máy, thiết , đoạn 12</w:t>
            </w:r>
          </w:p>
        </w:tc>
        <w:tc>
          <w:tcPr>
            <w:tcW w:type="dxa" w:w="5102"/>
          </w:tcPr>
          <w:p>
            <w:pPr>
              <w:spacing w:after="20"/>
            </w:pPr>
            <w:r/>
            <w:r>
              <w:rPr>
                <w:b w:val="0"/>
                <w:sz w:val="19"/>
              </w:rPr>
              <w:t>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tc>
        <w:tc>
          <w:tcPr>
            <w:tcW w:type="dxa" w:w="5102"/>
          </w:tcPr>
          <w:p>
            <w:pPr>
              <w:spacing w:after="20"/>
            </w:pPr>
            <w:r/>
            <w:r>
              <w:rPr>
                <w:b w:val="0"/>
                <w:sz w:val="19"/>
              </w:rPr>
              <w:t>Giai đoạn 1 không phát sinh biên chế mới, chỉ điều chỉnh nhiệm vụ của nhân sự hiện có; kinh phí tập huấn và thuê đại diện sở hữu công nghiệp lấy từ dòng dự toán tại Giải pháp 4. Cử cán bộ tham gia các lớp tập huấn chuyên sâu của Cục Sở hữu trí tuệ, tối thiểu 02 khóa mỗi năm. Duy trì giao ban liên phòng ban hằng quý về công tác sở hữu trí tuệ do Phó Hiệu trưởng phụ trách khoa học chủ trì, trong đó báo cáo số kết quả được khai báo, sàng lọc và nộp đơn làm căn cứ quyết định vị trí chuyên trách.</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99</w:t>
            </w:r>
          </w:p>
        </w:tc>
        <w:tc>
          <w:tcPr>
            <w:tcW w:type="dxa" w:w="2041"/>
          </w:tcPr>
          <w:p>
            <w:pPr>
              <w:spacing w:after="20"/>
            </w:pPr>
            <w:r/>
            <w:r>
              <w:rPr>
                <w:b w:val="0"/>
                <w:sz w:val="19"/>
              </w:rPr>
              <w:t>Chương 3; 3.2.3. Giải pháp 3: Chuẩn hóa quy trình 8 khâu quản lý tài s, đoạn 2</w:t>
            </w:r>
          </w:p>
        </w:tc>
        <w:tc>
          <w:tcPr>
            <w:tcW w:type="dxa" w:w="5102"/>
          </w:tcPr>
          <w:p>
            <w:pPr>
              <w:spacing w:after="20"/>
            </w:pPr>
            <w:r/>
            <w:r>
              <w:rPr>
                <w:b w:val="0"/>
                <w:sz w:val="19"/>
              </w:rPr>
              <w:t>Thực trạng tại Chương 2 cho thấy tiềm năng tài sản trí tuệ của đội ngũ là rất lớn, đặc biệt ở khối ngành Y - Dược, nhưng quy trình hiện hành còn một khoảng trống kỹ thuật: chưa có biểu mẫu rà soát khả năng bảo hộ tại thời điểm nghiệm thu, nên việc đăng ký phụ thuộc vào sự chủ động của từng tác giả. Quy trình tiếp nhận, xử lý, nộp đơn vì vậy cần được chuẩn hóa để tránh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tc>
        <w:tc>
          <w:tcPr>
            <w:tcW w:type="dxa" w:w="5102"/>
          </w:tcPr>
          <w:p>
            <w:pPr>
              <w:spacing w:after="20"/>
            </w:pPr>
            <w:r/>
            <w:r>
              <w:rPr>
                <w:b w:val="0"/>
                <w:sz w:val="19"/>
              </w:rPr>
              <w:t>Thực trạng tại Chương 2 cho thấy 9 đề tài có sản phẩm tiềm năng sở hữu công nghiệp nhưng mới 1 đề tài có đơn, ứng với hạn chế thứ nhất và thứ bảy tại Mục 2.5.2, và Đề tài nhận định khoảng trống kỹ thuật: thiếu một biểu mẫu rà soát tại thời điểm nghiệm thu. Các biểu mẫu tại Quyết định 213 đã có mục về đăng ký sở hữu trí tuệ nhưng chưa có nội dung sàng lọc khả năng bảo hộ và tình trạng bộc lộ; danh mục tài sản trí tuệ chưa liên kết với danh mục đề tài. Giải pháp này nhằm hoàn thiện biểu mẫu hiện có và chuẩn hóa quy trình để mỗi kết quả có tiềm năng được khai báo, sàng lọc và xem xét bảo mật trước khi công bố hoặc trình diễn, với cách xử lý phù hợp từng loại đối tượng.</w:t>
            </w:r>
          </w:p>
        </w:tc>
        <w:tc>
          <w:tcPr>
            <w:tcW w:type="dxa" w:w="1984"/>
          </w:tcPr>
          <w:p>
            <w:pPr>
              <w:spacing w:after="20"/>
            </w:pPr>
            <w:r/>
            <w:r>
              <w:rPr>
                <w:b w:val="0"/>
                <w:sz w:val="19"/>
              </w:rPr>
              <w:t>Góp ý mục 8: quy trình có nhận diện, tra cứu, xem xét bảo mật trước khi công bố, phân nhánh theo loại đối tượng</w:t>
            </w:r>
          </w:p>
        </w:tc>
      </w:tr>
      <w:tr>
        <w:tc>
          <w:tcPr>
            <w:tcW w:type="dxa" w:w="567"/>
          </w:tcPr>
          <w:p>
            <w:pPr>
              <w:spacing w:after="20"/>
            </w:pPr>
            <w:r/>
            <w:r>
              <w:rPr>
                <w:b w:val="0"/>
                <w:sz w:val="19"/>
              </w:rPr>
              <w:t>100</w:t>
            </w:r>
          </w:p>
        </w:tc>
        <w:tc>
          <w:tcPr>
            <w:tcW w:type="dxa" w:w="2041"/>
          </w:tcPr>
          <w:p>
            <w:pPr>
              <w:spacing w:after="20"/>
            </w:pPr>
            <w:r/>
            <w:r>
              <w:rPr>
                <w:b w:val="0"/>
                <w:sz w:val="19"/>
              </w:rPr>
              <w:t>Chương 3; 3.2.3. Giải pháp 3: Chuẩn hóa quy trình 8 khâu quản lý tài s, đoạn 4</w:t>
            </w:r>
          </w:p>
        </w:tc>
        <w:tc>
          <w:tcPr>
            <w:tcW w:type="dxa" w:w="5102"/>
          </w:tcPr>
          <w:p>
            <w:pPr>
              <w:spacing w:after="20"/>
            </w:pPr>
            <w:r/>
            <w:r>
              <w:rPr>
                <w:b w:val="0"/>
                <w:sz w:val="19"/>
              </w:rPr>
              <w:t>Ban hành Quy trình chuẩn 8 khâu quản lý tài sản trí tuệ từ ý tưởng đến thương mại hóa, áp dụng cho tất cả các đề tài cấp cơ sở và các nhiệm vụ khoa học công nghệ sử dụng ngân sách, được tóm tắt tại hình dưới đây và mô tả cụ thể sau đó.</w:t>
            </w:r>
          </w:p>
        </w:tc>
        <w:tc>
          <w:tcPr>
            <w:tcW w:type="dxa" w:w="5102"/>
          </w:tcPr>
          <w:p>
            <w:pPr>
              <w:spacing w:after="20"/>
            </w:pPr>
            <w:r/>
            <w:r>
              <w:rPr>
                <w:b w:val="0"/>
                <w:sz w:val="19"/>
              </w:rPr>
              <w:t>Ban hành Quy trình chuẩn 8 khâu quản lý tài sản trí tuệ từ khai báo đến khai thác, áp dụng cho tất cả các đề tài cấp cơ sở và các nhiệm vụ khoa học công nghệ sử dụng ngân sách, được tóm tắt tại hình dưới đây và mô tả cụ thể sau đó.</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101</w:t>
            </w:r>
          </w:p>
        </w:tc>
        <w:tc>
          <w:tcPr>
            <w:tcW w:type="dxa" w:w="2041"/>
          </w:tcPr>
          <w:p>
            <w:pPr>
              <w:spacing w:after="20"/>
            </w:pPr>
            <w:r/>
            <w:r>
              <w:rPr>
                <w:b w:val="0"/>
                <w:sz w:val="19"/>
              </w:rPr>
              <w:t>Chương 3; 3.2.3. Giải pháp 3: Chuẩn hóa quy trình 8 khâu quản lý tài s, đoạn 5</w:t>
            </w:r>
          </w:p>
        </w:tc>
        <w:tc>
          <w:tcPr>
            <w:tcW w:type="dxa" w:w="5102"/>
          </w:tcPr>
          <w:p>
            <w:pPr>
              <w:spacing w:after="20"/>
            </w:pPr>
            <w:r/>
            <w:r>
              <w:rPr>
                <w:b w:val="0"/>
                <w:sz w:val="19"/>
              </w:rPr>
              <w:t>Hình 3.2. Quy trình 8 khâu quản lý tài sản trí tuệ từ ý tưởng đến thương mại hóa</w:t>
            </w:r>
          </w:p>
        </w:tc>
        <w:tc>
          <w:tcPr>
            <w:tcW w:type="dxa" w:w="5102"/>
          </w:tcPr>
          <w:p>
            <w:pPr>
              <w:spacing w:after="20"/>
            </w:pPr>
            <w:r/>
            <w:r>
              <w:rPr>
                <w:b w:val="0"/>
                <w:sz w:val="19"/>
              </w:rPr>
              <w:t>Hình 3.2. Quy trình 8 khâu quản lý tài sản trí tuệ từ khai báo đến khai thác, kèm phân nhánh theo loại đối tượng</w:t>
            </w:r>
          </w:p>
        </w:tc>
        <w:tc>
          <w:tcPr>
            <w:tcW w:type="dxa" w:w="1984"/>
          </w:tcPr>
          <w:p>
            <w:pPr>
              <w:spacing w:after="20"/>
            </w:pPr>
            <w:r/>
            <w:r>
              <w:rPr>
                <w:b w:val="0"/>
                <w:sz w:val="19"/>
              </w:rPr>
              <w:t>Góp ý mục 8: quy trình có nhận diện, tra cứu, xem xét bảo mật trước khi công bố, phân nhánh theo loại đối tượng</w:t>
            </w:r>
          </w:p>
        </w:tc>
      </w:tr>
      <w:tr>
        <w:tc>
          <w:tcPr>
            <w:tcW w:type="dxa" w:w="567"/>
          </w:tcPr>
          <w:p>
            <w:pPr>
              <w:spacing w:after="20"/>
            </w:pPr>
            <w:r/>
            <w:r>
              <w:rPr>
                <w:b w:val="0"/>
                <w:sz w:val="19"/>
              </w:rPr>
              <w:t>102</w:t>
            </w:r>
          </w:p>
        </w:tc>
        <w:tc>
          <w:tcPr>
            <w:tcW w:type="dxa" w:w="2041"/>
          </w:tcPr>
          <w:p>
            <w:pPr>
              <w:spacing w:after="20"/>
            </w:pPr>
            <w:r/>
            <w:r>
              <w:rPr>
                <w:b w:val="0"/>
                <w:sz w:val="19"/>
              </w:rPr>
              <w:t>Chương 3; 3.2.3. Giải pháp 3: Chuẩn hóa quy trình 8 khâu quản lý tài s, đoạn 7</w:t>
            </w:r>
          </w:p>
        </w:tc>
        <w:tc>
          <w:tcPr>
            <w:tcW w:type="dxa" w:w="5102"/>
          </w:tcPr>
          <w:p>
            <w:pPr>
              <w:spacing w:after="20"/>
            </w:pPr>
            <w:r/>
            <w:r>
              <w:rPr>
                <w:b w:val="0"/>
                <w:sz w:val="19"/>
              </w:rPr>
              <w:t>Khâu 1: 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phù hợp với yêu cầu tại điểm b khoản 4 Mục III Điều 1 Quyết định số 1068/QĐ-TTg đã được sửa đổi tại Quyết định số 1624/QĐ-TTg.</w:t>
            </w:r>
          </w:p>
        </w:tc>
        <w:tc>
          <w:tcPr>
            <w:tcW w:type="dxa" w:w="5102"/>
          </w:tcPr>
          <w:p>
            <w:pPr>
              <w:spacing w:after="20"/>
            </w:pPr>
            <w:r/>
            <w:r>
              <w:rPr>
                <w:b w:val="0"/>
                <w:sz w:val="19"/>
              </w:rPr>
              <w:t>Khâu 1: Khai báo kết quả và nhu cầu bảo hộ. Hoàn thiện các biểu mẫu hiện có thay vì ban hành biểu mẫu mới: Mẫu 01 đề xuất và Mẫu 06 thuyết minh bổ sung các trường loại đối tượng dự kiến theo năm nhánh, chủ thể quyền và đồng tác giả, nguồn kinh phí, lịch công bố dự kiến, tình trạng bảo mật và nhu cầu hỗ trợ; Mẫu 11 hợp đồng bổ sung nghĩa vụ khai báo kết quả trước khi công bố, phù hợp Điều 10 Quyết định 217; báo cáo tiến độ và Mẫu 15 báo cáo tổng kết cập nhật các trường này. Chủ nhiệm đề tài khai báo, Phòng Khoa học Công nghệ tiếp nhận, phù hợp định hướng xác định đối tượng quyền sở hữu trí tuệ cần đạt được tại điểm b khoản 4 Mục III Điều 1 Quyết định số 1068/QĐ-TTg đã được sửa đổi.</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103</w:t>
            </w:r>
          </w:p>
        </w:tc>
        <w:tc>
          <w:tcPr>
            <w:tcW w:type="dxa" w:w="2041"/>
          </w:tcPr>
          <w:p>
            <w:pPr>
              <w:spacing w:after="20"/>
            </w:pPr>
            <w:r/>
            <w:r>
              <w:rPr>
                <w:b w:val="0"/>
                <w:sz w:val="19"/>
              </w:rPr>
              <w:t>Chương 3; 3.2.3. Giải pháp 3: Chuẩn hóa quy trình 8 khâu quản lý tài s, đoạn 8</w:t>
            </w:r>
          </w:p>
        </w:tc>
        <w:tc>
          <w:tcPr>
            <w:tcW w:type="dxa" w:w="5102"/>
          </w:tcPr>
          <w:p>
            <w:pPr>
              <w:spacing w:after="20"/>
            </w:pPr>
            <w:r/>
            <w:r>
              <w:rPr>
                <w:b w:val="0"/>
                <w:sz w:val="19"/>
              </w:rPr>
              <w:t>Khâu 2: 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tc>
        <w:tc>
          <w:tcPr>
            <w:tcW w:type="dxa" w:w="5102"/>
          </w:tcPr>
          <w:p>
            <w:pPr>
              <w:spacing w:after="20"/>
            </w:pPr>
            <w:r/>
            <w:r>
              <w:rPr>
                <w:b w:val="0"/>
                <w:sz w:val="19"/>
              </w:rPr>
              <w:t>Khâu 2: Sàng lọc sơ bộ và phân nhánh. Trong 10 ngày làm việc kể từ khi nhận phiếu khai báo, Phòng Khoa học Công nghệ phân loại kết quả theo năm nhánh: sáng chế, giải pháp hữu ích phải giữ bí mật đến khi nộp đơn; kiểu dáng công nghiệp cần nộp đơn trước khi trưng bày, giới thiệu sản phẩm; nhãn hiệu cần tra cứu trước khi sử dụng; quyền tác giả đối với giáo trình, phần mềm, sưu tập dữ liệu được ghi nhận và đăng ký khi cần chứng cứ để khai thác; bí mật kinh doanh như công thức, quy trình không công bố được bảo vệ bằng biện pháp bảo mật thay vì nộp đơn.</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104</w:t>
            </w:r>
          </w:p>
        </w:tc>
        <w:tc>
          <w:tcPr>
            <w:tcW w:type="dxa" w:w="2041"/>
          </w:tcPr>
          <w:p>
            <w:pPr>
              <w:spacing w:after="20"/>
            </w:pPr>
            <w:r/>
            <w:r>
              <w:rPr>
                <w:b w:val="0"/>
                <w:sz w:val="19"/>
              </w:rPr>
              <w:t>Chương 3; 3.2.3. Giải pháp 3: Chuẩn hóa quy trình 8 khâu quản lý tài s, đoạn 9</w:t>
            </w:r>
          </w:p>
        </w:tc>
        <w:tc>
          <w:tcPr>
            <w:tcW w:type="dxa" w:w="5102"/>
          </w:tcPr>
          <w:p>
            <w:pPr>
              <w:spacing w:after="20"/>
            </w:pPr>
            <w:r/>
            <w:r>
              <w:rPr>
                <w:b w:val="0"/>
                <w:sz w:val="19"/>
              </w:rPr>
              <w:t>Khâu 3: 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tc>
        <w:tc>
          <w:tcPr>
            <w:tcW w:type="dxa" w:w="5102"/>
          </w:tcPr>
          <w:p>
            <w:pPr>
              <w:spacing w:after="20"/>
            </w:pPr>
            <w:r/>
            <w:r>
              <w:rPr>
                <w:b w:val="0"/>
                <w:sz w:val="19"/>
              </w:rPr>
              <w:t>Khâu 3: Tra cứu và đánh giá khả năng bảo hộ. Với các nhánh sáng chế, giải pháp hữu ích, kiểu dáng công nghiệp, nhãn hiệu, Bộ phận Pháp chế hoặc tổ chức đại diện sở hữu công nghiệp được thuê tra cứu trên các cơ sở dữ liệu sáng chế, nhãn hiệu, đánh giá sơ bộ tính mới, trình độ sáng tạo, khả năng áp dụng và đề xuất loại hình đăng ký.</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105</w:t>
            </w:r>
          </w:p>
        </w:tc>
        <w:tc>
          <w:tcPr>
            <w:tcW w:type="dxa" w:w="2041"/>
          </w:tcPr>
          <w:p>
            <w:pPr>
              <w:spacing w:after="20"/>
            </w:pPr>
            <w:r/>
            <w:r>
              <w:rPr>
                <w:b w:val="0"/>
                <w:sz w:val="19"/>
              </w:rPr>
              <w:t>Chương 3; 3.2.3. Giải pháp 3: Chuẩn hóa quy trình 8 khâu quản lý tài s, đoạn 10</w:t>
            </w:r>
          </w:p>
        </w:tc>
        <w:tc>
          <w:tcPr>
            <w:tcW w:type="dxa" w:w="5102"/>
          </w:tcPr>
          <w:p>
            <w:pPr>
              <w:spacing w:after="20"/>
            </w:pPr>
            <w:r/>
            <w:r>
              <w:rPr>
                <w:b w:val="0"/>
                <w:sz w:val="19"/>
              </w:rPr>
              <w:t>Khâu 4: 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tc>
        <w:tc>
          <w:tcPr>
            <w:tcW w:type="dxa" w:w="5102"/>
          </w:tcPr>
          <w:p>
            <w:pPr>
              <w:spacing w:after="20"/>
            </w:pPr>
            <w:r/>
            <w:r>
              <w:rPr>
                <w:b w:val="0"/>
                <w:sz w:val="19"/>
              </w:rPr>
              <w:t>Khâu 4: Xem xét bảo mật trước khi công bố hoặc trình diễn. Trước khi gửi bài báo, báo cáo hội thảo, luận văn hoặc đưa sản phẩm vào thử nghiệm mở, trình diễn tại Không gian sáng tạo mở thử nghiệm, chủ nhiệm đề tài xin ý kiến Phòng Khoa học Công nghệ theo Điều 10 Quyết định 217; Phòng thông báo công bố, trì hoãn công bố hoặc yêu cầu nộp đơn trước theo Điều 11, hoặc yêu cầu người tham gia ký cam kết bảo mật. Khi kết quả đã bị bộc lộ, Phòng xác định ngày bộc lộ để tính thời hạn mười hai tháng theo khoản 3 Điều 60 Luật Sở hữu trí tuệ. Cách làm này phù hợp với định hướng đăng ký bảo hộ đồng thời với công bố tại điểm b khoản 4 Mục III Điều 1 Quyết định số 1068/QĐ-TTg đã được sửa đổi.</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106</w:t>
            </w:r>
          </w:p>
        </w:tc>
        <w:tc>
          <w:tcPr>
            <w:tcW w:type="dxa" w:w="2041"/>
          </w:tcPr>
          <w:p>
            <w:pPr>
              <w:spacing w:after="20"/>
            </w:pPr>
            <w:r/>
            <w:r>
              <w:rPr>
                <w:b w:val="0"/>
                <w:sz w:val="19"/>
              </w:rPr>
              <w:t>Chương 3; 3.2.3. Giải pháp 3: Chuẩn hóa quy trình 8 khâu quản lý tài s, đoạn 11</w:t>
            </w:r>
          </w:p>
        </w:tc>
        <w:tc>
          <w:tcPr>
            <w:tcW w:type="dxa" w:w="5102"/>
          </w:tcPr>
          <w:p>
            <w:pPr>
              <w:spacing w:after="20"/>
            </w:pPr>
            <w:r/>
            <w:r>
              <w:rPr>
                <w:b w:val="0"/>
                <w:sz w:val="19"/>
              </w:rPr>
              <w:t>Khâu 5: 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tc>
        <w:tc>
          <w:tcPr>
            <w:tcW w:type="dxa" w:w="5102"/>
          </w:tcPr>
          <w:p>
            <w:pPr>
              <w:spacing w:after="20"/>
            </w:pPr>
            <w:r/>
            <w:r>
              <w:rPr>
                <w:b w:val="0"/>
                <w:sz w:val="19"/>
              </w:rPr>
              <w:t>Khâu 5: Xác nhận tại nghiệm thu. Mẫu 16 phiếu nghiệm thu được bổ sung phiếu rà soát gồm các trường: loại đối tượng, chủ thể quyền, nguồn kinh phí và thời điểm giao nhiệm vụ, tình trạng bộc lộ và ngày bộc lộ nếu có, kết quả sàng lọc tại Khâu 2 và Khâu 3, đề xuất hướng xử lý. Hội đồng nghiệm thu xác nhận phiếu rà soát; kết quả được đề xuất đăng ký được chuyển sang Khâu 6 trong thời hạn quy định.</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107</w:t>
            </w:r>
          </w:p>
        </w:tc>
        <w:tc>
          <w:tcPr>
            <w:tcW w:type="dxa" w:w="2041"/>
          </w:tcPr>
          <w:p>
            <w:pPr>
              <w:spacing w:after="20"/>
            </w:pPr>
            <w:r/>
            <w:r>
              <w:rPr>
                <w:b w:val="0"/>
                <w:sz w:val="19"/>
              </w:rPr>
              <w:t>Chương 3; 3.2.3. Giải pháp 3: Chuẩn hóa quy trình 8 khâu quản lý tài s, đoạn 12</w:t>
            </w:r>
          </w:p>
        </w:tc>
        <w:tc>
          <w:tcPr>
            <w:tcW w:type="dxa" w:w="5102"/>
          </w:tcPr>
          <w:p>
            <w:pPr>
              <w:spacing w:after="20"/>
            </w:pPr>
            <w:r/>
            <w:r>
              <w:rPr>
                <w:b w:val="0"/>
                <w:sz w:val="19"/>
              </w:rPr>
              <w:t>Khâu 6: 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p>
        </w:tc>
        <w:tc>
          <w:tcPr>
            <w:tcW w:type="dxa" w:w="5102"/>
          </w:tcPr>
          <w:p>
            <w:pPr>
              <w:spacing w:after="20"/>
            </w:pPr>
            <w:r/>
            <w:r>
              <w:rPr>
                <w:b w:val="0"/>
                <w:sz w:val="19"/>
              </w:rPr>
              <w:t>Khâu 6: Quyết định xác lập quyền và dự toán. Trên cơ sở phiếu rà soát, Phòng Khoa học Công nghệ trình Hiệu trưởng quyết định đăng ký theo Điều 35 Quyết định 213, kèm dự toán phí nộp đơn, phí đại diện, phí duy trì, nguồn chi, người đề xuất chi và thời hạn nộp đơn; Phòng Tài chính - Kế toán bố trí tạm ứng theo Giải pháp 4. Thời hạn từ khi có phiếu rà soát đến khi có quyết định không quá 15 ngày làm việc.</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108</w:t>
            </w:r>
          </w:p>
        </w:tc>
        <w:tc>
          <w:tcPr>
            <w:tcW w:type="dxa" w:w="2041"/>
          </w:tcPr>
          <w:p>
            <w:pPr>
              <w:spacing w:after="20"/>
            </w:pPr>
            <w:r/>
            <w:r>
              <w:rPr>
                <w:b w:val="0"/>
                <w:sz w:val="19"/>
              </w:rPr>
              <w:t>Chương 3; 3.2.3. Giải pháp 3: Chuẩn hóa quy trình 8 khâu quản lý tài s, đoạn 13</w:t>
            </w:r>
          </w:p>
        </w:tc>
        <w:tc>
          <w:tcPr>
            <w:tcW w:type="dxa" w:w="5102"/>
          </w:tcPr>
          <w:p>
            <w:pPr>
              <w:spacing w:after="20"/>
            </w:pPr>
            <w:r/>
            <w:r>
              <w:rPr>
                <w:b w:val="0"/>
                <w:sz w:val="19"/>
              </w:rPr>
              <w:t>Khâu 7: Duy trì hiệu lực văn bằng bảo hộ. Bộ phận Pháp chế theo dõi lịch nộp phí duy trì hiệu lực hằng năm, lập sổ theo dõi toàn bộ danh mục tài sản trí tuệ và cảnh báo trước 03 tháng khi đến hạn nộp phí.</w:t>
            </w:r>
          </w:p>
        </w:tc>
        <w:tc>
          <w:tcPr>
            <w:tcW w:type="dxa" w:w="5102"/>
          </w:tcPr>
          <w:p>
            <w:pPr>
              <w:spacing w:after="20"/>
            </w:pPr>
            <w:r/>
            <w:r>
              <w:rPr>
                <w:b w:val="0"/>
                <w:sz w:val="19"/>
              </w:rPr>
              <w:t>Khâu 7: Nộp đơn, theo dõi và duy trì. Bộ phận Pháp chế nộp đơn tại Cục Sở hữu trí tuệ hoặc đăng ký quyền tác giả tại Cục Bản quyền tác giả, theo dõi các mốc thẩm định theo Điều 119 Luật Sở hữu trí tuệ, cập nhật trạng thái vào danh mục số theo bốn nhóm thống nhất: đã nộp đơn, đã chấp nhận đơn hợp lệ, đã cấp văn bằng hoặc giấy chứng nhận, chưa xác minh; lập lịch phí duy trì và cảnh báo trước 03 tháng. Với nhánh bí mật kinh doanh, Phòng Khoa học Công nghệ lập danh mục và áp dụng biện pháp bảo mật.</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109</w:t>
            </w:r>
          </w:p>
        </w:tc>
        <w:tc>
          <w:tcPr>
            <w:tcW w:type="dxa" w:w="2041"/>
          </w:tcPr>
          <w:p>
            <w:pPr>
              <w:spacing w:after="20"/>
            </w:pPr>
            <w:r/>
            <w:r>
              <w:rPr>
                <w:b w:val="0"/>
                <w:sz w:val="19"/>
              </w:rPr>
              <w:t>Chương 3; 3.2.3. Giải pháp 3: Chuẩn hóa quy trình 8 khâu quản lý tài s, đoạn 14</w:t>
            </w:r>
          </w:p>
        </w:tc>
        <w:tc>
          <w:tcPr>
            <w:tcW w:type="dxa" w:w="5102"/>
          </w:tcPr>
          <w:p>
            <w:pPr>
              <w:spacing w:after="20"/>
            </w:pPr>
            <w:r/>
            <w:r>
              <w:rPr>
                <w:b w:val="0"/>
                <w:sz w:val="19"/>
              </w:rPr>
              <w:t>Khâu 8: 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tc>
        <w:tc>
          <w:tcPr>
            <w:tcW w:type="dxa" w:w="5102"/>
          </w:tcPr>
          <w:p>
            <w:pPr>
              <w:spacing w:after="20"/>
            </w:pPr>
            <w:r/>
            <w:r>
              <w:rPr>
                <w:b w:val="0"/>
                <w:sz w:val="19"/>
              </w:rPr>
              <w:t>Khâu 8: Khai thác và phân chia lợi ích. Phòng Khoa học Công nghệ chủ trì xúc tiến thương mại hóa theo Điều 11 Quyết định 217, phối hợp với Viện Nghiên cứu giáo dục và Chuyển giao tri thức và tổ chức tư vấn bên ngoài để định giá, tìm đối tác, đàm phán hợp đồng; lợi ích được phân chia theo lớp áp dụng tại Giải pháp 1, căn cứ nguồn hình thành tài sản, thời điểm giao nhiệm vụ và loại đối tượng.</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110</w:t>
            </w:r>
          </w:p>
        </w:tc>
        <w:tc>
          <w:tcPr>
            <w:tcW w:type="dxa" w:w="2041"/>
          </w:tcPr>
          <w:p>
            <w:pPr>
              <w:spacing w:after="20"/>
            </w:pPr>
            <w:r/>
            <w:r>
              <w:rPr>
                <w:b w:val="0"/>
                <w:sz w:val="19"/>
              </w:rPr>
              <w:t>Chương 3; 3.2.3. Giải pháp 3: Chuẩn hóa quy trình 8 khâu quản lý tài s, đoạn 16</w:t>
            </w:r>
          </w:p>
        </w:tc>
        <w:tc>
          <w:tcPr>
            <w:tcW w:type="dxa" w:w="5102"/>
          </w:tcPr>
          <w:p>
            <w:pPr>
              <w:spacing w:after="20"/>
            </w:pPr>
            <w:r/>
            <w:r>
              <w:rPr>
                <w:b w:val="0"/>
                <w:sz w:val="19"/>
              </w:rPr>
              <w:t>Phòng Khoa học Công nghệ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tc>
        <w:tc>
          <w:tcPr>
            <w:tcW w:type="dxa" w:w="5102"/>
          </w:tcPr>
          <w:p>
            <w:pPr>
              <w:spacing w:after="20"/>
            </w:pPr>
            <w:r/>
            <w:r>
              <w:rPr>
                <w:b w:val="0"/>
                <w:sz w:val="19"/>
              </w:rPr>
              <w:t>Phòng Khoa học Công nghệ chủ trì hoàn thiện biểu mẫu, ban hành quy trình và thực hiện các khâu 2, 4, 8. Chủ nhiệm đề tài thực hiện khâu 1. Bộ phận Pháp chế thực hiện các khâu 3 và 7. Hội đồng nghiệm thu thực hiện khâu 5. Hiệu trưởng và Phòng Tài chính - Kế toán thực hiện khâu 6. Viện Nghiên cứu giáo dục và Chuyển giao tri thức vận hành Không gian sáng tạo mở thử nghiệm theo nguyên tắc bảo mật tại khâu 4.</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111</w:t>
            </w:r>
          </w:p>
        </w:tc>
        <w:tc>
          <w:tcPr>
            <w:tcW w:type="dxa" w:w="2041"/>
          </w:tcPr>
          <w:p>
            <w:pPr>
              <w:spacing w:after="20"/>
            </w:pPr>
            <w:r/>
            <w:r>
              <w:rPr>
                <w:b w:val="0"/>
                <w:sz w:val="19"/>
              </w:rPr>
              <w:t>Chương 3; 3.2.3. Giải pháp 3: Chuẩn hóa quy trình 8 khâu quản lý tài s, đoạn 18</w:t>
            </w:r>
          </w:p>
        </w:tc>
        <w:tc>
          <w:tcPr>
            <w:tcW w:type="dxa" w:w="5102"/>
          </w:tcPr>
          <w:p>
            <w:pPr>
              <w:spacing w:after="20"/>
            </w:pPr>
            <w:r/>
            <w:r>
              <w:rPr>
                <w:b w:val="0"/>
                <w:sz w:val="19"/>
              </w:rPr>
              <w:t>Hạ tầng Không gian sáng tạo mở thử nghiệm. Tài khoản truy cập các công cụ tra cứu sáng chế quốc tế miễn phí. Biểu mẫu đánh giá nghiệm thu sửa đổi có bổ sung mục rà soát sở hữu trí tuệ.</w:t>
            </w:r>
          </w:p>
        </w:tc>
        <w:tc>
          <w:tcPr>
            <w:tcW w:type="dxa" w:w="5102"/>
          </w:tcPr>
          <w:p>
            <w:pPr>
              <w:spacing w:after="20"/>
            </w:pPr>
            <w:r/>
            <w:r>
              <w:rPr>
                <w:b w:val="0"/>
                <w:sz w:val="19"/>
              </w:rPr>
              <w:t>Phiếu khai báo và phiếu rà soát được ban hành kèm quy trình; tài khoản truy cập công cụ tra cứu sáng chế; danh mục số tài sản trí tuệ dùng chung giữa Phòng Khoa học Công nghệ, Bộ phận Pháp chế và bộ phận quản trị thương hiệu; nhân sự đầu mối theo Giải pháp 2.</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112</w:t>
            </w:r>
          </w:p>
        </w:tc>
        <w:tc>
          <w:tcPr>
            <w:tcW w:type="dxa" w:w="2041"/>
          </w:tcPr>
          <w:p>
            <w:pPr>
              <w:spacing w:after="20"/>
            </w:pPr>
            <w:r/>
            <w:r>
              <w:rPr>
                <w:b w:val="0"/>
                <w:sz w:val="19"/>
              </w:rPr>
              <w:t>Chương 3; 3.2.4. Giải pháp 4: Hoàn thiện cơ chế tài chính cho bước xác, tên mục</w:t>
            </w:r>
          </w:p>
        </w:tc>
        <w:tc>
          <w:tcPr>
            <w:tcW w:type="dxa" w:w="5102"/>
          </w:tcPr>
          <w:p>
            <w:pPr>
              <w:spacing w:after="20"/>
            </w:pPr>
            <w:r/>
            <w:r>
              <w:rPr>
                <w:b w:val="0"/>
                <w:sz w:val="19"/>
              </w:rPr>
              <w:t>3.2.4. Giải pháp 4: Xây dựng cơ chế tài chính linh hoạt, thành lập doanh nghiệp quản lý tài sản trí tuệ và phân bổ lợi ích thương mại hóa</w:t>
            </w:r>
          </w:p>
        </w:tc>
        <w:tc>
          <w:tcPr>
            <w:tcW w:type="dxa" w:w="5102"/>
          </w:tcPr>
          <w:p>
            <w:pPr>
              <w:spacing w:after="20"/>
            </w:pPr>
            <w:r/>
            <w:r>
              <w:rPr>
                <w:b w:val="0"/>
                <w:sz w:val="19"/>
              </w:rPr>
              <w:t>3.2.4. Giải pháp 4: Hoàn thiện cơ chế tài chính cho bước xác lập quyền và phương án tổ chức khai thác tài sản trí tuệ theo giai đoạn</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113</w:t>
            </w:r>
          </w:p>
        </w:tc>
        <w:tc>
          <w:tcPr>
            <w:tcW w:type="dxa" w:w="2041"/>
          </w:tcPr>
          <w:p>
            <w:pPr>
              <w:spacing w:after="20"/>
            </w:pPr>
            <w:r/>
            <w:r>
              <w:rPr>
                <w:b w:val="0"/>
                <w:sz w:val="19"/>
              </w:rPr>
              <w:t>Chương 3; 3.2.4. Giải pháp 4: Hoàn thiện cơ chế tài chính cho bước xác, đoạn 2</w:t>
            </w:r>
          </w:p>
        </w:tc>
        <w:tc>
          <w:tcPr>
            <w:tcW w:type="dxa" w:w="5102"/>
          </w:tcPr>
          <w:p>
            <w:pPr>
              <w:spacing w:after="20"/>
            </w:pPr>
            <w:r/>
            <w:r>
              <w:rPr>
                <w:b w:val="0"/>
                <w:sz w:val="19"/>
              </w:rPr>
              <w:t>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Theo kết quả Chương 2, đề tài cấp cơ sở có mức kinh phí trung vị 8,5 triệu đồng và không có dòng chi cho lệ phí nộp đơn, phí thẩm định, phí đại diện sở hữu công nghiệp và phí duy trì hiệu lực; Điều 38 Quyết định 213 không có mục chi riêng cho các khoản này; trong khi đó văn bằng chỉ được quy đổi giờ, không có tiền thưởng và thủ tục thẩm định thường kéo dài từ hai đến ba năm. Giải pháp này nhằm tháo gỡ điểm nghẽn kinh phí, rút ngắn khoảng cách thời gian chi thưởng và xây dựng nền tảng cho việc thương mại hóa kết quả nghiên cứu thông qua cơ chế góp vốn bằng tài sản trí tuệ.</w:t>
            </w:r>
          </w:p>
        </w:tc>
        <w:tc>
          <w:tcPr>
            <w:tcW w:type="dxa" w:w="5102"/>
          </w:tcPr>
          <w:p>
            <w:pPr>
              <w:spacing w:after="20"/>
            </w:pPr>
            <w:r/>
            <w:r>
              <w:rPr>
                <w:b w:val="0"/>
                <w:sz w:val="19"/>
              </w:rPr>
              <w:t>Chương 2 cho thấy quy chế đã có căn cứ chi cho bước xác lập quyền tại Điều 35, Điều 38 Quyết định 213 và Điều 13 Quyết định 217, nhưng chưa thấy dự toán riêng, cách tạm ứng, thanh toán khi đơn được nộp sau nghiệm thu, thời hạn và người chịu trách nhiệm đề xuất chi; số liệu chi thực tế chưa được thống kê. Quy chế chi tiêu nội bộ năm 2026 ghi nhận văn bằng khi được cấp và chưa có tiền thưởng cho văn bằng, trong khi bài báo quốc tế được thưởng ngay khi đăng; hoạt động khai thác có thu phí còn nhỏ, ứng với hạn chế thứ sáu tại Mục 2.5.2. Giải pháp này nhằm chuyển căn cứ chi hiện có thành một dòng dự toán vận hành được, điều chỉnh thời điểm ghi nhận văn bằng và chuẩn bị phương án tổ chức khai thác theo giai đoạn.</w:t>
            </w:r>
          </w:p>
        </w:tc>
        <w:tc>
          <w:tcPr>
            <w:tcW w:type="dxa" w:w="1984"/>
          </w:tcPr>
          <w:p>
            <w:pPr>
              <w:spacing w:after="20"/>
            </w:pPr>
            <w:r/>
            <w:r>
              <w:rPr>
                <w:b w:val="0"/>
                <w:sz w:val="19"/>
              </w:rPr>
              <w:t>Góp ý mục 3: Điều 35, Điều 38 và các biểu mẫu Quyết định 213; Điều 10, Điều 11 Quyết định 217</w:t>
            </w:r>
          </w:p>
        </w:tc>
      </w:tr>
      <w:tr>
        <w:tc>
          <w:tcPr>
            <w:tcW w:type="dxa" w:w="567"/>
          </w:tcPr>
          <w:p>
            <w:pPr>
              <w:spacing w:after="20"/>
            </w:pPr>
            <w:r/>
            <w:r>
              <w:rPr>
                <w:b w:val="0"/>
                <w:sz w:val="19"/>
              </w:rPr>
              <w:t>114</w:t>
            </w:r>
          </w:p>
        </w:tc>
        <w:tc>
          <w:tcPr>
            <w:tcW w:type="dxa" w:w="2041"/>
          </w:tcPr>
          <w:p>
            <w:pPr>
              <w:spacing w:after="20"/>
            </w:pPr>
            <w:r/>
            <w:r>
              <w:rPr>
                <w:b w:val="0"/>
                <w:sz w:val="19"/>
              </w:rPr>
              <w:t>Chương 3; 3.2.4. Giải pháp 4: Hoàn thiện cơ chế tài chính cho bước xác, đoạn 4</w:t>
            </w:r>
          </w:p>
        </w:tc>
        <w:tc>
          <w:tcPr>
            <w:tcW w:type="dxa" w:w="5102"/>
          </w:tcPr>
          <w:p>
            <w:pPr>
              <w:spacing w:after="20"/>
            </w:pPr>
            <w:r/>
            <w:r>
              <w:rPr>
                <w:b w:val="0"/>
                <w:sz w:val="19"/>
              </w:rPr>
              <w:t>Nội dung 1: Trích lập Dòng kinh phí hỗ trợ đăng ký sở hữu trí tuệ 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 phù hợp với điểm b khoản 2 Điều 66 Luật số 93/2025/QH15 cho phép quỹ phát triển khoa học và công nghệ của tổ chức chi cho đăng ký, bảo hộ, quản lý, khai thác quyền sở hữu trí tuệ.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 Đồng thời sửa đổi Điều lệ Quỹ Học bổng sau tiến sĩ Ngô Xuân Độ, ngân sách 5 tỷ đồng giai đoạn 2025 - 2029, để sản phẩm hình thành từ đề tài cấp cơ sở đã qua rà soát tại Khâu 4 được đề nghị hỗ trợ chi phí đăng ký, tạo cơ chế chuyển tiếp giữa hai kênh tài trợ.</w:t>
            </w:r>
          </w:p>
        </w:tc>
        <w:tc>
          <w:tcPr>
            <w:tcW w:type="dxa" w:w="5102"/>
          </w:tcPr>
          <w:p>
            <w:pPr>
              <w:spacing w:after="20"/>
            </w:pPr>
            <w:r/>
            <w:r>
              <w:rPr>
                <w:b w:val="0"/>
                <w:sz w:val="19"/>
              </w:rPr>
              <w:t>Nội dung 1: Lập dòng dự toán hằng năm cho phí xác lập quyền trong Quỹ nghiên cứu khoa học của Trường theo Chương VII Quyết định 213, trên cơ sở Điều 35 và Điều 38 Quyết định 213, phù hợp với điểm b khoản 2 Điều 66 Luật số 93/2025/QH15 và trách nhiệm thành lập quỹ phát triển khoa học và công nghệ tại điểm d khoản 3 Điều 28 Luật Giáo dục đại học số 125/2025/QH15. Dòng dự toán chi trả lệ phí nộp đơn, phí thẩm định, phí công bố, phí đại diện sở hữu công nghiệp cho các kết quả đã qua Khâu 5, kể cả khi đề tài đã quyết toán; quy định rõ người đề xuất chi là Phòng Khoa học Công nghệ, thời hạn đề xuất trong 15 ngày làm việc kể từ khi có phiếu rà soát, hình thức tạm ứng cho Bộ phận Pháp chế và hồ sơ thanh toán. Quy mô dự toán được tính từ số hồ sơ dự kiến nhân với mức phí theo quy định hiện hành về phí, lệ phí sở hữu công nghiệp, thay vì ấn định trước một tỷ lệ trích quỹ; tỷ lệ trích được để mở và điều chỉnh sau năm đầu. Sau khi đối chiếu văn bản Điều lệ, đề nghị bổ sung vào Điều lệ Quỹ Học bổng sau tiến sĩ Ngô Xuân Độ quy định cho phép hỗ trợ chi phí đăng ký đối với sản phẩm đề tài cấp cơ sở đã qua Khâu 5.</w:t>
            </w:r>
          </w:p>
        </w:tc>
        <w:tc>
          <w:tcPr>
            <w:tcW w:type="dxa" w:w="1984"/>
          </w:tcPr>
          <w:p>
            <w:pPr>
              <w:spacing w:after="20"/>
            </w:pPr>
            <w:r/>
            <w:r>
              <w:rPr>
                <w:b w:val="0"/>
                <w:sz w:val="19"/>
              </w:rPr>
              <w:t>Góp ý mục 3: Điều 35, Điều 38 và các biểu mẫu Quyết định 213; Điều 10, Điều 11 Quyết định 217</w:t>
            </w:r>
          </w:p>
        </w:tc>
      </w:tr>
      <w:tr>
        <w:tc>
          <w:tcPr>
            <w:tcW w:type="dxa" w:w="567"/>
          </w:tcPr>
          <w:p>
            <w:pPr>
              <w:spacing w:after="20"/>
            </w:pPr>
            <w:r/>
            <w:r>
              <w:rPr>
                <w:b w:val="0"/>
                <w:sz w:val="19"/>
              </w:rPr>
              <w:t>115</w:t>
            </w:r>
          </w:p>
        </w:tc>
        <w:tc>
          <w:tcPr>
            <w:tcW w:type="dxa" w:w="2041"/>
          </w:tcPr>
          <w:p>
            <w:pPr>
              <w:spacing w:after="20"/>
            </w:pPr>
            <w:r/>
            <w:r>
              <w:rPr>
                <w:b w:val="0"/>
                <w:sz w:val="19"/>
              </w:rPr>
              <w:t>Chương 3; 3.2.4. Giải pháp 4: Hoàn thiện cơ chế tài chính cho bước xác, đoạn 5</w:t>
            </w:r>
          </w:p>
        </w:tc>
        <w:tc>
          <w:tcPr>
            <w:tcW w:type="dxa" w:w="5102"/>
          </w:tcPr>
          <w:p>
            <w:pPr>
              <w:spacing w:after="20"/>
            </w:pPr>
            <w:r/>
            <w:r>
              <w:rPr>
                <w:b w:val="0"/>
                <w:sz w:val="19"/>
              </w:rPr>
              <w:t>Nội dung 2: Sửa đổi Quy chế chi tiêu nội bộ theo hướng cho phép ghi nhận ngay 50% định mức giờ nghiên cứu khoa học quy đổi khi Cục Sở hữu trí tuệ chấp nhận đơn hợp lệ (thay vì chờ đến khi cấp văn bằng bảo hộ). Phần 50% còn lại được ghi nhận khi văn bằng bảo hộ được cấp chính thức. Bổ sung mức thưởng bằng tiền cho bằng độc quyền sáng chế và giải pháp hữu ích, tối thiểu tương đương mức thưởng cho bài báo WoS có cùng mức giờ quy đổi. Cơ chế này tạo động lực tức thì cho giảng viên và xóa bỏ sự chênh lệch động lực giữa công bố và đăng ký.</w:t>
            </w:r>
          </w:p>
        </w:tc>
        <w:tc>
          <w:tcPr>
            <w:tcW w:type="dxa" w:w="5102"/>
          </w:tcPr>
          <w:p>
            <w:pPr>
              <w:spacing w:after="20"/>
            </w:pPr>
            <w:r/>
            <w:r>
              <w:rPr>
                <w:b w:val="0"/>
                <w:sz w:val="19"/>
              </w:rPr>
              <w:t>Nội dung 2: Đề xuất sửa đổi Quy chế chi tiêu nội bộ năm 2026 theo hướng ghi nhận 50% định mức giờ nghiên cứu quy đổi khi Cục Sở hữu trí tuệ ra thông báo chấp nhận đơn hợp lệ và 50% còn lại khi văn bằng được cấp; xem xét mức thưởng bằng tiền cho bằng độc quyền sáng chế, giải pháp hữu ích, với mức cụ thể do Phòng Tài chính - Kế toán tính toán trên số hồ sơ dự kiến trước khi trình. Đây là thưởng theo quy chế nội bộ, tách biệt với thưởng khi thương mại hóa theo Điều 28 Luật số 93/2025/QH15 và thù lao theo Điều 135 Luật Sở hữu trí tuệ.</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7: thống kê, phễu sở hữu công nghiệp, năm theo loại dữ liệu, giảm khẳng định nhân quả</w:t>
            </w:r>
          </w:p>
        </w:tc>
      </w:tr>
      <w:tr>
        <w:tc>
          <w:tcPr>
            <w:tcW w:type="dxa" w:w="567"/>
          </w:tcPr>
          <w:p>
            <w:pPr>
              <w:spacing w:after="20"/>
            </w:pPr>
            <w:r/>
            <w:r>
              <w:rPr>
                <w:b w:val="0"/>
                <w:sz w:val="19"/>
              </w:rPr>
              <w:t>116</w:t>
            </w:r>
          </w:p>
        </w:tc>
        <w:tc>
          <w:tcPr>
            <w:tcW w:type="dxa" w:w="2041"/>
          </w:tcPr>
          <w:p>
            <w:pPr>
              <w:spacing w:after="20"/>
            </w:pPr>
            <w:r/>
            <w:r>
              <w:rPr>
                <w:b w:val="0"/>
                <w:sz w:val="19"/>
              </w:rPr>
              <w:t>Chương 3; 3.2.4. Giải pháp 4: Hoàn thiện cơ chế tài chính cho bước xác, đoạn 6</w:t>
            </w:r>
          </w:p>
        </w:tc>
        <w:tc>
          <w:tcPr>
            <w:tcW w:type="dxa" w:w="5102"/>
          </w:tcPr>
          <w:p>
            <w:pPr>
              <w:spacing w:after="20"/>
            </w:pPr>
            <w:r/>
            <w:r>
              <w:rPr>
                <w:b w:val="0"/>
                <w:sz w:val="19"/>
              </w:rPr>
              <w:t>Nội dung 3: 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tc>
        <w:tc>
          <w:tcPr>
            <w:tcW w:type="dxa" w:w="5102"/>
          </w:tcPr>
          <w:p>
            <w:pPr>
              <w:spacing w:after="20"/>
            </w:pPr>
            <w:r/>
            <w:r>
              <w:rPr>
                <w:b w:val="0"/>
                <w:sz w:val="19"/>
              </w:rPr>
              <w:t>Nội dung 3: Chuẩn bị phương án tổ chức khai thác theo giai đoạn. Ở giai đoạn 1 và 2, việc định giá, đàm phán, ký hợp đồng chuyển giao được thực hiện qua Phòng Khoa học Công nghệ, Bộ phận Pháp chế và hợp đồng thuê tổ chức tư vấn bên ngoài. Việc xây dựng Đề án thành lập doanh nghiệp quản lý tài sản trí tuệ theo khoản 1 Điều 28 Luật Giáo dục đại học số 125/2025/QH15 chỉ được đặt ra khi đạt các điều kiện chuyển bước: danh mục có tài sản đã được cấp văn bằng và có đối tác quan tâm, đã có ít nhất một hợp đồng chuyển giao hoặc cấp phép được thực hiện, và phương án tài chính cho thấy doanh nghiệp có thể tự trang trải chi phí vận hành. Khi đó, doanh nghiệp có chức năng định giá tài sản trí tuệ theo phương pháp chi phí, phương pháp thu nhập và phương pháp thị trường; góp vốn bằng tài sản trí tuệ; đàm phán và ký kết hợp đồng chuyển nhượng, cấp phép sử dụng các đối tượng sở hữu trí tuệ của Nhà trường.</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117</w:t>
            </w:r>
          </w:p>
        </w:tc>
        <w:tc>
          <w:tcPr>
            <w:tcW w:type="dxa" w:w="2041"/>
          </w:tcPr>
          <w:p>
            <w:pPr>
              <w:spacing w:after="20"/>
            </w:pPr>
            <w:r/>
            <w:r>
              <w:rPr>
                <w:b w:val="0"/>
                <w:sz w:val="19"/>
              </w:rPr>
              <w:t>Chương 3; 3.2.4. Giải pháp 4: Hoàn thiện cơ chế tài chính cho bước xác, đoạn 8</w:t>
            </w:r>
          </w:p>
        </w:tc>
        <w:tc>
          <w:tcPr>
            <w:tcW w:type="dxa" w:w="5102"/>
          </w:tcPr>
          <w:p>
            <w:pPr>
              <w:spacing w:after="20"/>
            </w:pPr>
            <w:r/>
            <w:r>
              <w:rPr>
                <w:b w:val="0"/>
                <w:sz w:val="19"/>
              </w:rPr>
              <w:t>Phòng Tài chính - Kế toán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tc>
        <w:tc>
          <w:tcPr>
            <w:tcW w:type="dxa" w:w="5102"/>
          </w:tcPr>
          <w:p>
            <w:pPr>
              <w:spacing w:after="20"/>
            </w:pPr>
            <w:r/>
            <w:r>
              <w:rPr>
                <w:b w:val="0"/>
                <w:sz w:val="19"/>
              </w:rPr>
              <w:t>Phòng Tài chính - Kế toán chủ trì lập dòng dự toán, quy định tạm ứng và đề xuất sửa đổi Quy chế chi tiêu nội bộ. Phòng Khoa học Công nghệ đề xuất danh sách hồ sơ cần kinh phí. Viện Nghiên cứu giáo dục và Chuyển giao tri thức phối hợp xây dựng phương án tổ chức khai thác. Bộ phận Pháp chế rà soát tính pháp lý. Ban Giám hiệu trình Hội đồng trường phê duyệt các nội dung thuộc thẩm quyền.</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118</w:t>
            </w:r>
          </w:p>
        </w:tc>
        <w:tc>
          <w:tcPr>
            <w:tcW w:type="dxa" w:w="2041"/>
          </w:tcPr>
          <w:p>
            <w:pPr>
              <w:spacing w:after="20"/>
            </w:pPr>
            <w:r/>
            <w:r>
              <w:rPr>
                <w:b w:val="0"/>
                <w:sz w:val="19"/>
              </w:rPr>
              <w:t>Chương 3; 3.2.4. Giải pháp 4: Hoàn thiện cơ chế tài chính cho bước xác, đoạn 10</w:t>
            </w:r>
          </w:p>
        </w:tc>
        <w:tc>
          <w:tcPr>
            <w:tcW w:type="dxa" w:w="5102"/>
          </w:tcPr>
          <w:p>
            <w:pPr>
              <w:spacing w:after="20"/>
            </w:pPr>
            <w:r/>
            <w:r>
              <w:rPr>
                <w:b w:val="0"/>
                <w:sz w:val="19"/>
              </w:rPr>
              <w:t>Trích 5% đến 10% từ Quỹ Phát triển khoa học công nghệ hằng năm. Kết hợp nguồn thu từ hợp đồng dịch vụ khoa học công nghệ, chuyển giao công nghệ và các nguồn tài trợ hợp pháp khác.</w:t>
            </w:r>
          </w:p>
        </w:tc>
        <w:tc>
          <w:tcPr>
            <w:tcW w:type="dxa" w:w="5102"/>
          </w:tcPr>
          <w:p>
            <w:pPr>
              <w:spacing w:after="20"/>
            </w:pPr>
            <w:r/>
            <w:r>
              <w:rPr>
                <w:b w:val="0"/>
                <w:sz w:val="19"/>
              </w:rPr>
              <w:t>Dòng dự toán phí xác lập quyền được lập từ năm 2027 căn cứ số hồ sơ dự kiến; nguồn bổ sung từ hợp đồng dịch vụ khoa học công nghệ, chuyển giao công nghệ và các nguồn tài trợ hợp pháp khác.</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119</w:t>
            </w:r>
          </w:p>
        </w:tc>
        <w:tc>
          <w:tcPr>
            <w:tcW w:type="dxa" w:w="2041"/>
          </w:tcPr>
          <w:p>
            <w:pPr>
              <w:spacing w:after="20"/>
            </w:pPr>
            <w:r/>
            <w:r>
              <w:rPr>
                <w:b w:val="0"/>
                <w:sz w:val="19"/>
              </w:rPr>
              <w:t>Chương 3; 3.2.5. Giải pháp 5: Phát triển chương trình đào tạo định hướ, đoạn 2</w:t>
            </w:r>
          </w:p>
        </w:tc>
        <w:tc>
          <w:tcPr>
            <w:tcW w:type="dxa" w:w="5102"/>
          </w:tcPr>
          <w:p>
            <w:pPr>
              <w:spacing w:after="20"/>
            </w:pPr>
            <w:r/>
            <w:r>
              <w:rPr>
                <w:b w:val="0"/>
                <w:sz w:val="19"/>
              </w:rPr>
              <w:t>Chương 2 không sử dụng khảo sát nhận thức, nhưng các dữ kiện hành vi cho thấy đội ngũ cần được hỗ trợ thêm về kỹ năng nhận diện và bảo hộ tài sản trí tuệ: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 Giải pháp này nhằm khắc phục triệt để tình trạng trên, kích hoạt phong trào đăng ký bảo hộ trên diện rộng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tc>
        <w:tc>
          <w:tcPr>
            <w:tcW w:type="dxa" w:w="5102"/>
          </w:tcPr>
          <w:p>
            <w:pPr>
              <w:spacing w:after="20"/>
            </w:pPr>
            <w:r/>
            <w:r>
              <w:rPr>
                <w:b w:val="0"/>
                <w:sz w:val="19"/>
              </w:rPr>
              <w:t>Chương 2 không sử dụng khảo sát nhận thức, nhưng các dữ kiện hành vi cho thấy đội ngũ cần được hỗ trợ thêm về kỹ năng nhận diện và bảo hộ tài sản trí tuệ: 6 đề tài mã số 2021 - 2024 có sản phẩm tiềm năng sở hữu công nghiệp chưa có đơn; hai đề tài năm 2025 ghi dự kiến đăng ký giải pháp hữu ích nhưng chưa có đơn; 87 giáo trình chưa được đăng ký quyền tác giả, dù quyền tác giả đã phát sinh và Nhà trường là chủ sở hữu quyền tài sản theo khoản 1 Điều 39 Luật Sở hữu trí tuệ khi giao nhiệm vụ biên soạn và không có thỏa thuận khác, nên việc đăng ký có ý nghĩa tạo chứng cứ khi khai thác hoặc tranh chấp; Kế hoạch 07/KH-ĐHTĐ chỉ thống kê 12 lượt tập huấn chung trong giai đoạn 2019 - 2023 và không tách riêng tập huấn về sở hữu trí tuệ. Giải pháp này nhằm nâng kỹ năng nhận diện, bộc lộ an toàn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120</w:t>
            </w:r>
          </w:p>
        </w:tc>
        <w:tc>
          <w:tcPr>
            <w:tcW w:type="dxa" w:w="2041"/>
          </w:tcPr>
          <w:p>
            <w:pPr>
              <w:spacing w:after="20"/>
            </w:pPr>
            <w:r/>
            <w:r>
              <w:rPr>
                <w:b w:val="0"/>
                <w:sz w:val="19"/>
              </w:rPr>
              <w:t>Chương 3; 3.2.5. Giải pháp 5: Phát triển chương trình đào tạo định hướ, đoạn 7</w:t>
            </w:r>
          </w:p>
        </w:tc>
        <w:tc>
          <w:tcPr>
            <w:tcW w:type="dxa" w:w="5102"/>
          </w:tcPr>
          <w:p>
            <w:pPr>
              <w:spacing w:after="20"/>
            </w:pPr>
            <w:r/>
            <w:r>
              <w:rPr>
                <w:b w:val="0"/>
                <w:sz w:val="19"/>
              </w:rPr>
              <w:t>Nội dung 4: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điểm đ khoản 3 Điều 28 Luật Giáo dục đại học số 125/2025/QH15 và cung cấp dữ liệu cho báo cáo trên HEMIS.</w:t>
            </w:r>
          </w:p>
        </w:tc>
        <w:tc>
          <w:tcPr>
            <w:tcW w:type="dxa" w:w="5102"/>
          </w:tcPr>
          <w:p>
            <w:pPr>
              <w:spacing w:after="20"/>
            </w:pPr>
            <w:r/>
            <w:r>
              <w:rPr>
                <w:b w:val="0"/>
                <w:sz w:val="19"/>
              </w:rPr>
              <w:t>Nội dung 4: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với Nền tảng số quốc gia theo điểm đ khoản 3 Điều 28 Luật Giáo dục đại học số 125/2025/QH15 và cung cấp dữ liệu cho báo cáo trên HEMIS.</w:t>
            </w:r>
          </w:p>
          <w:p>
            <w:pPr>
              <w:spacing w:after="20"/>
            </w:pPr>
            <w:r>
              <w:rPr>
                <w:b w:val="0"/>
                <w:sz w:val="19"/>
              </w:rPr>
              <w:t>Nội dung 5: Rà soát 87 giáo trình, tài liệu giảng dạy giai đoạn 2021 - 2025 để xác định chủ thể quyền, đồng tác giả và tài liệu có nhu cầu khai thác ngoài Trường; chỉ đăng ký quyền tác giả cho tài liệu cần chứng cứ, thay vì đăng ký đại trà.</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121</w:t>
            </w:r>
          </w:p>
        </w:tc>
        <w:tc>
          <w:tcPr>
            <w:tcW w:type="dxa" w:w="2041"/>
          </w:tcPr>
          <w:p>
            <w:pPr>
              <w:spacing w:after="20"/>
            </w:pPr>
            <w:r/>
            <w:r>
              <w:rPr>
                <w:b w:val="0"/>
                <w:sz w:val="19"/>
              </w:rPr>
              <w:t>Chương 3; 3.2.6. Tổ chức thực hiện các giải pháp, tên mục</w:t>
            </w:r>
          </w:p>
        </w:tc>
        <w:tc>
          <w:tcPr>
            <w:tcW w:type="dxa" w:w="5102"/>
          </w:tcPr>
          <w:p>
            <w:pPr>
              <w:spacing w:after="20"/>
            </w:pPr>
            <w:r/>
            <w:r>
              <w:rPr>
                <w:b w:val="0"/>
                <w:sz w:val="19"/>
              </w:rPr>
              <w:t>3.3. Phương án đề xuất thí điểm mô hình rà soát và bài học kinh nghiệm</w:t>
            </w:r>
          </w:p>
          <w:p>
            <w:pPr>
              <w:spacing w:after="20"/>
            </w:pPr>
            <w:r>
              <w:rPr>
                <w:b w:val="0"/>
                <w:sz w:val="19"/>
              </w:rPr>
              <w:t>3.3.1. Mục đích và phạm vi đề xuất thí điểm</w:t>
            </w:r>
          </w:p>
          <w:p>
            <w:pPr>
              <w:spacing w:after="20"/>
            </w:pPr>
            <w:r>
              <w:rPr>
                <w:b w:val="0"/>
                <w:sz w:val="19"/>
              </w:rPr>
              <w:t>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p>
          <w:p>
            <w:pPr>
              <w:spacing w:after="20"/>
            </w:pPr>
            <w:r>
              <w:rPr>
                <w:b w:val="0"/>
                <w:sz w:val="19"/>
              </w:rPr>
              <w:t>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pPr>
              <w:spacing w:after="20"/>
            </w:pPr>
            <w:r>
              <w:rPr>
                <w:b w:val="0"/>
                <w:sz w:val="19"/>
              </w:rPr>
              <w:t>3.3.2. Kịch bản đề xuất thí điểm và bài học kinh nghiệm</w:t>
            </w:r>
          </w:p>
          <w:p>
            <w:pPr>
              <w:spacing w:after="20"/>
            </w:pPr>
            <w:r>
              <w:rPr>
                <w:b w:val="0"/>
                <w:sz w:val="19"/>
              </w:rPr>
              <w:t>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pPr>
              <w:spacing w:after="20"/>
            </w:pPr>
            <w:r>
              <w:rPr>
                <w:b w:val="0"/>
                <w:sz w:val="19"/>
              </w:rPr>
              <w:t>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p>
        </w:tc>
        <w:tc>
          <w:tcPr>
            <w:tcW w:type="dxa" w:w="5102"/>
          </w:tcPr>
          <w:p>
            <w:pPr>
              <w:spacing w:after="20"/>
            </w:pPr>
            <w:r/>
            <w:r>
              <w:rPr>
                <w:b w:val="0"/>
                <w:sz w:val="19"/>
              </w:rPr>
              <w:t>3.2.6. Tổ chức thực hiện các giải pháp</w:t>
            </w:r>
          </w:p>
          <w:p>
            <w:pPr>
              <w:spacing w:after="20"/>
            </w:pPr>
            <w:r>
              <w:rPr>
                <w:b w:val="0"/>
                <w:sz w:val="19"/>
              </w:rPr>
              <w:t>Năm nhóm giải pháp được thiết kế để mỗi nhóm xử lý một hoặc một số hạn chế đã xác định tại Mục 2.5.2 và các nguyên nhân tại Mục 2.5.3. Bảng 3.3 tổng hợp đơn vị chủ trì, đơn vị phối hợp, nguồn lực, thời gian, sản phẩm đầu ra và cách đánh giá của từng giải pháp; các chỉ số đánh giá được định nghĩa tại Bảng 3.4.</w:t>
            </w:r>
          </w:p>
          <w:p>
            <w:pPr>
              <w:spacing w:after="20"/>
            </w:pPr>
            <w:r>
              <w:rPr>
                <w:b w:val="0"/>
                <w:sz w:val="19"/>
              </w:rPr>
              <w:t>Bảng 3.3. Tổ chức thực hiện các giải pháp theo hạn chế được xử lý</w:t>
            </w:r>
          </w:p>
          <w:p>
            <w:pPr>
              <w:spacing w:after="20"/>
            </w:pPr>
            <w:r>
              <w:rPr>
                <w:b w:val="0"/>
                <w:sz w:val="19"/>
              </w:rPr>
              <w:t>Nguồn: Nhóm nghiên cứu đề xuất trên cơ sở Mục 2.5.2 và Mục 2.5.3.</w:t>
            </w:r>
          </w:p>
          <w:p>
            <w:pPr>
              <w:spacing w:after="20"/>
            </w:pPr>
            <w:r>
              <w:rPr>
                <w:b w:val="0"/>
                <w:sz w:val="19"/>
              </w:rPr>
              <w:t>Bảng 3.3 cho thấy giai đoạn đầu chủ yếu dùng nguồn lực sẵn có: quy chế và biểu mẫu hiện hành được hoàn thiện thay vì thay thế, nhân sự hiện có được giao nhiệm vụ kiêm nhiệm, căn cứ chi tại Điều 35 và Điều 38 Quyết định 213 được chuyển thành dòng dự toán. Các đề xuất đòi hỏi nguồn lực lớn hơn, gồm vị trí chuyên trách, trung tâm tư vấn, định giá và doanh nghiệp quản lý tài sản trí tuệ, chỉ được đặt ra khi đạt điều kiện chuyển bước được đo bằng số liệu của chính các giải pháp giai đoạn đầu.</w:t>
            </w:r>
          </w:p>
          <w:p>
            <w:pPr>
              <w:spacing w:after="20"/>
            </w:pPr>
            <w:r>
              <w:rPr>
                <w:b w:val="0"/>
                <w:sz w:val="19"/>
              </w:rPr>
              <w:t>3.3. Kế hoạch thí điểm mô hình sàng lọc tại nghiệm thu</w:t>
            </w:r>
          </w:p>
          <w:p>
            <w:pPr>
              <w:spacing w:after="20"/>
            </w:pPr>
            <w:r>
              <w:rPr>
                <w:b w:val="0"/>
                <w:sz w:val="19"/>
              </w:rPr>
              <w:t>3.3.1. Mục đích và phạm vi thí điểm dự kiến</w:t>
            </w:r>
          </w:p>
          <w:p>
            <w:pPr>
              <w:spacing w:after="20"/>
            </w:pPr>
            <w:r>
              <w:rPr>
                <w:b w:val="0"/>
                <w:sz w:val="19"/>
              </w:rPr>
              <w:t>Thí điểm dưới đây là kế hoạch, chưa được triển khai. Để bảo đảm tính khả thi và giảm rủi ro khi áp dụng toàn trường, Đề tài đề xuất thí điểm Khâu 1, Khâu 4 và Khâu 5 của quy trình, gồm phiếu khai báo, xem xét bảo mật trước khi công bố và phiếu rà soát tại nghiệm thu, trước khi trình ban hành chính thức. Phạm vi dự kiến là các đề tài cấp cơ sở năm 2026 của Viện Y - Dược, nơi phát sinh 9 trên 11 sản phẩm tiềm năng giai đoạn 2021 - 2025 và đơn sáng chế duy nhất trong kỳ; Viện Nghiên cứu giáo dục và Chuyển giao tri thức tham gia với vai trò hỗ trợ khai thác. Thời gian dự kiến từ quý IV năm 2026 đến quý II năm 2027.</w:t>
            </w:r>
          </w:p>
          <w:p>
            <w:pPr>
              <w:spacing w:after="20"/>
            </w:pPr>
            <w:r>
              <w:rPr>
                <w:b w:val="0"/>
                <w:sz w:val="19"/>
              </w:rPr>
              <w:t>Mục đích của việc thí điểm bao gồm: kiểm chứng tính khả thi và mức độ phù hợp của phiếu khai báo, phiếu rà soát; đo thời gian bổ sung cho mỗi phiên nghiệm thu; thu thập phản hồi của Hội đồng nghiệm thu và chủ nhiệm đề tài; phát hiện và điều chỉnh các điểm vướng mắc trước khi áp dụng toàn trường. Sản phẩm đầu ra là báo cáo đánh giá thí điểm, nêu số phiếu, số kết quả được sàng lọc, số đề xuất đăng ký, số đơn được nộp và thời gian xử lý.</w:t>
            </w:r>
          </w:p>
          <w:p>
            <w:pPr>
              <w:spacing w:after="20"/>
            </w:pPr>
            <w:r>
              <w:rPr>
                <w:b w:val="0"/>
                <w:sz w:val="19"/>
              </w:rPr>
              <w:t>3.3.2. Kịch bản thí điểm và các giả định cần kiểm chứng</w:t>
            </w:r>
          </w:p>
          <w:p>
            <w:pPr>
              <w:spacing w:after="20"/>
            </w:pPr>
            <w:r>
              <w:rPr>
                <w:b w:val="0"/>
                <w:sz w:val="19"/>
              </w:rPr>
              <w:t>Trong kịch bản thí điểm, Mẫu 16 phiếu nghiệm thu được bổ sung phiếu rà soát với các trường thông tin: loại đối tượng dự kiến theo năm nhánh; chủ thể quyền và đồng tác giả, kể cả người học và doanh nghiệp; nguồn kinh phí và thời điểm giao nhiệm vụ; lịch công bố, tình trạng bộc lộ và ngày bộc lộ nếu có; tình trạng bảo mật; kết quả tra cứu sơ bộ; nhu cầu hỗ trợ và đề xuất hướng xử lý, gồm nộp đơn, đăng ký quyền tác giả, giữ bí mật hoặc không xử lý.</w:t>
            </w:r>
          </w:p>
          <w:p>
            <w:pPr>
              <w:spacing w:after="20"/>
            </w:pPr>
            <w:r>
              <w:rPr>
                <w:b w:val="0"/>
                <w:sz w:val="19"/>
              </w:rPr>
              <w:t>Trường hợp đề tài chiết xuất lá Quế hoa mã số 09-2025, đề tài cấp cơ sở duy nhất trong kỳ có đơn sáng chế, nộp năm 2025, cho thấy kết quả chiết tách có thể được đưa vào đơn khi chủ nhiệm đề tài chủ động. Đơn sáng chế số 1-2026-07185 về phương pháp chiết tách hợp chất từ cây Piper aduncum L. được nộp năm 2026, ngoài kỳ đánh giá. Hồ sơ hiện có chưa cho biết hai đơn được nộp trước hay sau khi kết quả được công bố, nên thí điểm cần ghi nhận cả ngày nộp đơn và ngày công bố để kiểm chứng. Bước sàng lọc nhằm biến cách làm của trường hợp đơn lẻ thành quy trình áp dụng cho mọi đề tài; đối với 6 đề tài mã số 2021 - 2024 có sản phẩm tiềm năng sở hữu công nghiệp chưa có đơn, Phòng Khoa học Công nghệ cần rà soát tình trạng bộc lộ để xác định sản phẩm nào còn khả năng đăng ký.</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122</w:t>
            </w:r>
          </w:p>
        </w:tc>
        <w:tc>
          <w:tcPr>
            <w:tcW w:type="dxa" w:w="2041"/>
          </w:tcPr>
          <w:p>
            <w:pPr>
              <w:spacing w:after="20"/>
            </w:pPr>
            <w:r/>
            <w:r>
              <w:rPr>
                <w:b w:val="0"/>
                <w:sz w:val="19"/>
              </w:rPr>
              <w:t>Chương 3; 3.4.1. Lộ trình triển khai theo các mốc chiến lược, đoạn 4</w:t>
            </w:r>
          </w:p>
        </w:tc>
        <w:tc>
          <w:tcPr>
            <w:tcW w:type="dxa" w:w="5102"/>
          </w:tcPr>
          <w:p>
            <w:pPr>
              <w:spacing w:after="20"/>
            </w:pPr>
            <w:r/>
            <w:r>
              <w:rPr>
                <w:b w:val="0"/>
                <w:sz w:val="19"/>
              </w:rPr>
              <w:t>Giai đoạn 1, từ quý IV năm 2026 đến quý II năm 2027: Chuẩn hóa thể chế và kích hoạt phong trào</w:t>
            </w:r>
          </w:p>
        </w:tc>
        <w:tc>
          <w:tcPr>
            <w:tcW w:type="dxa" w:w="5102"/>
          </w:tcPr>
          <w:p>
            <w:pPr>
              <w:spacing w:after="20"/>
            </w:pPr>
            <w:r/>
            <w:r>
              <w:rPr>
                <w:b w:val="0"/>
                <w:sz w:val="19"/>
              </w:rPr>
              <w:t>Giai đoạn 1, từ quý IV năm 2026 đến quý II năm 2027: Hoàn thiện thể chế và khởi động quy trình</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123</w:t>
            </w:r>
          </w:p>
        </w:tc>
        <w:tc>
          <w:tcPr>
            <w:tcW w:type="dxa" w:w="2041"/>
          </w:tcPr>
          <w:p>
            <w:pPr>
              <w:spacing w:after="20"/>
            </w:pPr>
            <w:r/>
            <w:r>
              <w:rPr>
                <w:b w:val="0"/>
                <w:sz w:val="19"/>
              </w:rPr>
              <w:t>Chương 3; 3.4.1. Lộ trình triển khai theo các mốc chiến lược, đoạn 6</w:t>
            </w:r>
          </w:p>
        </w:tc>
        <w:tc>
          <w:tcPr>
            <w:tcW w:type="dxa" w:w="5102"/>
          </w:tcPr>
          <w:p>
            <w:pPr>
              <w:spacing w:after="20"/>
            </w:pPr>
            <w:r/>
            <w:r>
              <w:rPr>
                <w:b w:val="0"/>
                <w:sz w:val="19"/>
              </w:rPr>
              <w:t>- Ban hành Quy chế quản lý sở hữu trí tuệ hợp nhất trước ngày 31 tháng 5 năm 2027, trong đó bãi bỏ mức trần thù lao 100 triệu đồng và bổ sung nội dung liêm chính khoa học, liêm chính học thuật.</w:t>
            </w:r>
          </w:p>
        </w:tc>
        <w:tc>
          <w:tcPr>
            <w:tcW w:type="dxa" w:w="5102"/>
          </w:tcPr>
          <w:p>
            <w:pPr>
              <w:spacing w:after="20"/>
            </w:pPr>
            <w:r/>
            <w:r>
              <w:rPr>
                <w:b w:val="0"/>
                <w:sz w:val="19"/>
              </w:rPr>
              <w:t>- Ban hành Quy chế quản trị tài sản trí tuệ sửa đổi trước ngày 31 tháng 5 năm 2027, trong đó xác định phạm vi và thứ tự áp dụng các quy định về lợi ích của tác giả theo Điều 28, Điều 73 Luật số 93/2025/QH15 và Điều 135 Luật Sở hữu trí tuệ, hoàn thiện nội dung liêm chính khoa học, liêm chính học thuật.</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124</w:t>
            </w:r>
          </w:p>
        </w:tc>
        <w:tc>
          <w:tcPr>
            <w:tcW w:type="dxa" w:w="2041"/>
          </w:tcPr>
          <w:p>
            <w:pPr>
              <w:spacing w:after="20"/>
            </w:pPr>
            <w:r/>
            <w:r>
              <w:rPr>
                <w:b w:val="0"/>
                <w:sz w:val="19"/>
              </w:rPr>
              <w:t>Chương 3; 3.4.1. Lộ trình triển khai theo các mốc chiến lược, đoạn 7</w:t>
            </w:r>
          </w:p>
        </w:tc>
        <w:tc>
          <w:tcPr>
            <w:tcW w:type="dxa" w:w="5102"/>
          </w:tcPr>
          <w:p>
            <w:pPr>
              <w:spacing w:after="20"/>
            </w:pPr>
            <w:r/>
            <w:r>
              <w:rPr>
                <w:b w:val="0"/>
                <w:sz w:val="19"/>
              </w:rPr>
              <w:t>- Bổ sung 02 nhân sự chuyên trách sở hữu trí tuệ cho Bộ phận Pháp chế; cử cán bộ tham gia tập huấn tại Cục Sở hữu trí tuệ.</w:t>
            </w:r>
          </w:p>
        </w:tc>
        <w:tc>
          <w:tcPr>
            <w:tcW w:type="dxa" w:w="5102"/>
          </w:tcPr>
          <w:p>
            <w:pPr>
              <w:spacing w:after="20"/>
            </w:pPr>
            <w:r/>
            <w:r>
              <w:rPr>
                <w:b w:val="0"/>
                <w:sz w:val="19"/>
              </w:rPr>
              <w:t>- Giao đầu mối kiêm nhiệm tại Phòng Khoa học Công nghệ và Bộ phận Pháp chế; cử cán bộ tham gia tập huấn tại Cục Sở hữu trí tuệ.</w:t>
            </w:r>
          </w:p>
        </w:tc>
        <w:tc>
          <w:tcPr>
            <w:tcW w:type="dxa" w:w="1984"/>
          </w:tcPr>
          <w:p>
            <w:pPr>
              <w:spacing w:after="20"/>
            </w:pPr>
            <w:r/>
            <w:r>
              <w:rPr>
                <w:b w:val="0"/>
                <w:sz w:val="19"/>
              </w:rPr>
              <w:t>Góp ý mục 8: căn cứ nhu cầu, phương án theo giai đoạn và điều kiện chuyển bước</w:t>
            </w:r>
          </w:p>
        </w:tc>
      </w:tr>
      <w:tr>
        <w:tc>
          <w:tcPr>
            <w:tcW w:type="dxa" w:w="567"/>
          </w:tcPr>
          <w:p>
            <w:pPr>
              <w:spacing w:after="20"/>
            </w:pPr>
            <w:r/>
            <w:r>
              <w:rPr>
                <w:b w:val="0"/>
                <w:sz w:val="19"/>
              </w:rPr>
              <w:t>125</w:t>
            </w:r>
          </w:p>
        </w:tc>
        <w:tc>
          <w:tcPr>
            <w:tcW w:type="dxa" w:w="2041"/>
          </w:tcPr>
          <w:p>
            <w:pPr>
              <w:spacing w:after="20"/>
            </w:pPr>
            <w:r/>
            <w:r>
              <w:rPr>
                <w:b w:val="0"/>
                <w:sz w:val="19"/>
              </w:rPr>
              <w:t>Chương 3; 3.4.1. Lộ trình triển khai theo các mốc chiến lược, đoạn 8</w:t>
            </w:r>
          </w:p>
        </w:tc>
        <w:tc>
          <w:tcPr>
            <w:tcW w:type="dxa" w:w="5102"/>
          </w:tcPr>
          <w:p>
            <w:pPr>
              <w:spacing w:after="20"/>
            </w:pPr>
            <w:r/>
            <w:r>
              <w:rPr>
                <w:b w:val="0"/>
                <w:sz w:val="19"/>
              </w:rPr>
              <w:t>- Ban hành Quy trình chuẩn 8 khâu quản lý tài sản trí tuệ và lồng ghép vào biểu mẫu nghiệm thu đề tài cấp cơ sở.</w:t>
            </w:r>
          </w:p>
        </w:tc>
        <w:tc>
          <w:tcPr>
            <w:tcW w:type="dxa" w:w="5102"/>
          </w:tcPr>
          <w:p>
            <w:pPr>
              <w:spacing w:after="20"/>
            </w:pPr>
            <w:r/>
            <w:r>
              <w:rPr>
                <w:b w:val="0"/>
                <w:sz w:val="19"/>
              </w:rPr>
              <w:t>- Hoàn thiện biểu mẫu đề xuất, thuyết minh, hợp đồng, nghiệm thu với phiếu khai báo và phiếu rà soát; ban hành quy trình 8 khâu.</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126</w:t>
            </w:r>
          </w:p>
        </w:tc>
        <w:tc>
          <w:tcPr>
            <w:tcW w:type="dxa" w:w="2041"/>
          </w:tcPr>
          <w:p>
            <w:pPr>
              <w:spacing w:after="20"/>
            </w:pPr>
            <w:r/>
            <w:r>
              <w:rPr>
                <w:b w:val="0"/>
                <w:sz w:val="19"/>
              </w:rPr>
              <w:t>Chương 3; 3.4.1. Lộ trình triển khai theo các mốc chiến lược, đoạn 9</w:t>
            </w:r>
          </w:p>
        </w:tc>
        <w:tc>
          <w:tcPr>
            <w:tcW w:type="dxa" w:w="5102"/>
          </w:tcPr>
          <w:p>
            <w:pPr>
              <w:spacing w:after="20"/>
            </w:pPr>
            <w:r/>
            <w:r>
              <w:rPr>
                <w:b w:val="0"/>
                <w:sz w:val="19"/>
              </w:rPr>
              <w:t>- Kích hoạt Dòng kinh phí hỗ trợ đăng ký sở hữu trí tuệ từ Quỹ Phát triển khoa học công nghệ.</w:t>
            </w:r>
          </w:p>
        </w:tc>
        <w:tc>
          <w:tcPr>
            <w:tcW w:type="dxa" w:w="5102"/>
          </w:tcPr>
          <w:p>
            <w:pPr>
              <w:spacing w:after="20"/>
            </w:pPr>
            <w:r/>
            <w:r>
              <w:rPr>
                <w:b w:val="0"/>
                <w:sz w:val="19"/>
              </w:rPr>
              <w:t>- Lập dòng dự toán phí xác lập quyền cho năm 2027.</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127</w:t>
            </w:r>
          </w:p>
        </w:tc>
        <w:tc>
          <w:tcPr>
            <w:tcW w:type="dxa" w:w="2041"/>
          </w:tcPr>
          <w:p>
            <w:pPr>
              <w:spacing w:after="20"/>
            </w:pPr>
            <w:r/>
            <w:r>
              <w:rPr>
                <w:b w:val="0"/>
                <w:sz w:val="19"/>
              </w:rPr>
              <w:t>Chương 3; 3.4.1. Lộ trình triển khai theo các mốc chiến lược, đoạn 13</w:t>
            </w:r>
          </w:p>
        </w:tc>
        <w:tc>
          <w:tcPr>
            <w:tcW w:type="dxa" w:w="5102"/>
          </w:tcPr>
          <w:p>
            <w:pPr>
              <w:spacing w:after="20"/>
            </w:pPr>
            <w:r/>
            <w:r>
              <w:rPr>
                <w:b w:val="0"/>
                <w:sz w:val="19"/>
              </w:rPr>
              <w:t>- Thực hiện thí điểm mô hình rà soát bộc lộ bắt buộc tại Viện Y - Dược.</w:t>
            </w:r>
          </w:p>
          <w:p>
            <w:pPr>
              <w:spacing w:after="20"/>
            </w:pPr>
            <w:r>
              <w:rPr>
                <w:b w:val="0"/>
                <w:sz w:val="19"/>
              </w:rPr>
              <w:t>Giai đoạn 2, từ quý III năm 2027 đến hết năm 2028: Thí điểm thương mại hóa và ươm tạo doanh nghiệp</w:t>
            </w:r>
          </w:p>
          <w:p>
            <w:pPr>
              <w:spacing w:after="20"/>
            </w:pPr>
            <w:r>
              <w:rPr>
                <w:b w:val="0"/>
                <w:sz w:val="19"/>
              </w:rPr>
              <w:t>Trên nền tảng thể chế đã được chuẩn hóa, giai đoạn này tập trung vào việc chuyển đổi kết quả nghiên cứu thành tài sản thương mại có doanh thu:</w:t>
            </w:r>
          </w:p>
          <w:p>
            <w:pPr>
              <w:spacing w:after="20"/>
            </w:pPr>
            <w:r>
              <w:rPr>
                <w:b w:val="0"/>
                <w:sz w:val="19"/>
              </w:rPr>
              <w:t>- Xây dựng và trình Đề án thành lập Doanh nghiệp quản lý tài sản trí tuệ trực thuộc Nhà trường theo Điều 28 Luật Giáo dục đại học số 125/2025/QH15.</w:t>
            </w:r>
          </w:p>
        </w:tc>
        <w:tc>
          <w:tcPr>
            <w:tcW w:type="dxa" w:w="5102"/>
          </w:tcPr>
          <w:p>
            <w:pPr>
              <w:spacing w:after="20"/>
            </w:pPr>
            <w:r/>
            <w:r>
              <w:rPr>
                <w:b w:val="0"/>
                <w:sz w:val="19"/>
              </w:rPr>
              <w:t>- Triển khai kế hoạch thí điểm tại Viện Y - Dược và đánh giá kết quả.</w:t>
            </w:r>
          </w:p>
          <w:p>
            <w:pPr>
              <w:spacing w:after="20"/>
            </w:pPr>
            <w:r>
              <w:rPr>
                <w:b w:val="0"/>
                <w:sz w:val="19"/>
              </w:rPr>
              <w:t>Giai đoạn 2, từ quý III năm 2027 đến hết năm 2028: Áp dụng toàn trường và chuẩn bị khai thác</w:t>
            </w:r>
          </w:p>
          <w:p>
            <w:pPr>
              <w:spacing w:after="20"/>
            </w:pPr>
            <w:r>
              <w:rPr>
                <w:b w:val="0"/>
                <w:sz w:val="19"/>
              </w:rPr>
              <w:t>Trên nền tảng thể chế đã được hoàn thiện, giai đoạn này tập trung áp dụng quy trình toàn trường và chuẩn bị điều kiện khai thác:</w:t>
            </w:r>
          </w:p>
          <w:p>
            <w:pPr>
              <w:spacing w:after="20"/>
            </w:pPr>
            <w:r>
              <w:rPr>
                <w:b w:val="0"/>
                <w:sz w:val="19"/>
              </w:rPr>
              <w:t>- Áp dụng quy trình 8 khâu cho toàn bộ đề tài cấp cơ sở và nhiệm vụ cấp quốc gia; xem xét bố trí vị trí chuyên trách khi khối lượng hồ sơ đạt ngưỡng.</w:t>
            </w:r>
          </w:p>
          <w:p>
            <w:pPr>
              <w:spacing w:after="20"/>
            </w:pPr>
            <w:r>
              <w:rPr>
                <w:b w:val="0"/>
                <w:sz w:val="19"/>
              </w:rPr>
              <w:t>- Đánh giá điều kiện chuyển bước; xây dựng phương án trung tâm tư vấn, định giá hoặc doanh nghiệp quản lý tài sản trí tuệ khi đạt điều kiện tại Giải pháp 4.</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128</w:t>
            </w:r>
          </w:p>
        </w:tc>
        <w:tc>
          <w:tcPr>
            <w:tcW w:type="dxa" w:w="2041"/>
          </w:tcPr>
          <w:p>
            <w:pPr>
              <w:spacing w:after="20"/>
            </w:pPr>
            <w:r/>
            <w:r>
              <w:rPr>
                <w:b w:val="0"/>
                <w:sz w:val="19"/>
              </w:rPr>
              <w:t>Chương 3; 3.4.1. Lộ trình triển khai theo các mốc chiến lược, đoạn 20</w:t>
            </w:r>
          </w:p>
        </w:tc>
        <w:tc>
          <w:tcPr>
            <w:tcW w:type="dxa" w:w="5102"/>
          </w:tcPr>
          <w:p>
            <w:pPr>
              <w:spacing w:after="20"/>
            </w:pPr>
            <w:r/>
            <w:r>
              <w:rPr>
                <w:b w:val="0"/>
                <w:sz w:val="19"/>
              </w:rPr>
              <w:t>- Thực hiện thí điểm ít nhất 01 hợp đồng chuyển giao công nghệ hoặc cấp phép sử dụng.</w:t>
            </w:r>
          </w:p>
        </w:tc>
        <w:tc>
          <w:tcPr>
            <w:tcW w:type="dxa" w:w="5102"/>
          </w:tcPr>
          <w:p>
            <w:pPr>
              <w:spacing w:after="20"/>
            </w:pPr>
            <w:r/>
            <w:r>
              <w:rPr>
                <w:b w:val="0"/>
                <w:sz w:val="19"/>
              </w:rPr>
              <w:t>- Phấn đấu ký ít nhất 01 hợp đồng chuyển giao công nghệ hoặc cấp phép sử dụng mỗi năm, đáp ứng mục 1.12 Kế hoạch 07/KH-ĐHTĐ.</w:t>
            </w:r>
          </w:p>
        </w:tc>
        <w:tc>
          <w:tcPr>
            <w:tcW w:type="dxa" w:w="1984"/>
          </w:tcPr>
          <w:p>
            <w:pPr>
              <w:spacing w:after="20"/>
            </w:pPr>
            <w:r/>
            <w:r>
              <w:rPr>
                <w:b w:val="0"/>
                <w:sz w:val="19"/>
              </w:rPr>
              <w:t>Góp ý mục 6: Kế hoạch số 07/KH-ĐHTĐ, mục 2.2.4, trang 7 - 8</w:t>
            </w:r>
          </w:p>
        </w:tc>
      </w:tr>
      <w:tr>
        <w:tc>
          <w:tcPr>
            <w:tcW w:type="dxa" w:w="567"/>
          </w:tcPr>
          <w:p>
            <w:pPr>
              <w:spacing w:after="20"/>
            </w:pPr>
            <w:r/>
            <w:r>
              <w:rPr>
                <w:b w:val="0"/>
                <w:sz w:val="19"/>
              </w:rPr>
              <w:t>129</w:t>
            </w:r>
          </w:p>
        </w:tc>
        <w:tc>
          <w:tcPr>
            <w:tcW w:type="dxa" w:w="2041"/>
          </w:tcPr>
          <w:p>
            <w:pPr>
              <w:spacing w:after="20"/>
            </w:pPr>
            <w:r/>
            <w:r>
              <w:rPr>
                <w:b w:val="0"/>
                <w:sz w:val="19"/>
              </w:rPr>
              <w:t>Chương 3; 3.4.1. Lộ trình triển khai theo các mốc chiến lược, đoạn 23</w:t>
            </w:r>
          </w:p>
        </w:tc>
        <w:tc>
          <w:tcPr>
            <w:tcW w:type="dxa" w:w="5102"/>
          </w:tcPr>
          <w:p>
            <w:pPr>
              <w:spacing w:after="20"/>
            </w:pPr>
            <w:r/>
            <w:r>
              <w:rPr>
                <w:b w:val="0"/>
                <w:sz w:val="19"/>
              </w:rPr>
              <w:t>- Vận hành chính thức Doanh nghiệp quản lý tài sản trí tuệ; thực hiện định giá và góp vốn bằng tài sản trí tuệ.</w:t>
            </w:r>
          </w:p>
        </w:tc>
        <w:tc>
          <w:tcPr>
            <w:tcW w:type="dxa" w:w="5102"/>
          </w:tcPr>
          <w:p>
            <w:pPr>
              <w:spacing w:after="20"/>
            </w:pPr>
            <w:r/>
            <w:r>
              <w:rPr>
                <w:b w:val="0"/>
                <w:sz w:val="19"/>
              </w:rPr>
              <w:t>- Vận hành doanh nghiệp quản lý tài sản trí tuệ nếu đã đủ điều kiện thành lập; định giá, góp vốn khi có tài sản phù hợp.</w:t>
            </w:r>
          </w:p>
        </w:tc>
        <w:tc>
          <w:tcPr>
            <w:tcW w:type="dxa" w:w="1984"/>
          </w:tcPr>
          <w:p>
            <w:pPr>
              <w:spacing w:after="20"/>
            </w:pPr>
            <w:r/>
            <w:r>
              <w:rPr>
                <w:b w:val="0"/>
                <w:sz w:val="19"/>
              </w:rPr>
              <w:t>Góp ý mục 8: căn cứ nhu cầu, phương án theo giai đoạn và điều kiện chuyển bước</w:t>
            </w:r>
          </w:p>
        </w:tc>
      </w:tr>
      <w:tr>
        <w:tc>
          <w:tcPr>
            <w:tcW w:type="dxa" w:w="567"/>
          </w:tcPr>
          <w:p>
            <w:pPr>
              <w:spacing w:after="20"/>
            </w:pPr>
            <w:r/>
            <w:r>
              <w:rPr>
                <w:b w:val="0"/>
                <w:sz w:val="19"/>
              </w:rPr>
              <w:t>130</w:t>
            </w:r>
          </w:p>
        </w:tc>
        <w:tc>
          <w:tcPr>
            <w:tcW w:type="dxa" w:w="2041"/>
          </w:tcPr>
          <w:p>
            <w:pPr>
              <w:spacing w:after="20"/>
            </w:pPr>
            <w:r/>
            <w:r>
              <w:rPr>
                <w:b w:val="0"/>
                <w:sz w:val="19"/>
              </w:rPr>
              <w:t>Chương 3; 3.4.1. Lộ trình triển khai theo các mốc chiến lược, đoạn 24</w:t>
            </w:r>
          </w:p>
        </w:tc>
        <w:tc>
          <w:tcPr>
            <w:tcW w:type="dxa" w:w="5102"/>
          </w:tcPr>
          <w:p>
            <w:pPr>
              <w:spacing w:after="20"/>
            </w:pPr>
            <w:r/>
            <w:r>
              <w:rPr>
                <w:b w:val="0"/>
                <w:sz w:val="19"/>
              </w:rPr>
              <w:t>- Khai thác thường xuyên tư cách thành viên Mạng lưới Trung tâm Hỗ trợ công nghệ và đổi mới sáng tạo mà Nhà trường có từ năm 2023.</w:t>
            </w:r>
          </w:p>
        </w:tc>
        <w:tc>
          <w:tcPr>
            <w:tcW w:type="dxa" w:w="5102"/>
          </w:tcPr>
          <w:p>
            <w:pPr>
              <w:spacing w:after="20"/>
            </w:pPr>
            <w:r/>
            <w:r>
              <w:rPr>
                <w:b w:val="0"/>
                <w:sz w:val="19"/>
              </w:rPr>
              <w:t>- Khai thác các mạng lưới hỗ trợ công nghệ và đổi mới sáng tạo mà Nhà trường tham gia.</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131</w:t>
            </w:r>
          </w:p>
        </w:tc>
        <w:tc>
          <w:tcPr>
            <w:tcW w:type="dxa" w:w="2041"/>
          </w:tcPr>
          <w:p>
            <w:pPr>
              <w:spacing w:after="20"/>
            </w:pPr>
            <w:r/>
            <w:r>
              <w:rPr>
                <w:b w:val="0"/>
                <w:sz w:val="19"/>
              </w:rPr>
              <w:t>Chương 3; 3.4.1. Lộ trình triển khai theo các mốc chiến lược, đoạn 25</w:t>
            </w:r>
          </w:p>
        </w:tc>
        <w:tc>
          <w:tcPr>
            <w:tcW w:type="dxa" w:w="5102"/>
          </w:tcPr>
          <w:p>
            <w:pPr>
              <w:spacing w:after="20"/>
            </w:pPr>
            <w:r/>
            <w:r>
              <w:rPr>
                <w:b w:val="0"/>
                <w:sz w:val="19"/>
              </w:rPr>
              <w:t>- Thương mại hóa thường xuyên các kết quả nghiên cứu; doanh thu từ sở hữu trí tuệ đóng góp ổn định vào Quỹ phát triển khoa học công nghệ.</w:t>
            </w:r>
          </w:p>
        </w:tc>
        <w:tc>
          <w:tcPr>
            <w:tcW w:type="dxa" w:w="5102"/>
          </w:tcPr>
          <w:p>
            <w:pPr>
              <w:spacing w:after="20"/>
            </w:pPr>
            <w:r/>
            <w:r>
              <w:rPr>
                <w:b w:val="0"/>
                <w:sz w:val="19"/>
              </w:rPr>
              <w:t>- Theo dõi nguồn thu từ khai thác tài sản trí tuệ, khoản chi trả cho tác giả và phần trích vào quỹ phát triển khoa học công nghệ.</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132</w:t>
            </w:r>
          </w:p>
        </w:tc>
        <w:tc>
          <w:tcPr>
            <w:tcW w:type="dxa" w:w="2041"/>
          </w:tcPr>
          <w:p>
            <w:pPr>
              <w:spacing w:after="20"/>
            </w:pPr>
            <w:r/>
            <w:r>
              <w:rPr>
                <w:b w:val="0"/>
                <w:sz w:val="19"/>
              </w:rPr>
              <w:t>Chương 3; 3.4.2. Bộ chỉ số theo dõi đánh giá hiệu quả, đoạn 1</w:t>
            </w:r>
          </w:p>
        </w:tc>
        <w:tc>
          <w:tcPr>
            <w:tcW w:type="dxa" w:w="5102"/>
          </w:tcPr>
          <w:p>
            <w:pPr>
              <w:spacing w:after="20"/>
            </w:pPr>
            <w:r/>
            <w:r>
              <w:rPr>
                <w:b w:val="0"/>
                <w:sz w:val="19"/>
              </w:rPr>
              <w:t>Để đo lường hiệu quả triển khai hệ thống giải pháp, Đề tài đề xuất Bộ chỉ số theo dõi đánh giá hiệu quả gắn với từng nhóm giải pháp, được tổng hợp tại Bảng 3.3. Các chỉ số này được sử dụng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2.10 Chương 2.</w:t>
            </w:r>
          </w:p>
        </w:tc>
        <w:tc>
          <w:tcPr>
            <w:tcW w:type="dxa" w:w="5102"/>
          </w:tcPr>
          <w:p>
            <w:pPr>
              <w:spacing w:after="20"/>
            </w:pPr>
            <w:r/>
            <w:r>
              <w:rPr>
                <w:b w:val="0"/>
                <w:sz w:val="19"/>
              </w:rPr>
              <w:t>Để đo lường hiệu quả triển khai hệ thống giải pháp, Đề tài đề xuất Bộ chỉ số theo dõi đánh giá hiệu quả, được tổng hợp tại Bảng 3.4. Bộ chỉ số phân tầng theo chuỗi kết quả: sàng lọc, đơn nộp, văn bằng được cấp và khai thác, vì mỗi tầng có độ trễ khác nhau và văn bằng chỉ được cấp sau các giai đoạn thẩm định theo Điều 119 Luật Sở hữu trí tuệ. Các chỉ số được dùng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tại mục 1.11 Kế hoạch 07/KH-ĐHTĐ, 03 văn bằng mỗi năm giai đoạn 2026 - 2028, cần được thống kê đúng phạm vi của chỉ tiêu, không gồm nhãn hiệu, và tách riêng văn bằng hình thành từ kết quả nghiên cứu, tránh tình trạng chỉ tiêu gộp được hoàn thành mà không có kết quả nghiên cứu nào được bảo hộ như phân tích tại Hình 2.10 Chương 2.</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mục 6: Kế hoạch số 07/KH-ĐHTĐ, mục 2.2.4, chỉ tiêu 1.11 không gồm nhãn hiệu</w:t>
            </w:r>
          </w:p>
        </w:tc>
      </w:tr>
      <w:tr>
        <w:tc>
          <w:tcPr>
            <w:tcW w:type="dxa" w:w="567"/>
          </w:tcPr>
          <w:p>
            <w:pPr>
              <w:spacing w:after="20"/>
            </w:pPr>
            <w:r/>
            <w:r>
              <w:rPr>
                <w:b w:val="0"/>
                <w:sz w:val="19"/>
              </w:rPr>
              <w:t>133</w:t>
            </w:r>
          </w:p>
        </w:tc>
        <w:tc>
          <w:tcPr>
            <w:tcW w:type="dxa" w:w="2041"/>
          </w:tcPr>
          <w:p>
            <w:pPr>
              <w:spacing w:after="20"/>
            </w:pPr>
            <w:r/>
            <w:r>
              <w:rPr>
                <w:b w:val="0"/>
                <w:sz w:val="19"/>
              </w:rPr>
              <w:t>Chương 3; 3.4.2. Bộ chỉ số theo dõi đánh giá hiệu quả, đoạn 2</w:t>
            </w:r>
          </w:p>
        </w:tc>
        <w:tc>
          <w:tcPr>
            <w:tcW w:type="dxa" w:w="5102"/>
          </w:tcPr>
          <w:p>
            <w:pPr>
              <w:spacing w:after="20"/>
            </w:pPr>
            <w:r/>
            <w:r>
              <w:rPr>
                <w:b w:val="0"/>
                <w:sz w:val="19"/>
              </w:rPr>
              <w:t>Bảng 3.3. Bộ chỉ số theo dõi đánh giá hiệu quả triển khai hệ thống giải pháp</w:t>
            </w:r>
          </w:p>
        </w:tc>
        <w:tc>
          <w:tcPr>
            <w:tcW w:type="dxa" w:w="5102"/>
          </w:tcPr>
          <w:p>
            <w:pPr>
              <w:spacing w:after="20"/>
            </w:pPr>
            <w:r/>
            <w:r>
              <w:rPr>
                <w:b w:val="0"/>
                <w:sz w:val="19"/>
              </w:rPr>
              <w:t>Bảng 3.4. Bộ chỉ số theo dõi đánh giá hiệu quả triển khai hệ thống giải pháp, phân tầng theo chuỗi kết quả</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mục 6: Kế hoạch số 07/KH-ĐHTĐ, mục 2.2.4, chỉ tiêu 1.11 không gồm nhãn hiệu</w:t>
            </w:r>
          </w:p>
        </w:tc>
      </w:tr>
      <w:tr>
        <w:tc>
          <w:tcPr>
            <w:tcW w:type="dxa" w:w="567"/>
          </w:tcPr>
          <w:p>
            <w:pPr>
              <w:spacing w:after="20"/>
            </w:pPr>
            <w:r/>
            <w:r>
              <w:rPr>
                <w:b w:val="0"/>
                <w:sz w:val="19"/>
              </w:rPr>
              <w:t>134</w:t>
            </w:r>
          </w:p>
        </w:tc>
        <w:tc>
          <w:tcPr>
            <w:tcW w:type="dxa" w:w="2041"/>
          </w:tcPr>
          <w:p>
            <w:pPr>
              <w:spacing w:after="20"/>
            </w:pPr>
            <w:r/>
            <w:r>
              <w:rPr>
                <w:b w:val="0"/>
                <w:sz w:val="19"/>
              </w:rPr>
              <w:t>Chương 3; 3.4.2. Bộ chỉ số theo dõi đánh giá hiệu quả, đoạn 3</w:t>
            </w:r>
          </w:p>
        </w:tc>
        <w:tc>
          <w:tcPr>
            <w:tcW w:type="dxa" w:w="5102"/>
          </w:tcPr>
          <w:p>
            <w:pPr>
              <w:spacing w:after="20"/>
            </w:pPr>
            <w:r/>
            <w:r>
              <w:rPr>
                <w:b w:val="0"/>
                <w:sz w:val="19"/>
              </w:rPr>
              <w:t>Nguồn: Nhóm nghiên cứu đề xuất.</w:t>
            </w:r>
          </w:p>
        </w:tc>
        <w:tc>
          <w:tcPr>
            <w:tcW w:type="dxa" w:w="5102"/>
          </w:tcPr>
          <w:p>
            <w:pPr>
              <w:spacing w:after="20"/>
            </w:pPr>
            <w:r/>
            <w:r>
              <w:rPr>
                <w:b w:val="0"/>
                <w:sz w:val="19"/>
              </w:rPr>
              <w:t>Nguồn: Nhóm nghiên cứu đề xuất. Mục tiêu về đơn và văn bằng là mức tham khảo, cần được điều chỉnh sau thí điểm; văn bằng chỉ được cấp sau các giai đoạn thẩm định theo Điều 119 Luật Sở hữu trí tuệ nên được đánh giá chậm hơn các tầng sàng lọc và đơn nộp.</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135</w:t>
            </w:r>
          </w:p>
        </w:tc>
        <w:tc>
          <w:tcPr>
            <w:tcW w:type="dxa" w:w="2041"/>
          </w:tcPr>
          <w:p>
            <w:pPr>
              <w:spacing w:after="20"/>
            </w:pPr>
            <w:r/>
            <w:r>
              <w:rPr>
                <w:b w:val="0"/>
                <w:sz w:val="19"/>
              </w:rPr>
              <w:t>Chương 3; 3.4.2. Bộ chỉ số theo dõi đánh giá hiệu quả, đoạn 4</w:t>
            </w:r>
          </w:p>
        </w:tc>
        <w:tc>
          <w:tcPr>
            <w:tcW w:type="dxa" w:w="5102"/>
          </w:tcPr>
          <w:p>
            <w:pPr>
              <w:spacing w:after="20"/>
            </w:pPr>
            <w:r/>
            <w:r>
              <w:rPr>
                <w:b w:val="0"/>
                <w:sz w:val="19"/>
              </w:rPr>
              <w:t>Bộ chỉ số nêu trên được thiết kế theo nguyên tắc đo lường được, có thời hạn cụ thể và gắn trực tiếp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w:t>
            </w:r>
          </w:p>
        </w:tc>
        <w:tc>
          <w:tcPr>
            <w:tcW w:type="dxa" w:w="5102"/>
          </w:tcPr>
          <w:p>
            <w:pPr>
              <w:spacing w:after="20"/>
            </w:pPr>
            <w:r/>
            <w:r>
              <w:rPr>
                <w:b w:val="0"/>
                <w:sz w:val="19"/>
              </w:rPr>
              <w:t>Bộ chỉ số nêu trên được thiết kế theo nguyên tắc đo lường được, có thời hạn cụ thể và gắn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 Các mục tiêu về đơn và văn bằng là mức tham khảo, được điều chỉnh sau khi có kết quả thí điểm.</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136</w:t>
            </w:r>
          </w:p>
        </w:tc>
        <w:tc>
          <w:tcPr>
            <w:tcW w:type="dxa" w:w="2041"/>
          </w:tcPr>
          <w:p>
            <w:pPr>
              <w:spacing w:after="20"/>
            </w:pPr>
            <w:r/>
            <w:r>
              <w:rPr>
                <w:b w:val="0"/>
                <w:sz w:val="19"/>
              </w:rPr>
              <w:t>Chương 3; TIỂU KẾT CHƯƠNG 3, đoạn 1</w:t>
            </w:r>
          </w:p>
        </w:tc>
        <w:tc>
          <w:tcPr>
            <w:tcW w:type="dxa" w:w="5102"/>
          </w:tcPr>
          <w:p>
            <w:pPr>
              <w:spacing w:after="20"/>
            </w:pPr>
            <w:r/>
            <w:r>
              <w:rPr>
                <w:b w:val="0"/>
                <w:sz w:val="19"/>
              </w:rPr>
              <w:t>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năng lực nghiên cứu, sản phẩm có khả năng bảo hộ và nguồn lực tài chính,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tc>
        <w:tc>
          <w:tcPr>
            <w:tcW w:type="dxa" w:w="5102"/>
          </w:tcPr>
          <w:p>
            <w:pPr>
              <w:spacing w:after="20"/>
            </w:pPr>
            <w:r/>
            <w:r>
              <w:rPr>
                <w:b w:val="0"/>
                <w:sz w:val="19"/>
              </w:rPr>
              <w:t>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biểu mẫu, năng lực nghiên cứu và sản phẩm có tiềm năng bảo hộ,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137</w:t>
            </w:r>
          </w:p>
        </w:tc>
        <w:tc>
          <w:tcPr>
            <w:tcW w:type="dxa" w:w="2041"/>
          </w:tcPr>
          <w:p>
            <w:pPr>
              <w:spacing w:after="20"/>
            </w:pPr>
            <w:r/>
            <w:r>
              <w:rPr>
                <w:b w:val="0"/>
                <w:sz w:val="19"/>
              </w:rPr>
              <w:t>Chương 3; TIỂU KẾT CHƯƠNG 3, đoạn 2</w:t>
            </w:r>
          </w:p>
        </w:tc>
        <w:tc>
          <w:tcPr>
            <w:tcW w:type="dxa" w:w="5102"/>
          </w:tcPr>
          <w:p>
            <w:pPr>
              <w:spacing w:after="20"/>
            </w:pPr>
            <w:r/>
            <w:r>
              <w:rPr>
                <w:b w:val="0"/>
                <w:sz w:val="19"/>
              </w:rPr>
              <w:t>Từ đó, Đề tài đề xuất năm nguyên tắc và năm nhóm giải pháp: hoàn thiện quy chế nội bộ hợp nhất; kiện toàn bộ máy và cơ chế phối hợp liên phòng ban; chuẩn hóa quy trình 8 khâu với khâu rà soát bắt buộc tại nghiệm thu; xây dựng cơ chế tài chính linh hoạt, cơ chế chuyển tiếp với Quỹ Học bổng sau tiến sĩ Ngô Xuân Độ và doanh nghiệp quản lý tài sản trí tuệ; phát triển đào tạo và văn hóa sở hữu trí tuệ. Mỗi giải pháp được trình bày đủ bốn trụ cột: mục tiêu, nội dung thực hiện, chủ thể thực hiện và điều kiện bảo đảm. Phương án thí điểm tại Viện Y - Dược, lộ trình ba giai đoạn đến năm 2030 và bộ chỉ số theo dõi bảo đảm hệ thống giải pháp có thể kiểm chứng, điều chỉnh và nhân rộng.</w:t>
            </w:r>
          </w:p>
        </w:tc>
        <w:tc>
          <w:tcPr>
            <w:tcW w:type="dxa" w:w="5102"/>
          </w:tcPr>
          <w:p>
            <w:pPr>
              <w:spacing w:after="20"/>
            </w:pPr>
            <w:r/>
            <w:r>
              <w:rPr>
                <w:b w:val="0"/>
                <w:sz w:val="19"/>
              </w:rPr>
              <w:t>Từ đó, Đề tài đề xuất năm nguyên tắc và năm nhóm giải pháp: hoàn thiện quy chế với cơ chế lợi ích của tác giả xác định theo nguồn hình thành tài sản, thời điểm giao nhiệm vụ và loại đối tượng; giao đầu mối và cơ chế phối hợp, bố trí nhân sự theo giai đoạn; chuẩn hóa quy trình 8 khâu với bước khai báo, sàng lọc, xem xét bảo mật trước khi công bố và phân nhánh theo loại đối tượng; lập dòng dự toán cho bước xác lập quyền và chuẩn bị phương án tổ chức khai thác theo điều kiện chuyển bước; phát triển đào tạo và văn hóa sở hữu trí tuệ. Mỗi giải pháp gắn với hạn chế được xử lý, có chủ trì, phối hợp, nguồn lực, thời gian, sản phẩm đầu ra và cách đánh giá. Kế hoạch thí điểm tại Viện Y - Dược, lộ trình ba giai đoạn đến năm 2030 và bộ chỉ số phân tầng từ sàng lọc, đơn nộp, văn bằng đến khai thác bảo đảm hệ thống giải pháp có thể kiểm chứng, điều chỉnh và nhân rộng.</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138</w:t>
            </w:r>
          </w:p>
        </w:tc>
        <w:tc>
          <w:tcPr>
            <w:tcW w:type="dxa" w:w="2041"/>
          </w:tcPr>
          <w:p>
            <w:pPr>
              <w:spacing w:after="20"/>
            </w:pPr>
            <w:r/>
            <w:r>
              <w:rPr>
                <w:b w:val="0"/>
                <w:sz w:val="19"/>
              </w:rPr>
              <w:t>Kết luận và kiến nghị; 1. Kết luận, đoạn 2</w:t>
            </w:r>
          </w:p>
        </w:tc>
        <w:tc>
          <w:tcPr>
            <w:tcW w:type="dxa" w:w="5102"/>
          </w:tcPr>
          <w:p>
            <w:pPr>
              <w:spacing w:after="20"/>
            </w:pPr>
            <w:r/>
            <w:r>
              <w:rPr>
                <w:b w:val="0"/>
                <w:sz w:val="19"/>
              </w:rPr>
              <w:t>Về thực trạng, Trường Đại học Thành Đô có tầm nhìn thể chế sớm, năng lực công bố tăng nhanh, 12 tài sản trí tuệ đã được xác lập hoặc đang xử lý đơn và chiến lược hợp tác đại học với doanh nghiệp mà Ban Giám hiệu đã dày công kết nối đã mang lại thành công nổi bật. Tiềm năng tài sản trí tuệ rất lớn, đặc biệt ở khối ngành Y - Dược, với 11 trên 38 đề tài có sản phẩm đủ điều kiện xác lập quyền. Khoảng cách giữa tiềm năng và kết quả có nguyên nhân khách quan là độ trễ thể chế trước sự thay đổi dồn dập của pháp luật quốc gia giai đoạn 2025 - 2026, và nguyên nhân chủ quan cốt lõi là khoảng trống kỹ thuật: thiếu một biểu mẫu rà soát tại thời điểm nghiệm thu.</w:t>
            </w:r>
          </w:p>
        </w:tc>
        <w:tc>
          <w:tcPr>
            <w:tcW w:type="dxa" w:w="5102"/>
          </w:tcPr>
          <w:p>
            <w:pPr>
              <w:spacing w:after="20"/>
            </w:pPr>
            <w:r/>
            <w:r>
              <w:rPr>
                <w:b w:val="0"/>
                <w:sz w:val="19"/>
              </w:rPr>
              <w:t>Về thực trạng, Trường Đại học Thành Đô có tầm nhìn thể chế sớm, năng lực công bố tăng nhanh, 11 hồ sơ tài sản trí tuệ trong kỳ 2021 - 2025, trong đó 4 tài sản đã được cấp văn bằng, giấy chứng nhận và 5 kiểu dáng công nghiệp cần xác nhận trạng thái, và chiến lược hợp tác đại học với doanh nghiệp mà Ban Giám hiệu đã dày công kết nối đã mang lại thành công nổi bật. Tiềm năng tài sản trí tuệ là rõ ràng, đặc biệt ở khối ngành Y - Dược, với 11 trên 38 đề tài có sản phẩm tiềm năng, trong đó 9 thuộc sở hữu công nghiệp nhưng mới 1 đề tài có đơn. Độ trễ thể chế trước sự thay đổi dồn dập của pháp luật quốc gia giai đoạn 2025 - 2026 làm phát sinh nhu cầu rà soát phạm vi áp dụng của quy chế từ cuối năm 2025; đối với kết quả của kỳ đánh giá, Đề tài nhận định nguyên nhân chủ quan cốt lõi là khoảng trống kỹ thuật: thiếu một biểu mẫu rà soát tại thời điểm nghiệm thu, cùng với việc chưa có dự toán riêng cho bước đăng ký và chưa thống nhất cách hiểu, thứ tự áp dụng các quy định về lợi ích của tác giả. Đề tài cũng xác định các quy định nội bộ không xung đột trong cùng một tình huống, và mức trần 100 triệu đồng tại Quyết định 213 chỉ cần sửa đối với các trường hợp thuộc phạm vi Điều 28 Luật số 93/2025/QH15.</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 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139</w:t>
            </w:r>
          </w:p>
        </w:tc>
        <w:tc>
          <w:tcPr>
            <w:tcW w:type="dxa" w:w="2041"/>
          </w:tcPr>
          <w:p>
            <w:pPr>
              <w:spacing w:after="20"/>
            </w:pPr>
            <w:r/>
            <w:r>
              <w:rPr>
                <w:b w:val="0"/>
                <w:sz w:val="19"/>
              </w:rPr>
              <w:t>Kết luận và kiến nghị; 1. Kết luận, đoạn 3</w:t>
            </w:r>
          </w:p>
        </w:tc>
        <w:tc>
          <w:tcPr>
            <w:tcW w:type="dxa" w:w="5102"/>
          </w:tcPr>
          <w:p>
            <w:pPr>
              <w:spacing w:after="20"/>
            </w:pPr>
            <w:r/>
            <w:r>
              <w:rPr>
                <w:b w:val="0"/>
                <w:sz w:val="19"/>
              </w:rPr>
              <w:t>Về giải pháp, Đề tài đề xuất năm nhóm giải pháp đồng bộ: hoàn thiện quy chế nội bộ hợp nhất theo luật mới; kiện toàn bộ máy và cơ chế phối hợp liên phòng ban; chuẩn hóa quy trình 8 khâu với phiếu rà soát bắt buộc tại nghiệm thu; xây dựng cơ chế tài chính linh hoạt; phát triển đào tạo và văn hóa sở hữu trí tuệ. Các giải pháp đi kèm phương án thí điểm tại Viện Y - Dược, lộ trình ba giai đoạn đến năm 2030 và bộ chỉ số theo dõi.</w:t>
            </w:r>
          </w:p>
        </w:tc>
        <w:tc>
          <w:tcPr>
            <w:tcW w:type="dxa" w:w="5102"/>
          </w:tcPr>
          <w:p>
            <w:pPr>
              <w:spacing w:after="20"/>
            </w:pPr>
            <w:r/>
            <w:r>
              <w:rPr>
                <w:b w:val="0"/>
                <w:sz w:val="19"/>
              </w:rPr>
              <w:t>Về giải pháp, Đề tài đề xuất năm nhóm giải pháp đồng bộ: hoàn thiện quy chế với cơ chế lợi ích của tác giả theo nguồn hình thành tài sản, thời điểm giao nhiệm vụ và loại đối tượng; giao đầu mối, cơ chế phối hợp và bố trí nhân sự theo giai đoạn; chuẩn hóa quy trình 8 khâu với khai báo, sàng lọc, xem xét bảo mật trước khi công bố và phiếu rà soát tại nghiệm thu; lập dòng dự toán cho bước xác lập quyền và chuẩn bị phương án khai thác theo điều kiện chuyển bước; phát triển đào tạo và văn hóa sở hữu trí tuệ. Các giải pháp đi kèm kế hoạch thí điểm tại Viện Y - Dược, lộ trình ba giai đoạn đến năm 2030 và bộ chỉ số phân tầng từ sàng lọc, đơn nộp, văn bằng đến khai thác.</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140</w:t>
            </w:r>
          </w:p>
        </w:tc>
        <w:tc>
          <w:tcPr>
            <w:tcW w:type="dxa" w:w="2041"/>
          </w:tcPr>
          <w:p>
            <w:pPr>
              <w:spacing w:after="20"/>
            </w:pPr>
            <w:r/>
            <w:r>
              <w:rPr>
                <w:b w:val="0"/>
                <w:sz w:val="19"/>
              </w:rPr>
              <w:t>Kết luận và kiến nghị; 3. Kiến nghị với Hội đồng trường và Ban Giám hiệu Trường Đại, đoạn 1</w:t>
            </w:r>
          </w:p>
        </w:tc>
        <w:tc>
          <w:tcPr>
            <w:tcW w:type="dxa" w:w="5102"/>
          </w:tcPr>
          <w:p>
            <w:pPr>
              <w:spacing w:after="20"/>
            </w:pPr>
            <w:r/>
            <w:r>
              <w:rPr>
                <w:b w:val="0"/>
                <w:sz w:val="19"/>
              </w:rPr>
              <w:t>Thứ nhất, chỉ đạo hợp nhất Quy chế ban hành kèm Quyết định 213, Quy chế ban hành kèm Quyết định 217 và các quy định liên quan trong Quy chế chi tiêu nội bộ thành một Quy chế quản trị tài sản trí tuệ thống nhất theo Luật số 93/2025/QH15, bỏ mức trần tiền thưởng và bảo đảm mức tối thiểu cho tác giả theo luật.</w:t>
            </w:r>
          </w:p>
        </w:tc>
        <w:tc>
          <w:tcPr>
            <w:tcW w:type="dxa" w:w="5102"/>
          </w:tcPr>
          <w:p>
            <w:pPr>
              <w:spacing w:after="20"/>
            </w:pPr>
            <w:r/>
            <w:r>
              <w:rPr>
                <w:b w:val="0"/>
                <w:sz w:val="19"/>
              </w:rPr>
              <w:t>Thứ nhất, chỉ đạo hoàn thiện Quy chế quản trị tài sản trí tuệ trên nền Quyết định 217, hợp nhất các quy định về sở hữu trí tuệ của Quyết định 213 và thống nhất với Quy chế chi tiêu nội bộ, trong đó xác định phạm vi và thứ tự áp dụng các quy định về lợi ích của tác giả, phân biệt thưởng, thù lao, nhuận bút, và bảo đảm mức tối thiểu theo Điều 28 Luật số 93/2025/QH15 cho các trường hợp thuộc phạm vi áp dụng của Luật.</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w:t>
            </w:r>
          </w:p>
        </w:tc>
      </w:tr>
      <w:tr>
        <w:tc>
          <w:tcPr>
            <w:tcW w:type="dxa" w:w="567"/>
          </w:tcPr>
          <w:p>
            <w:pPr>
              <w:spacing w:after="20"/>
            </w:pPr>
            <w:r/>
            <w:r>
              <w:rPr>
                <w:b w:val="0"/>
                <w:sz w:val="19"/>
              </w:rPr>
              <w:t>141</w:t>
            </w:r>
          </w:p>
        </w:tc>
        <w:tc>
          <w:tcPr>
            <w:tcW w:type="dxa" w:w="2041"/>
          </w:tcPr>
          <w:p>
            <w:pPr>
              <w:spacing w:after="20"/>
            </w:pPr>
            <w:r/>
            <w:r>
              <w:rPr>
                <w:b w:val="0"/>
                <w:sz w:val="19"/>
              </w:rPr>
              <w:t>Kết luận và kiến nghị; 3. Kiến nghị với Hội đồng trường và Ban Giám hiệu Trường Đại, đoạn 2</w:t>
            </w:r>
          </w:p>
        </w:tc>
        <w:tc>
          <w:tcPr>
            <w:tcW w:type="dxa" w:w="5102"/>
          </w:tcPr>
          <w:p>
            <w:pPr>
              <w:spacing w:after="20"/>
            </w:pPr>
            <w:r/>
            <w:r>
              <w:rPr>
                <w:b w:val="0"/>
                <w:sz w:val="19"/>
              </w:rPr>
              <w:t>Thứ hai, ban hành ngay phiếu rà soát khả năng bảo hộ bắt buộc tại thời điểm nghiệm thu đề tài và rà soát lại các đề tài đã nghiệm thu giai đoạn 2021 - 2024 có sản phẩm đủ điều kiện xác lập quyền.</w:t>
            </w:r>
          </w:p>
        </w:tc>
        <w:tc>
          <w:tcPr>
            <w:tcW w:type="dxa" w:w="5102"/>
          </w:tcPr>
          <w:p>
            <w:pPr>
              <w:spacing w:after="20"/>
            </w:pPr>
            <w:r/>
            <w:r>
              <w:rPr>
                <w:b w:val="0"/>
                <w:sz w:val="19"/>
              </w:rPr>
              <w:t>Thứ hai, bổ sung phiếu khai báo và phiếu rà soát vào các biểu mẫu đề xuất, thuyết minh, hợp đồng, nghiệm thu hiện có; rà soát tình trạng bộc lộ của 6 đề tài mã số 2021 - 2024 có sản phẩm tiềm năng sở hữu công nghiệp và xác nhận trạng thái pháp lý của 5 kiểu dáng công nghiệp.</w:t>
            </w:r>
          </w:p>
        </w:tc>
        <w:tc>
          <w:tcPr>
            <w:tcW w:type="dxa" w:w="1984"/>
          </w:tcPr>
          <w:p>
            <w:pPr>
              <w:spacing w:after="20"/>
            </w:pPr>
            <w:r/>
            <w:r>
              <w:rPr>
                <w:b w:val="0"/>
                <w:sz w:val="19"/>
              </w:rPr>
              <w:t>Góp ý mục 3: Điều 35, Điều 38 và các biểu mẫu Quyết định 213; Điều 10, Điều 11 Quyết định 217; Góp ý mục 5: Theo dõi đơn nhãn hiệu và KDCN.xlsx, Sheet1 và Sheet2; quyền tác giả chưa đăng ký không có nghĩa là chưa có quyền</w:t>
            </w:r>
          </w:p>
        </w:tc>
      </w:tr>
      <w:tr>
        <w:tc>
          <w:tcPr>
            <w:tcW w:type="dxa" w:w="567"/>
          </w:tcPr>
          <w:p>
            <w:pPr>
              <w:spacing w:after="20"/>
            </w:pPr>
            <w:r/>
            <w:r>
              <w:rPr>
                <w:b w:val="0"/>
                <w:sz w:val="19"/>
              </w:rPr>
              <w:t>142</w:t>
            </w:r>
          </w:p>
        </w:tc>
        <w:tc>
          <w:tcPr>
            <w:tcW w:type="dxa" w:w="2041"/>
          </w:tcPr>
          <w:p>
            <w:pPr>
              <w:spacing w:after="20"/>
            </w:pPr>
            <w:r/>
            <w:r>
              <w:rPr>
                <w:b w:val="0"/>
                <w:sz w:val="19"/>
              </w:rPr>
              <w:t>Kết luận và kiến nghị; 3. Kiến nghị với Hội đồng trường và Ban Giám hiệu Trường Đại, đoạn 3</w:t>
            </w:r>
          </w:p>
        </w:tc>
        <w:tc>
          <w:tcPr>
            <w:tcW w:type="dxa" w:w="5102"/>
          </w:tcPr>
          <w:p>
            <w:pPr>
              <w:spacing w:after="20"/>
            </w:pPr>
            <w:r/>
            <w:r>
              <w:rPr>
                <w:b w:val="0"/>
                <w:sz w:val="19"/>
              </w:rPr>
              <w:t>Thứ ba, bố trí dòng kinh phí riêng cho phí nộp đơn, phí duy trì hiệu lực văn bằng và giao đầu mối chuyên trách tại Phòng Khoa học Công nghệ; tổ chức thí điểm tại Viện Y - Dược và đánh giá theo bộ chỉ số sau mỗi năm.</w:t>
            </w:r>
          </w:p>
        </w:tc>
        <w:tc>
          <w:tcPr>
            <w:tcW w:type="dxa" w:w="5102"/>
          </w:tcPr>
          <w:p>
            <w:pPr>
              <w:spacing w:after="20"/>
            </w:pPr>
            <w:r/>
            <w:r>
              <w:rPr>
                <w:b w:val="0"/>
                <w:sz w:val="19"/>
              </w:rPr>
              <w:t>Thứ ba, lập dòng dự toán cho phí nộp đơn, phí đại diện, phí duy trì hiệu lực văn bằng, quy định người đề xuất chi và cách tạm ứng; giao đầu mối kiêm nhiệm tại Phòng Khoa học Công nghệ và Bộ phận Pháp chế, xem xét vị trí chuyên trách khi khối lượng hồ sơ đạt ngưỡng; triển khai kế hoạch thí điểm tại Viện Y - Dược và đánh giá theo bộ chỉ số sau mỗi năm.</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143</w:t>
            </w:r>
          </w:p>
        </w:tc>
        <w:tc>
          <w:tcPr>
            <w:tcW w:type="dxa" w:w="2041"/>
          </w:tcPr>
          <w:p>
            <w:pPr>
              <w:spacing w:after="20"/>
            </w:pPr>
            <w:r/>
            <w:r>
              <w:rPr>
                <w:b w:val="0"/>
                <w:sz w:val="19"/>
              </w:rPr>
              <w:t>Bảng 2.3, toàn bảng</w:t>
            </w:r>
          </w:p>
        </w:tc>
        <w:tc>
          <w:tcPr>
            <w:tcW w:type="dxa" w:w="5102"/>
          </w:tcPr>
          <w:p>
            <w:pPr>
              <w:spacing w:after="20"/>
            </w:pPr>
            <w:r/>
            <w:r>
              <w:rPr>
                <w:b w:val="0"/>
                <w:sz w:val="19"/>
              </w:rPr>
              <w:t>Bảng 2.3. Các quy định về phân chia lợi ích từ tài sản trí tuệ trong nội bộ Trường Đại học Thành Đô</w:t>
            </w:r>
          </w:p>
          <w:p>
            <w:pPr>
              <w:spacing w:after="20"/>
            </w:pPr>
            <w:r>
              <w:rPr>
                <w:b w:val="0"/>
                <w:sz w:val="19"/>
              </w:rPr>
              <w:t>Văn bản | Năm | Phạm vi áp dụng | Công thức chia lợi ích | Mức trần</w:t>
            </w:r>
          </w:p>
          <w:p>
            <w:pPr>
              <w:spacing w:after="20"/>
            </w:pPr>
            <w:r>
              <w:rPr>
                <w:b w:val="0"/>
                <w:sz w:val="19"/>
              </w:rPr>
              <w:t>Quyết định 213, điểm a khoản 4 Điều 36 | 2021 | Đề tài sử dụng ngân sách nhà nước do Trường chủ trì | 40% nộp ngân sách nhà nước, 30% Trường, 30% khen thưởng tập thể tác giả | 100 triệu đồng</w:t>
            </w:r>
          </w:p>
          <w:p>
            <w:pPr>
              <w:spacing w:after="20"/>
            </w:pPr>
            <w:r>
              <w:rPr>
                <w:b w:val="0"/>
                <w:sz w:val="19"/>
              </w:rPr>
              <w:t>Quyết định 213, điểm b khoản 4 Điều 36 | 2021 | Tài sản trí tuệ thuộc sở hữu của Trường được chuyển giao | 30% tác giả, 20% đơn vị có tác giả, 50% Quỹ nghiên cứu khoa học của Trường | Không đặt trần</w:t>
            </w:r>
          </w:p>
          <w:p>
            <w:pPr>
              <w:spacing w:after="20"/>
            </w:pPr>
            <w:r>
              <w:rPr>
                <w:b w:val="0"/>
                <w:sz w:val="19"/>
              </w:rPr>
              <w:t>Quyết định 217, Điều 13 | 2024 | Tài sản trí tuệ của Trường khi các bên không có thỏa thuận | Sau khi trừ chi phí, Hiệu trưởng quyết định tỷ lệ | Không quy định</w:t>
            </w:r>
          </w:p>
          <w:p>
            <w:pPr>
              <w:spacing w:after="20"/>
            </w:pPr>
            <w:r>
              <w:rPr>
                <w:b w:val="0"/>
                <w:sz w:val="19"/>
              </w:rPr>
              <w:t>Quy chế chi tiêu nội bộ | 2026 | Đề tài có đăng ký sở hữu trí tuệ | Trích 50% kinh phí chuyển giao công nghệ về Trường, không nêu phần của tác giả | 50 triệu đồng kinh phí đề tài</w:t>
            </w:r>
          </w:p>
          <w:p>
            <w:pPr>
              <w:spacing w:after="20"/>
            </w:pPr>
            <w:r>
              <w:rPr>
                <w:b w:val="0"/>
                <w:sz w:val="19"/>
              </w:rPr>
              <w:t>Điều lệ Quỹ Ngô Xuân Độ, Điều 9 | 2025 | Sản phẩm hình thành từ kinh phí của Quỹ | Năm đầu: 50% tác giả, 50% Trường; từ năm thứ hai: 20% tác giả, 80% Trường | Không đặt trần</w:t>
            </w:r>
          </w:p>
        </w:tc>
        <w:tc>
          <w:tcPr>
            <w:tcW w:type="dxa" w:w="5102"/>
          </w:tcPr>
          <w:p>
            <w:pPr>
              <w:spacing w:after="20"/>
            </w:pPr>
            <w:r/>
            <w:r>
              <w:rPr>
                <w:b w:val="0"/>
                <w:sz w:val="19"/>
              </w:rPr>
              <w:t>Bảng 2.3. Các quy định về lợi ích của tác giả và phân chia nguồn thu từ tài sản trí tuệ</w:t>
            </w:r>
          </w:p>
          <w:p>
            <w:pPr>
              <w:spacing w:after="20"/>
            </w:pPr>
            <w:r>
              <w:rPr>
                <w:b w:val="0"/>
                <w:sz w:val="19"/>
              </w:rPr>
              <w:t>Văn bản, điều khoản | Phạm vi, nguồn kinh phí | Đối tượng hưởng và tỷ lệ | Cơ sở tính | Điều kiện, mức trần</w:t>
            </w:r>
          </w:p>
          <w:p>
            <w:pPr>
              <w:spacing w:after="20"/>
            </w:pPr>
            <w:r>
              <w:rPr>
                <w:b w:val="0"/>
                <w:sz w:val="19"/>
              </w:rPr>
              <w:t>Quyết định 213, điểm a khoản 4 Điều 36, năm 2021 | Sản phẩm đề tài sử dụng ngân sách nhà nước do Trường chủ trì, đã nghiệm thu, được thương mại hóa | 40% nộp ngân sách nhà nước; 30% Trường; 30% khen thưởng tập thể tác giả | Nguồn thu sau khi trừ các khoản chi phí cần thiết, hợp lệ | Khen thưởng tối đa 100 triệu đồng một đề tài; phần vượt chuyển vào quỹ khen thưởng, phúc lợi</w:t>
            </w:r>
          </w:p>
          <w:p>
            <w:pPr>
              <w:spacing w:after="20"/>
            </w:pPr>
            <w:r>
              <w:rPr>
                <w:b w:val="0"/>
                <w:sz w:val="19"/>
              </w:rPr>
              <w:t>Quyết định 213, điểm b khoản 4 Điều 36, năm 2021 | Tài sản trí tuệ thuộc sở hữu của Trường: sáng chế, giải pháp hữu ích, quy trình công nghệ, giải pháp kỹ thuật | Tác giả 30%, ghi là theo Luật Sở hữu trí tuệ; khoa, đơn vị có tác giả 20%; Quỹ nghiên cứu khoa học 50% | Kinh phí chuyển giao sau khi trừ các khoản chi phí cần thiết, hợp lệ | Không đặt trần</w:t>
            </w:r>
          </w:p>
          <w:p>
            <w:pPr>
              <w:spacing w:after="20"/>
            </w:pPr>
            <w:r>
              <w:rPr>
                <w:b w:val="0"/>
                <w:sz w:val="19"/>
              </w:rPr>
              <w:t>Quyết định 217, Điều 13, năm 2024 | Tài sản trí tuệ của Trường; khoản 1 dẫn theo nguồn kinh phí hoặc thỏa thuận; khoản 2 nhuận bút sách, giáo trình theo Quy chế chi tiêu nội bộ | Khoản 3: Hiệu trưởng quyết định tỷ lệ sau khi có tham mưu của Phòng Khoa học Công nghệ, Pháp chế, Tài chính - Kế toán | Khoản thu sau khi trừ thuế, phí, lệ phí xác lập quyền, phần trích nộp cơ quan cấp kinh phí, quỹ phát triển khoa học công nghệ | Khoản 3 chỉ áp dụng khi không có thỏa thuận, Quy chế chi tiêu nội bộ hoặc pháp luật không quy định</w:t>
            </w:r>
          </w:p>
          <w:p>
            <w:pPr>
              <w:spacing w:after="20"/>
            </w:pPr>
            <w:r>
              <w:rPr>
                <w:b w:val="0"/>
                <w:sz w:val="19"/>
              </w:rPr>
              <w:t>Quy chế chi tiêu nội bộ, Bảng 7 mục 3, năm 2026 | Đề tài cấp cơ sở có đăng ký sở hữu trí tuệ | Trích 50% kinh phí chuyển giao công nghệ về Nhà trường, nếu có; không nêu phần của tác giả | Kinh phí chuyển giao công nghệ | Áp dụng từ ngày 01 tháng 8 năm 2026; kinh phí đề tài không quá 50 triệu đồng; nghiệm thu phải có chứng nhận đăng ký sở hữu trí tuệ</w:t>
            </w:r>
          </w:p>
          <w:p>
            <w:pPr>
              <w:spacing w:after="20"/>
            </w:pPr>
            <w:r>
              <w:rPr>
                <w:b w:val="0"/>
                <w:sz w:val="19"/>
              </w:rPr>
              <w:t>Điều lệ Quỹ Học bổng sau tiến sĩ Ngô Xuân Độ, Điều 9, năm 2025 | Sản phẩm hình thành từ kinh phí của Quỹ | Năm đầu 50% tác giả, 50% Trường; từ năm thứ hai 20% tác giả, 80% Trường | Chưa đối chiếu được văn bản gốc | Ghi theo thông tin được cung cấp, cần bổ sung văn bản</w:t>
            </w:r>
          </w:p>
          <w:p>
            <w:pPr>
              <w:spacing w:after="20"/>
            </w:pPr>
            <w:r>
              <w:rPr>
                <w:b w:val="0"/>
                <w:sz w:val="19"/>
              </w:rPr>
              <w:t>Luật số 93/2025/QH15, khoản 2 Điều 28 | Phần kết quả không sử dụng ngân sách nhà nước | Chủ sở hữu tự quyết định, kể cả thưởng cho tác giả | Lợi nhuận thu được tương ứng phần kết quả | Không quy định mức</w:t>
            </w:r>
          </w:p>
          <w:p>
            <w:pPr>
              <w:spacing w:after="20"/>
            </w:pPr>
            <w:r>
              <w:rPr>
                <w:b w:val="0"/>
                <w:sz w:val="19"/>
              </w:rPr>
              <w:t>Luật số 93/2025/QH15, khoản 3, khoản 4 Điều 28 | Phần kết quả nhiệm vụ sử dụng ngân sách nhà nước | Thưởng tác giả tối thiểu 30%; thưởng người tổ chức thương mại hóa; tái đầu tư; mục đích khác | Lợi nhuận sau thuế; hoặc giá trị kết quả khi góp vốn, liên doanh, thành lập doanh nghiệp | Nhiệm vụ giao từ ngày 01 tháng 10 năm 2025; nhiệm vụ giao từ ngày 01 tháng 01 năm 2023 nếu là sáng chế, kiểu dáng công nghiệp, thiết kế bố trí đã được cấp văn bằng, theo khoản 7 Điều 73</w:t>
            </w:r>
          </w:p>
          <w:p>
            <w:pPr>
              <w:spacing w:after="20"/>
            </w:pPr>
            <w:r>
              <w:rPr>
                <w:b w:val="0"/>
                <w:sz w:val="19"/>
              </w:rPr>
              <w:t>Luật Sở hữu trí tuệ, khoản 1 Điều 135 | Sáng chế, kiểu dáng công nghiệp, thiết kế bố trí, không phân biệt nguồn kinh phí | Thù lao cho tác giả theo thỏa thuận; mặc định 10% hoặc 15% | 10% lợi nhuận trước thuế khi tự sử dụng; 15% tổng số tiền nhận được mỗi lần trước thuế khi chuyển giao quyền sử dụng | Mức mặc định chỉ áp dụng khi không có thỏa thuận; trả trong suốt thời hạn bảo hộ; không đặt trần</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w:t>
            </w:r>
          </w:p>
        </w:tc>
      </w:tr>
      <w:tr>
        <w:tc>
          <w:tcPr>
            <w:tcW w:type="dxa" w:w="567"/>
          </w:tcPr>
          <w:p>
            <w:pPr>
              <w:spacing w:after="20"/>
            </w:pPr>
            <w:r/>
            <w:r>
              <w:rPr>
                <w:b w:val="0"/>
                <w:sz w:val="19"/>
              </w:rPr>
              <w:t>144</w:t>
            </w:r>
          </w:p>
        </w:tc>
        <w:tc>
          <w:tcPr>
            <w:tcW w:type="dxa" w:w="2041"/>
          </w:tcPr>
          <w:p>
            <w:pPr>
              <w:spacing w:after="20"/>
            </w:pPr>
            <w:r/>
            <w:r>
              <w:rPr>
                <w:b w:val="0"/>
                <w:sz w:val="19"/>
              </w:rPr>
              <w:t>Bảng 2.4, toàn bảng</w:t>
            </w:r>
          </w:p>
        </w:tc>
        <w:tc>
          <w:tcPr>
            <w:tcW w:type="dxa" w:w="5102"/>
          </w:tcPr>
          <w:p>
            <w:pPr>
              <w:spacing w:after="20"/>
            </w:pPr>
            <w:r/>
            <w:r>
              <w:rPr>
                <w:b w:val="0"/>
                <w:sz w:val="19"/>
              </w:rPr>
              <w:t>Bảng 2.4. Ba kênh tài trợ nghiên cứu và chế độ sở hữu trí tuệ tương ứng</w:t>
            </w:r>
          </w:p>
          <w:p>
            <w:pPr>
              <w:spacing w:after="20"/>
            </w:pPr>
            <w:r>
              <w:rPr>
                <w:b w:val="0"/>
                <w:sz w:val="19"/>
              </w:rPr>
              <w:t>Kênh tài trợ | Quy mô | Dòng chi cho phí nộp đơn | Kết quả tài sản trí tuệ</w:t>
            </w:r>
          </w:p>
          <w:p>
            <w:pPr>
              <w:spacing w:after="20"/>
            </w:pPr>
            <w:r>
              <w:rPr>
                <w:b w:val="0"/>
                <w:sz w:val="19"/>
              </w:rPr>
              <w:t>Đề tài cấp cơ sở, ngân sách của Trường | 38 đề tài giai đoạn 2021 - 2025; 19 đề tài được cấp tổng 424,75 triệu đồng, 16 đề tài chỉ quy đổi giờ, 3 đề tài tự tìm tài trợ | Không có | 11 đề tài có sản phẩm đủ điều kiện, 1 đơn sáng chế</w:t>
            </w:r>
          </w:p>
          <w:p>
            <w:pPr>
              <w:spacing w:after="20"/>
            </w:pPr>
            <w:r>
              <w:rPr>
                <w:b w:val="0"/>
                <w:sz w:val="19"/>
              </w:rPr>
              <w:t>Quỹ Học bổng sau tiến sĩ Ngô Xuân Độ | Ngân sách 5 tỷ đồng giai đoạn 2025 - 2029; 10 đến 15 học bổng mỗi năm, mức 50 đến 500 triệu đồng | Có, qua khoản chi phí khác tối đa bằng 50% chi trực tiếp | Quỹ hoạt động từ năm 2025, chưa có kết quả</w:t>
            </w:r>
          </w:p>
          <w:p>
            <w:pPr>
              <w:spacing w:after="20"/>
            </w:pPr>
            <w:r>
              <w:rPr>
                <w:b w:val="0"/>
                <w:sz w:val="19"/>
              </w:rPr>
              <w:t>Đề tài cấp quốc gia, Quỹ Phát triển khoa học và công nghệ quốc gia | 3 đề tài, tổng 4,67 tỷ đồng, giao năm 2024 và 2025 | Theo quy định của cơ quan tài trợ | Đang thực hiện, chưa nghiệm thu</w:t>
            </w:r>
          </w:p>
        </w:tc>
        <w:tc>
          <w:tcPr>
            <w:tcW w:type="dxa" w:w="5102"/>
          </w:tcPr>
          <w:p>
            <w:pPr>
              <w:spacing w:after="20"/>
            </w:pPr>
            <w:r/>
            <w:r>
              <w:rPr>
                <w:b w:val="0"/>
                <w:sz w:val="19"/>
              </w:rPr>
              <w:t>Bảng 2.4. Ba kênh tài trợ nghiên cứu và cơ chế chi cho xác lập quyền</w:t>
            </w:r>
          </w:p>
          <w:p>
            <w:pPr>
              <w:spacing w:after="20"/>
            </w:pPr>
            <w:r>
              <w:rPr>
                <w:b w:val="0"/>
                <w:sz w:val="19"/>
              </w:rPr>
              <w:t>Kênh tài trợ | Quy mô | Cơ chế chi cho xác lập quyền | Kết quả tài sản trí tuệ trong kỳ</w:t>
            </w:r>
          </w:p>
          <w:p>
            <w:pPr>
              <w:spacing w:after="20"/>
            </w:pPr>
            <w:r>
              <w:rPr>
                <w:b w:val="0"/>
                <w:sz w:val="19"/>
              </w:rPr>
              <w:t>Đề tài cấp cơ sở, ngân sách của Trường | 38 đề tài giai đoạn 2021 - 2025; 19 đề tài được cấp tổng 424,75 triệu đồng, 16 đề tài chỉ quy đổi giờ, 3 đề tài tự tìm tài trợ | Điều 35 Quyết định 213 giao Phòng Khoa học Công nghệ nộp đơn, lệ phí; Điều 38 cho phép chi thuê ngoài, chi khác liên quan trực tiếp; chưa thấy dự toán riêng | 11 đề tài có sản phẩm tiềm năng, trong đó 9 thuộc sở hữu công nghiệp; 1 đơn sáng chế</w:t>
            </w:r>
          </w:p>
          <w:p>
            <w:pPr>
              <w:spacing w:after="20"/>
            </w:pPr>
            <w:r>
              <w:rPr>
                <w:b w:val="0"/>
                <w:sz w:val="19"/>
              </w:rPr>
              <w:t>Quỹ Học bổng sau tiến sĩ Ngô Xuân Độ | Ngân sách 5 tỷ đồng giai đoạn 2025 - 2029; 10 đến 15 học bổng mỗi năm, mức 50 đến 500 triệu đồng | Khoản chi phí khác tối đa bằng 50% chi trực tiếp | Quỹ hoạt động từ năm 2025, chưa có kết quả</w:t>
            </w:r>
          </w:p>
          <w:p>
            <w:pPr>
              <w:spacing w:after="20"/>
            </w:pPr>
            <w:r>
              <w:rPr>
                <w:b w:val="0"/>
                <w:sz w:val="19"/>
              </w:rPr>
              <w:t>Đề tài cấp quốc gia, Quỹ Phát triển khoa học và công nghệ quốc gia | 3 đề tài, tổng 4,67 tỷ đồng, phê duyệt năm 2024 và 2025 | Theo quy định của cơ quan tài trợ | Đang thực hiện, chưa nghiệm thu</w:t>
            </w:r>
          </w:p>
        </w:tc>
        <w:tc>
          <w:tcPr>
            <w:tcW w:type="dxa" w:w="1984"/>
          </w:tcPr>
          <w:p>
            <w:pPr>
              <w:spacing w:after="20"/>
            </w:pPr>
            <w:r/>
            <w:r>
              <w:rPr>
                <w:b w:val="0"/>
                <w:sz w:val="19"/>
              </w:rPr>
              <w:t>Góp ý mục 3: Điều 35, Điều 38 và các biểu mẫu Quyết định 213; Điều 10, Điều 11 Quyết định 217; Góp ý mục 1: phân biệt quy định, thực hiện, thống kê, nhận định; không suy chưa thấy thành không có</w:t>
            </w:r>
          </w:p>
        </w:tc>
      </w:tr>
      <w:tr>
        <w:tc>
          <w:tcPr>
            <w:tcW w:type="dxa" w:w="567"/>
          </w:tcPr>
          <w:p>
            <w:pPr>
              <w:spacing w:after="20"/>
            </w:pPr>
            <w:r/>
            <w:r>
              <w:rPr>
                <w:b w:val="0"/>
                <w:sz w:val="19"/>
              </w:rPr>
              <w:t>145</w:t>
            </w:r>
          </w:p>
        </w:tc>
        <w:tc>
          <w:tcPr>
            <w:tcW w:type="dxa" w:w="2041"/>
          </w:tcPr>
          <w:p>
            <w:pPr>
              <w:spacing w:after="20"/>
            </w:pPr>
            <w:r/>
            <w:r>
              <w:rPr>
                <w:b w:val="0"/>
                <w:sz w:val="19"/>
              </w:rPr>
              <w:t>Bảng 2.5, toàn bảng</w:t>
            </w:r>
          </w:p>
        </w:tc>
        <w:tc>
          <w:tcPr>
            <w:tcW w:type="dxa" w:w="5102"/>
          </w:tcPr>
          <w:p>
            <w:pPr>
              <w:spacing w:after="20"/>
            </w:pPr>
            <w:r/>
            <w:r>
              <w:rPr>
                <w:b w:val="0"/>
                <w:sz w:val="19"/>
              </w:rPr>
              <w:t>Bảng 2.5. Đối sánh đối tượng quyền theo Luật, theo quy chế nội bộ và theo thực tế phát sinh</w:t>
            </w:r>
          </w:p>
          <w:p>
            <w:pPr>
              <w:spacing w:after="20"/>
            </w:pPr>
            <w:r>
              <w:rPr>
                <w:b w:val="0"/>
                <w:sz w:val="19"/>
              </w:rPr>
              <w:t>Nhóm quyền | Đối tượng | Quy chế có liệt kê | Thực tế phát sinh | Đã xác lập quyền</w:t>
            </w:r>
          </w:p>
          <w:p>
            <w:pPr>
              <w:spacing w:after="20"/>
            </w:pPr>
            <w:r>
              <w:rPr>
                <w:b w:val="0"/>
                <w:sz w:val="19"/>
              </w:rPr>
              <w:t>Quyền tác giả | Bài báo, sách | Có | 405 bài báo, 12 sách | Chưa</w:t>
            </w:r>
          </w:p>
          <w:p>
            <w:pPr>
              <w:spacing w:after="20"/>
            </w:pPr>
            <w:r>
              <w:rPr>
                <w:b w:val="0"/>
                <w:sz w:val="19"/>
              </w:rPr>
              <w:t>Quyền tác giả | Giáo trình, tài liệu giảng dạy | Có | 87 tài liệu | Chưa</w:t>
            </w:r>
          </w:p>
          <w:p>
            <w:pPr>
              <w:spacing w:after="20"/>
            </w:pPr>
            <w:r>
              <w:rPr>
                <w:b w:val="0"/>
                <w:sz w:val="19"/>
              </w:rPr>
              <w:t>Quyền tác giả | Chương trình đào tạo, ngân hàng đề thi, phần mềm | Có | Chưa thống kê | Chưa</w:t>
            </w:r>
          </w:p>
          <w:p>
            <w:pPr>
              <w:spacing w:after="20"/>
            </w:pPr>
            <w:r>
              <w:rPr>
                <w:b w:val="0"/>
                <w:sz w:val="19"/>
              </w:rPr>
              <w:t>Quyền tác giả | Sưu tập dữ liệu | Có, tại Quyết định 217 | Bộ mẫu cây thuốc, bộ tiêu bản | Chưa</w:t>
            </w:r>
          </w:p>
          <w:p>
            <w:pPr>
              <w:spacing w:after="20"/>
            </w:pPr>
            <w:r>
              <w:rPr>
                <w:b w:val="0"/>
                <w:sz w:val="19"/>
              </w:rPr>
              <w:t>Quyền tác giả | Logo, bộ nhận diện | Có | 2 văn bằng</w:t>
            </w:r>
          </w:p>
          <w:p>
            <w:pPr>
              <w:spacing w:after="20"/>
            </w:pPr>
            <w:r>
              <w:rPr>
                <w:b w:val="0"/>
                <w:sz w:val="19"/>
              </w:rPr>
              <w:t>Sở hữu công nghiệp | Sáng chế | Có | 2 đơn đang xử lý</w:t>
            </w:r>
          </w:p>
          <w:p>
            <w:pPr>
              <w:spacing w:after="20"/>
            </w:pPr>
            <w:r>
              <w:rPr>
                <w:b w:val="0"/>
                <w:sz w:val="19"/>
              </w:rPr>
              <w:t>Sở hữu công nghiệp | Giải pháp hữu ích | Có | Công thức, quy trình từ đề tài | Chưa</w:t>
            </w:r>
          </w:p>
          <w:p>
            <w:pPr>
              <w:spacing w:after="20"/>
            </w:pPr>
            <w:r>
              <w:rPr>
                <w:b w:val="0"/>
                <w:sz w:val="19"/>
              </w:rPr>
              <w:t>Sở hữu công nghiệp | Kiểu dáng công nghiệp | Có | 5 văn bằng</w:t>
            </w:r>
          </w:p>
          <w:p>
            <w:pPr>
              <w:spacing w:after="20"/>
            </w:pPr>
            <w:r>
              <w:rPr>
                <w:b w:val="0"/>
                <w:sz w:val="19"/>
              </w:rPr>
              <w:t>Sở hữu công nghiệp | Nhãn hiệu | Có | 2 văn bằng, 1 đơn</w:t>
            </w:r>
          </w:p>
          <w:p>
            <w:pPr>
              <w:spacing w:after="20"/>
            </w:pPr>
            <w:r>
              <w:rPr>
                <w:b w:val="0"/>
                <w:sz w:val="19"/>
              </w:rPr>
              <w:t>Sở hữu công nghiệp | Bí mật kinh doanh | Có, tại Quyết định 217 | Công thức chưa công bố | Không áp dụng đăng ký</w:t>
            </w:r>
          </w:p>
        </w:tc>
        <w:tc>
          <w:tcPr>
            <w:tcW w:type="dxa" w:w="5102"/>
          </w:tcPr>
          <w:p>
            <w:pPr>
              <w:spacing w:after="20"/>
            </w:pPr>
            <w:r/>
            <w:r>
              <w:rPr>
                <w:b w:val="0"/>
                <w:sz w:val="19"/>
              </w:rPr>
              <w:t>Bảng 2.5. Đối sánh đối tượng quyền theo Luật, theo quy chế nội bộ và theo thực tế phát sinh</w:t>
            </w:r>
          </w:p>
          <w:p>
            <w:pPr>
              <w:spacing w:after="20"/>
            </w:pPr>
            <w:r>
              <w:rPr>
                <w:b w:val="0"/>
                <w:sz w:val="19"/>
              </w:rPr>
              <w:t>Nhóm quyền | Đối tượng | Quy chế có liệt kê | Thực tế phát sinh | Tình trạng xác lập, đăng ký</w:t>
            </w:r>
          </w:p>
          <w:p>
            <w:pPr>
              <w:spacing w:after="20"/>
            </w:pPr>
            <w:r>
              <w:rPr>
                <w:b w:val="0"/>
                <w:sz w:val="19"/>
              </w:rPr>
              <w:t>Quyền tác giả | Bài báo, sách | Có | 405 bài báo, 12 sách | Quyền phát sinh tự động; chưa đăng ký</w:t>
            </w:r>
          </w:p>
          <w:p>
            <w:pPr>
              <w:spacing w:after="20"/>
            </w:pPr>
            <w:r>
              <w:rPr>
                <w:b w:val="0"/>
                <w:sz w:val="19"/>
              </w:rPr>
              <w:t>Quyền tác giả | Giáo trình, tài liệu giảng dạy | Có | 87 tài liệu | Quyền phát sinh tự động; chưa đăng ký</w:t>
            </w:r>
          </w:p>
          <w:p>
            <w:pPr>
              <w:spacing w:after="20"/>
            </w:pPr>
            <w:r>
              <w:rPr>
                <w:b w:val="0"/>
                <w:sz w:val="19"/>
              </w:rPr>
              <w:t>Quyền tác giả | Chương trình đào tạo, ngân hàng đề thi, phần mềm | Có | Chưa thống kê</w:t>
            </w:r>
          </w:p>
          <w:p>
            <w:pPr>
              <w:spacing w:after="20"/>
            </w:pPr>
            <w:r>
              <w:rPr>
                <w:b w:val="0"/>
                <w:sz w:val="19"/>
              </w:rPr>
              <w:t>Quyền tác giả | Sưu tập dữ liệu | Có, tại Quyết định 217 | Bộ mẫu cây thuốc, bộ tiêu bản | Chưa đăng ký</w:t>
            </w:r>
          </w:p>
          <w:p>
            <w:pPr>
              <w:spacing w:after="20"/>
            </w:pPr>
            <w:r>
              <w:rPr>
                <w:b w:val="0"/>
                <w:sz w:val="19"/>
              </w:rPr>
              <w:t>Quyền tác giả | Logo, bộ nhận diện | Có | 2 giấy chứng nhận</w:t>
            </w:r>
          </w:p>
          <w:p>
            <w:pPr>
              <w:spacing w:after="20"/>
            </w:pPr>
            <w:r>
              <w:rPr>
                <w:b w:val="0"/>
                <w:sz w:val="19"/>
              </w:rPr>
              <w:t>Sở hữu công nghiệp | Sáng chế | Có | 1 đơn năm 2025; 1 đơn năm 2026</w:t>
            </w:r>
          </w:p>
          <w:p>
            <w:pPr>
              <w:spacing w:after="20"/>
            </w:pPr>
            <w:r>
              <w:rPr>
                <w:b w:val="0"/>
                <w:sz w:val="19"/>
              </w:rPr>
              <w:t>Sở hữu công nghiệp | Giải pháp hữu ích | Có | Công thức, quy trình từ đề tài | Chưa có đơn</w:t>
            </w:r>
          </w:p>
          <w:p>
            <w:pPr>
              <w:spacing w:after="20"/>
            </w:pPr>
            <w:r>
              <w:rPr>
                <w:b w:val="0"/>
                <w:sz w:val="19"/>
              </w:rPr>
              <w:t>Sở hữu công nghiệp | Kiểu dáng công nghiệp | Có | 5 hồ sơ có số hiệu văn bằng, trạng thái chưa xác minh</w:t>
            </w:r>
          </w:p>
          <w:p>
            <w:pPr>
              <w:spacing w:after="20"/>
            </w:pPr>
            <w:r>
              <w:rPr>
                <w:b w:val="0"/>
                <w:sz w:val="19"/>
              </w:rPr>
              <w:t>Sở hữu công nghiệp | Nhãn hiệu | Có | 2 văn bằng, 1 đơn</w:t>
            </w:r>
          </w:p>
          <w:p>
            <w:pPr>
              <w:spacing w:after="20"/>
            </w:pPr>
            <w:r>
              <w:rPr>
                <w:b w:val="0"/>
                <w:sz w:val="19"/>
              </w:rPr>
              <w:t>Sở hữu công nghiệp | Bí mật kinh doanh | Có, tại Quyết định 217 | Công thức chưa công bố | Không áp dụng đăng ký</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146</w:t>
            </w:r>
          </w:p>
        </w:tc>
        <w:tc>
          <w:tcPr>
            <w:tcW w:type="dxa" w:w="2041"/>
          </w:tcPr>
          <w:p>
            <w:pPr>
              <w:spacing w:after="20"/>
            </w:pPr>
            <w:r/>
            <w:r>
              <w:rPr>
                <w:b w:val="0"/>
                <w:sz w:val="19"/>
              </w:rPr>
              <w:t>Bảng 2.6, toàn bảng</w:t>
            </w:r>
          </w:p>
        </w:tc>
        <w:tc>
          <w:tcPr>
            <w:tcW w:type="dxa" w:w="5102"/>
          </w:tcPr>
          <w:p>
            <w:pPr>
              <w:spacing w:after="20"/>
            </w:pPr>
            <w:r/>
            <w:r>
              <w:rPr>
                <w:b w:val="0"/>
                <w:sz w:val="19"/>
              </w:rPr>
              <w:t>Bảng 2.6. Tài sản trí tuệ thuộc sở hữu của Trường Đại học Thành Đô</w:t>
            </w:r>
          </w:p>
          <w:p>
            <w:pPr>
              <w:spacing w:after="20"/>
            </w:pPr>
            <w:r>
              <w:rPr>
                <w:b w:val="0"/>
                <w:sz w:val="19"/>
              </w:rPr>
              <w:t>TT | Loại hình | Tên tài sản | Năm | Trạng thái | Cơ cấu sở hữu | Nguồn hình thành</w:t>
            </w:r>
          </w:p>
          <w:p>
            <w:pPr>
              <w:spacing w:after="20"/>
            </w:pPr>
            <w:r>
              <w:rPr>
                <w:b w:val="0"/>
                <w:sz w:val="19"/>
              </w:rPr>
              <w:t>1 | Quyền tác giả | Bộ Logo Trường Đại học Thành Đô | 2021 | Đã cấp văn bằng | Trường đơn sở hữu | Thương hiệu</w:t>
            </w:r>
          </w:p>
          <w:p>
            <w:pPr>
              <w:spacing w:after="20"/>
            </w:pPr>
            <w:r>
              <w:rPr>
                <w:b w:val="0"/>
                <w:sz w:val="19"/>
              </w:rPr>
              <w:t>2 | Quyền tác giả | Bộ Logo Hệ sinh thái giáo dục | 2023 | Đã cấp văn bằng | Trường đơn sở hữu | Thương hiệu</w:t>
            </w:r>
          </w:p>
          <w:p>
            <w:pPr>
              <w:spacing w:after="20"/>
            </w:pPr>
            <w:r>
              <w:rPr>
                <w:b w:val="0"/>
                <w:sz w:val="19"/>
              </w:rPr>
              <w:t>3 | Nhãn hiệu | Thanh do University | 2023 | Đã cấp văn bằng | Trường đơn sở hữu | Thương hiệu</w:t>
            </w:r>
          </w:p>
          <w:p>
            <w:pPr>
              <w:spacing w:after="20"/>
            </w:pPr>
            <w:r>
              <w:rPr>
                <w:b w:val="0"/>
                <w:sz w:val="19"/>
              </w:rPr>
              <w:t>4 | Nhãn hiệu | Thado Edupark | 2025 | Đã cấp văn bằng | Trường đơn sở hữu | Thương hiệu</w:t>
            </w:r>
          </w:p>
          <w:p>
            <w:pPr>
              <w:spacing w:after="20"/>
            </w:pPr>
            <w:r>
              <w:rPr>
                <w:b w:val="0"/>
                <w:sz w:val="19"/>
              </w:rPr>
              <w:t>5 | Nhãn hiệu | Double2n | 2023 | Đang xử lý | Đồng sở hữu với doanh nghiệp | Hợp tác doanh nghiệp</w:t>
            </w:r>
          </w:p>
          <w:p>
            <w:pPr>
              <w:spacing w:after="20"/>
            </w:pPr>
            <w:r>
              <w:rPr>
                <w:b w:val="0"/>
                <w:sz w:val="19"/>
              </w:rPr>
              <w:t>6 | Kiểu dáng công nghiệp | Dung dịch vệ sinh phụ nữ | 2024 | Đã cấp văn bằng | Đồng sở hữu với doanh nghiệp | Hợp tác doanh nghiệp</w:t>
            </w:r>
          </w:p>
          <w:p>
            <w:pPr>
              <w:spacing w:after="20"/>
            </w:pPr>
            <w:r>
              <w:rPr>
                <w:b w:val="0"/>
                <w:sz w:val="19"/>
              </w:rPr>
              <w:t>7 | Kiểu dáng công nghiệp | Tinh dầu vỏ bưởi đào | 2024 | Đã cấp văn bằng | Đồng sở hữu với doanh nghiệp | Hợp tác doanh nghiệp</w:t>
            </w:r>
          </w:p>
          <w:p>
            <w:pPr>
              <w:spacing w:after="20"/>
            </w:pPr>
            <w:r>
              <w:rPr>
                <w:b w:val="0"/>
                <w:sz w:val="19"/>
              </w:rPr>
              <w:t>8 | Kiểu dáng công nghiệp | Xịt miệng - họng thảo dược | 2024 | Đã cấp văn bằng | Đồng sở hữu với doanh nghiệp | Hợp tác doanh nghiệp</w:t>
            </w:r>
          </w:p>
          <w:p>
            <w:pPr>
              <w:spacing w:after="20"/>
            </w:pPr>
            <w:r>
              <w:rPr>
                <w:b w:val="0"/>
                <w:sz w:val="19"/>
              </w:rPr>
              <w:t>9 | Kiểu dáng công nghiệp | Dầu gội nha đam - bưởi đào | 2024 | Đã cấp văn bằng | Đồng sở hữu với doanh nghiệp | Hợp tác doanh nghiệp</w:t>
            </w:r>
          </w:p>
          <w:p>
            <w:pPr>
              <w:spacing w:after="20"/>
            </w:pPr>
            <w:r>
              <w:rPr>
                <w:b w:val="0"/>
                <w:sz w:val="19"/>
              </w:rPr>
              <w:t>10 | Kiểu dáng công nghiệp | Kem ủ xả tóc từ Bưởi, Bơ, Dừa | 2024 | Đã cấp văn bằng | Đồng sở hữu với doanh nghiệp | Hợp tác doanh nghiệp</w:t>
            </w:r>
          </w:p>
          <w:p>
            <w:pPr>
              <w:spacing w:after="20"/>
            </w:pPr>
            <w:r>
              <w:rPr>
                <w:b w:val="0"/>
                <w:sz w:val="19"/>
              </w:rPr>
              <w:t>11 | Sáng chế | Hợp chất furofuran lignan glucoside từ lá cây quế hoa | 2025 | Đang xử lý | Trường đơn sở hữu | Nghiên cứu</w:t>
            </w:r>
          </w:p>
          <w:p>
            <w:pPr>
              <w:spacing w:after="20"/>
            </w:pPr>
            <w:r>
              <w:rPr>
                <w:b w:val="0"/>
                <w:sz w:val="19"/>
              </w:rPr>
              <w:t>12 | Sáng chế | Phương pháp chiết tách hợp chất Isoembigenin từ cây Piper aduncum L | 2026 | Đang xử lý | Trường đơn sở hữu | Nghiên cứu</w:t>
            </w:r>
          </w:p>
        </w:tc>
        <w:tc>
          <w:tcPr>
            <w:tcW w:type="dxa" w:w="5102"/>
          </w:tcPr>
          <w:p>
            <w:pPr>
              <w:spacing w:after="20"/>
            </w:pPr>
            <w:r/>
            <w:r>
              <w:rPr>
                <w:b w:val="0"/>
                <w:sz w:val="19"/>
              </w:rPr>
              <w:t>Bảng 2.6. Hồ sơ tài sản trí tuệ thuộc sở hữu hoặc đồng sở hữu của Trường Đại học Thành Đô</w:t>
            </w:r>
          </w:p>
          <w:p>
            <w:pPr>
              <w:spacing w:after="20"/>
            </w:pPr>
            <w:r>
              <w:rPr>
                <w:b w:val="0"/>
                <w:sz w:val="19"/>
              </w:rPr>
              <w:t>TT | Loại hình | Tên tài sản | Số đơn, số hiệu | Năm | Trạng thái | Chủ sở hữu</w:t>
            </w:r>
          </w:p>
          <w:p>
            <w:pPr>
              <w:spacing w:after="20"/>
            </w:pPr>
            <w:r>
              <w:rPr>
                <w:b w:val="0"/>
                <w:sz w:val="19"/>
              </w:rPr>
              <w:t>1 | Quyền tác giả | Bộ Logo Trường Đại học Thành Đô | Giấy chứng nhận 6534/2021/QTG | 2021 | Đã cấp văn bằng, giấy chứng nhận | Trường</w:t>
            </w:r>
          </w:p>
          <w:p>
            <w:pPr>
              <w:spacing w:after="20"/>
            </w:pPr>
            <w:r>
              <w:rPr>
                <w:b w:val="0"/>
                <w:sz w:val="19"/>
              </w:rPr>
              <w:t>2 | Quyền tác giả | Bộ Logo Hệ sinh thái giáo dục Trường Đại học Thành Đô | Giấy chứng nhận 5790/2023/QTG | 2023 | Đã cấp văn bằng, giấy chứng nhận | Trường</w:t>
            </w:r>
          </w:p>
          <w:p>
            <w:pPr>
              <w:spacing w:after="20"/>
            </w:pPr>
            <w:r>
              <w:rPr>
                <w:b w:val="0"/>
                <w:sz w:val="19"/>
              </w:rPr>
              <w:t>3 | Nhãn hiệu | Thanh do University | Đơn 4-2021-34771; văn bằng 468353 | 2023 | Đã cấp văn bằng, giấy chứng nhận | Trường</w:t>
            </w:r>
          </w:p>
          <w:p>
            <w:pPr>
              <w:spacing w:after="20"/>
            </w:pPr>
            <w:r>
              <w:rPr>
                <w:b w:val="0"/>
                <w:sz w:val="19"/>
              </w:rPr>
              <w:t>4 | Nhãn hiệu | Thado Edupark | Đơn 4-2023-22141; văn bằng 545780 | 2025 | Đã cấp văn bằng, giấy chứng nhận | Trường</w:t>
            </w:r>
          </w:p>
          <w:p>
            <w:pPr>
              <w:spacing w:after="20"/>
            </w:pPr>
            <w:r>
              <w:rPr>
                <w:b w:val="0"/>
                <w:sz w:val="19"/>
              </w:rPr>
              <w:t>5 | Nhãn hiệu | Double2n | Đơn 4-2023-42540 | 2023 | Đã nộp đơn | Đồng sở hữu</w:t>
            </w:r>
          </w:p>
          <w:p>
            <w:pPr>
              <w:spacing w:after="20"/>
            </w:pPr>
            <w:r>
              <w:rPr>
                <w:b w:val="0"/>
                <w:sz w:val="19"/>
              </w:rPr>
              <w:t>6 | Kiểu dáng công nghiệp | Dung dịch vệ sinh phụ nữ | Đơn 3-2023-02841; số hiệu 3-0039693-000 | 2024 | Chưa xác minh | Đồng sở hữu</w:t>
            </w:r>
          </w:p>
          <w:p>
            <w:pPr>
              <w:spacing w:after="20"/>
            </w:pPr>
            <w:r>
              <w:rPr>
                <w:b w:val="0"/>
                <w:sz w:val="19"/>
              </w:rPr>
              <w:t>7 | Kiểu dáng công nghiệp | Tinh dầu vỏ bưởi đào | Đơn 3-2023-02842; số hiệu 3-0039694-000 | 2024 | Chưa xác minh | Đồng sở hữu</w:t>
            </w:r>
          </w:p>
          <w:p>
            <w:pPr>
              <w:spacing w:after="20"/>
            </w:pPr>
            <w:r>
              <w:rPr>
                <w:b w:val="0"/>
                <w:sz w:val="19"/>
              </w:rPr>
              <w:t>8 | Kiểu dáng công nghiệp | Xịt miệng - họng thảo dược | Đơn 3-2023-02843; số hiệu 3-0039902-000 | 2024 | Chưa xác minh | Đồng sở hữu</w:t>
            </w:r>
          </w:p>
          <w:p>
            <w:pPr>
              <w:spacing w:after="20"/>
            </w:pPr>
            <w:r>
              <w:rPr>
                <w:b w:val="0"/>
                <w:sz w:val="19"/>
              </w:rPr>
              <w:t>9 | Kiểu dáng công nghiệp | Dầu gội nha đam - bưởi đào | Đơn 3-2023-02844; số hiệu 3-0039695-000 | 2024 | Chưa xác minh | Đồng sở hữu</w:t>
            </w:r>
          </w:p>
          <w:p>
            <w:pPr>
              <w:spacing w:after="20"/>
            </w:pPr>
            <w:r>
              <w:rPr>
                <w:b w:val="0"/>
                <w:sz w:val="19"/>
              </w:rPr>
              <w:t>10 | Kiểu dáng công nghiệp | Kem ủ xả tóc chiết xuất từ Bưởi - Bơ - Dừa | Đơn 3-2023-02845; số hiệu 3-0039696-000 | 2024 | Chưa xác minh | Đồng sở hữu</w:t>
            </w:r>
          </w:p>
          <w:p>
            <w:pPr>
              <w:spacing w:after="20"/>
            </w:pPr>
            <w:r>
              <w:rPr>
                <w:b w:val="0"/>
                <w:sz w:val="19"/>
              </w:rPr>
              <w:t>11 | Sáng chế | Hợp chất furofuran lignan glucoside và phương pháp chiết từ lá cây quế hoa | Đơn 1-2025-07378 | 2025 | Đã nộp đơn | Trường</w:t>
            </w:r>
          </w:p>
          <w:p>
            <w:pPr>
              <w:spacing w:after="20"/>
            </w:pPr>
            <w:r>
              <w:rPr>
                <w:b w:val="0"/>
                <w:sz w:val="19"/>
              </w:rPr>
              <w:t>12 | Sáng chế | Phương pháp chiết tách và phân lập hợp chất Isoembigenin từ cây Piper aduncum L | Đơn 1-2026-07185 | 2026 | Đã nộp đơn | Trường</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147</w:t>
            </w:r>
          </w:p>
        </w:tc>
        <w:tc>
          <w:tcPr>
            <w:tcW w:type="dxa" w:w="2041"/>
          </w:tcPr>
          <w:p>
            <w:pPr>
              <w:spacing w:after="20"/>
            </w:pPr>
            <w:r/>
            <w:r>
              <w:rPr>
                <w:b w:val="0"/>
                <w:sz w:val="19"/>
              </w:rPr>
              <w:t>Bảng 2.7, toàn bảng</w:t>
            </w:r>
          </w:p>
        </w:tc>
        <w:tc>
          <w:tcPr>
            <w:tcW w:type="dxa" w:w="5102"/>
          </w:tcPr>
          <w:p>
            <w:pPr>
              <w:spacing w:after="20"/>
            </w:pPr>
            <w:r/>
            <w:r>
              <w:rPr>
                <w:b w:val="0"/>
                <w:sz w:val="19"/>
              </w:rPr>
              <w:t>Bảng 2.7. Đề tài cấp cơ sở có sản phẩm đủ điều kiện xác lập quyền, giai đoạn 2021 - 2025</w:t>
            </w:r>
          </w:p>
          <w:p>
            <w:pPr>
              <w:spacing w:after="20"/>
            </w:pPr>
            <w:r>
              <w:rPr>
                <w:b w:val="0"/>
                <w:sz w:val="19"/>
              </w:rPr>
              <w:t>Năm | Đơn vị chủ trì | Sản phẩm nghiệm thu | Nhóm quyền có thể xác lập | Tình trạng</w:t>
            </w:r>
          </w:p>
          <w:p>
            <w:pPr>
              <w:spacing w:after="20"/>
            </w:pPr>
            <w:r>
              <w:rPr>
                <w:b w:val="0"/>
                <w:sz w:val="19"/>
              </w:rPr>
              <w:t>2022 | Khoa Công nghệ kỹ thuật Ô tô | Mô hình kiểm tra và sửa chữa hệ thống khởi động điện trên ô tô | Kiểu dáng công nghiệp hoặc giải pháp hữu ích | Chưa nộp</w:t>
            </w:r>
          </w:p>
          <w:p>
            <w:pPr>
              <w:spacing w:after="20"/>
            </w:pPr>
            <w:r>
              <w:rPr>
                <w:b w:val="0"/>
                <w:sz w:val="19"/>
              </w:rPr>
              <w:t>2022 | Khoa Dược | Sản phẩm cầm máu dạng màng | Giải pháp hữu ích hoặc sáng chế | Chưa nộp</w:t>
            </w:r>
          </w:p>
          <w:p>
            <w:pPr>
              <w:spacing w:after="20"/>
            </w:pPr>
            <w:r>
              <w:rPr>
                <w:b w:val="0"/>
                <w:sz w:val="19"/>
              </w:rPr>
              <w:t>2022 | Khoa Dược | Bộ mẫu cây thuốc | Sưu tập dữ liệu | Chưa nộp</w:t>
            </w:r>
          </w:p>
          <w:p>
            <w:pPr>
              <w:spacing w:after="20"/>
            </w:pPr>
            <w:r>
              <w:rPr>
                <w:b w:val="0"/>
                <w:sz w:val="19"/>
              </w:rPr>
              <w:t>2023 | Viện Nghiên cứu giáo dục và Chuyển giao tri thức | Tinh dầu Citrus grandis, hồ sơ ghi chuyển giao cho Trường thương mại hóa | Giải pháp hữu ích | Chưa nộp</w:t>
            </w:r>
          </w:p>
          <w:p>
            <w:pPr>
              <w:spacing w:after="20"/>
            </w:pPr>
            <w:r>
              <w:rPr>
                <w:b w:val="0"/>
                <w:sz w:val="19"/>
              </w:rPr>
              <w:t>2024 | Khoa Dược | Xà phòng hữu cơ tảo biển kèm quy trình và công thức | Giải pháp hữu ích | Chưa nộp</w:t>
            </w:r>
          </w:p>
          <w:p>
            <w:pPr>
              <w:spacing w:after="20"/>
            </w:pPr>
            <w:r>
              <w:rPr>
                <w:b w:val="0"/>
                <w:sz w:val="19"/>
              </w:rPr>
              <w:t>2024 | Khoa Dược | 100 tiêu bản hiển vi và cẩm nang phát hiện giun sán | Sưu tập dữ liệu, quyền tác giả | Chưa nộp</w:t>
            </w:r>
          </w:p>
          <w:p>
            <w:pPr>
              <w:spacing w:after="20"/>
            </w:pPr>
            <w:r>
              <w:rPr>
                <w:b w:val="0"/>
                <w:sz w:val="19"/>
              </w:rPr>
              <w:t>2024 | Khoa Dược | Rutin độ tinh khiết 90% kèm quy trình chiết xuất, tinh chế | Giải pháp hữu ích hoặc sáng chế | Chưa nộp</w:t>
            </w:r>
          </w:p>
          <w:p>
            <w:pPr>
              <w:spacing w:after="20"/>
            </w:pPr>
            <w:r>
              <w:rPr>
                <w:b w:val="0"/>
                <w:sz w:val="19"/>
              </w:rPr>
              <w:t>2024 | Khoa Dược | Thang thuốc 100 ml kèm công thức và quy trình sắc | Giải pháp hữu ích | Chưa nộp</w:t>
            </w:r>
          </w:p>
          <w:p>
            <w:pPr>
              <w:spacing w:after="20"/>
            </w:pPr>
            <w:r>
              <w:rPr>
                <w:b w:val="0"/>
                <w:sz w:val="19"/>
              </w:rPr>
              <w:t>2025 | Viện Y - Dược | Công thức cồn thuốc xoa bóp, hồ sơ ghi dự kiến đăng ký giải pháp hữu ích | Giải pháp hữu ích | Chưa nộp</w:t>
            </w:r>
          </w:p>
          <w:p>
            <w:pPr>
              <w:spacing w:after="20"/>
            </w:pPr>
            <w:r>
              <w:rPr>
                <w:b w:val="0"/>
                <w:sz w:val="19"/>
              </w:rPr>
              <w:t>2025 | Viện Y - Dược | Quy trình bào chế viên ngậm giảm ho, hồ sơ ghi dự kiến đăng ký giải pháp hữu ích | Giải pháp hữu ích | Chưa nộp</w:t>
            </w:r>
          </w:p>
          <w:p>
            <w:pPr>
              <w:spacing w:after="20"/>
            </w:pPr>
            <w:r>
              <w:rPr>
                <w:b w:val="0"/>
                <w:sz w:val="19"/>
              </w:rPr>
              <w:t>2025 | Viện Y - Dược | Chiết xuất lá Quế hoa, hồ sơ ghi giai đoạn 2 là sáng chế | Sáng chế | Đã nộp đơn năm 2025</w:t>
            </w:r>
          </w:p>
        </w:tc>
        <w:tc>
          <w:tcPr>
            <w:tcW w:type="dxa" w:w="5102"/>
          </w:tcPr>
          <w:p>
            <w:pPr>
              <w:spacing w:after="20"/>
            </w:pPr>
            <w:r/>
            <w:r>
              <w:rPr>
                <w:b w:val="0"/>
                <w:sz w:val="19"/>
              </w:rPr>
              <w:t>Bảng 2.7. Đề tài cấp cơ sở có sản phẩm tiềm năng tạo lập tài sản trí tuệ, giai đoạn 2021 - 2025</w:t>
            </w:r>
          </w:p>
          <w:p>
            <w:pPr>
              <w:spacing w:after="20"/>
            </w:pPr>
            <w:r>
              <w:rPr>
                <w:b w:val="0"/>
                <w:sz w:val="19"/>
              </w:rPr>
              <w:t>Mã số | Đơn vị chủ trì | Sản phẩm nghiệm thu | Nhóm quyền dự kiến | Nghiệm thu | Tình trạng</w:t>
            </w:r>
          </w:p>
          <w:p>
            <w:pPr>
              <w:spacing w:after="20"/>
            </w:pPr>
            <w:r>
              <w:rPr>
                <w:b w:val="0"/>
                <w:sz w:val="19"/>
              </w:rPr>
              <w:t>37-2022 | Khoa Công nghệ kỹ thuật Ô tô | Mô hình kiểm tra và sửa chữa hệ thống khởi động điện trên ô tô | Kiểu dáng công nghiệp hoặc giải pháp hữu ích | 09/11/2022 | Chưa có đơn</w:t>
            </w:r>
          </w:p>
          <w:p>
            <w:pPr>
              <w:spacing w:after="20"/>
            </w:pPr>
            <w:r>
              <w:rPr>
                <w:b w:val="0"/>
                <w:sz w:val="19"/>
              </w:rPr>
              <w:t>39-2022 | Khoa Dược | Sản phẩm cầm máu dạng màng | Giải pháp hữu ích hoặc sáng chế | 10/11/2022 | Chưa có đơn</w:t>
            </w:r>
          </w:p>
          <w:p>
            <w:pPr>
              <w:spacing w:after="20"/>
            </w:pPr>
            <w:r>
              <w:rPr>
                <w:b w:val="0"/>
                <w:sz w:val="19"/>
              </w:rPr>
              <w:t>40-2022 | Khoa Dược | Bộ mẫu cây thuốc | Quyền tác giả, sưu tập dữ liệu; cần đánh giá thêm | 10/11/2022 | Chưa đăng ký</w:t>
            </w:r>
          </w:p>
          <w:p>
            <w:pPr>
              <w:spacing w:after="20"/>
            </w:pPr>
            <w:r>
              <w:rPr>
                <w:b w:val="0"/>
                <w:sz w:val="19"/>
              </w:rPr>
              <w:t>08-2023 | Viện Nghiên cứu giáo dục và Chuyển giao tri thức | Tinh dầu Citrus grandis, hồ sơ ghi chuyển giao cho Trường thương mại hóa | Giải pháp hữu ích | 13/11/2023 | Chưa có đơn</w:t>
            </w:r>
          </w:p>
          <w:p>
            <w:pPr>
              <w:spacing w:after="20"/>
            </w:pPr>
            <w:r>
              <w:rPr>
                <w:b w:val="0"/>
                <w:sz w:val="19"/>
              </w:rPr>
              <w:t>06-2024 | Khoa Dược | Xà phòng hữu cơ tảo biển kèm quy trình và công thức | Giải pháp hữu ích | 15/11/2024 | Chưa có đơn</w:t>
            </w:r>
          </w:p>
          <w:p>
            <w:pPr>
              <w:spacing w:after="20"/>
            </w:pPr>
            <w:r>
              <w:rPr>
                <w:b w:val="0"/>
                <w:sz w:val="19"/>
              </w:rPr>
              <w:t>07-2024 | Khoa Dược | 100 tiêu bản hiển vi và cẩm nang phát hiện giun sán | Quyền tác giả, sưu tập dữ liệu | 15/11/2024 | Chưa đăng ký</w:t>
            </w:r>
          </w:p>
          <w:p>
            <w:pPr>
              <w:spacing w:after="20"/>
            </w:pPr>
            <w:r>
              <w:rPr>
                <w:b w:val="0"/>
                <w:sz w:val="19"/>
              </w:rPr>
              <w:t>08-2024 | Khoa Dược | Rutin độ tinh khiết 90% kèm quy trình chiết xuất, tinh chế | Giải pháp hữu ích hoặc sáng chế | 15/11/2024 | Chưa có đơn</w:t>
            </w:r>
          </w:p>
          <w:p>
            <w:pPr>
              <w:spacing w:after="20"/>
            </w:pPr>
            <w:r>
              <w:rPr>
                <w:b w:val="0"/>
                <w:sz w:val="19"/>
              </w:rPr>
              <w:t>09-2024 | Khoa Dược | Thang thuốc 100 ml kèm công thức và quy trình sắc | Giải pháp hữu ích | 15/11/2024 | Chưa có đơn</w:t>
            </w:r>
          </w:p>
          <w:p>
            <w:pPr>
              <w:spacing w:after="20"/>
            </w:pPr>
            <w:r>
              <w:rPr>
                <w:b w:val="0"/>
                <w:sz w:val="19"/>
              </w:rPr>
              <w:t>06-2025 | Viện Y - Dược | Công thức cồn thuốc xoa bóp, hồ sơ ghi dự kiến đăng ký giải pháp hữu ích | Giải pháp hữu ích | 25/12/2025 | Chưa có đơn</w:t>
            </w:r>
          </w:p>
          <w:p>
            <w:pPr>
              <w:spacing w:after="20"/>
            </w:pPr>
            <w:r>
              <w:rPr>
                <w:b w:val="0"/>
                <w:sz w:val="19"/>
              </w:rPr>
              <w:t>07-2025 | Viện Y - Dược | Quy trình bào chế viên ngậm giảm ho, hồ sơ ghi dự kiến đăng ký giải pháp hữu ích | Giải pháp hữu ích | 25/12/2025 | Chưa có đơn</w:t>
            </w:r>
          </w:p>
          <w:p>
            <w:pPr>
              <w:spacing w:after="20"/>
            </w:pPr>
            <w:r>
              <w:rPr>
                <w:b w:val="0"/>
                <w:sz w:val="19"/>
              </w:rPr>
              <w:t>09-2025 | Viện Y - Dược | Chiết xuất lá Quế hoa, hồ sơ ghi giai đoạn 2 là sáng chế | Sáng chế | 25/12/2025 | Đã nộp đơn năm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148</w:t>
            </w:r>
          </w:p>
        </w:tc>
        <w:tc>
          <w:tcPr>
            <w:tcW w:type="dxa" w:w="2041"/>
          </w:tcPr>
          <w:p>
            <w:pPr>
              <w:spacing w:after="20"/>
            </w:pPr>
            <w:r/>
            <w:r>
              <w:rPr>
                <w:b w:val="0"/>
                <w:sz w:val="19"/>
              </w:rPr>
              <w:t>Bảng 3.1, toàn bảng</w:t>
            </w:r>
          </w:p>
        </w:tc>
        <w:tc>
          <w:tcPr>
            <w:tcW w:type="dxa" w:w="5102"/>
          </w:tcPr>
          <w:p>
            <w:pPr>
              <w:spacing w:after="20"/>
            </w:pPr>
            <w:r/>
            <w:r>
              <w:rPr>
                <w:b w:val="0"/>
                <w:sz w:val="19"/>
              </w:rPr>
              <w:t>Bảng 3.1. Ma trận điểm mạnh, điểm yếu, thời cơ và thách thức trong quản lý quyền sở hữu trí tuệ tại Trường Đại học Thành Đô</w:t>
            </w:r>
          </w:p>
          <w:p>
            <w:pPr>
              <w:spacing w:after="20"/>
            </w:pPr>
            <w:r>
              <w:rPr>
                <w:b w:val="0"/>
                <w:sz w:val="19"/>
              </w:rPr>
              <w:t>Điểm mạnh | Điểm yếu</w:t>
            </w:r>
          </w:p>
          <w:p>
            <w:pPr>
              <w:spacing w:after="20"/>
            </w:pPr>
            <w:r>
              <w:rPr>
                <w:b w:val="0"/>
                <w:sz w:val="19"/>
              </w:rPr>
              <w:t>1. Có quy định nội bộ từ sớm: Quyết định 213 năm 2021 có chương riêng về sở hữu trí tuệ; Quyết định 217 năm 2024 là quy chế chuyên biệt, phạm vi tài sản rộng và đã phân công đầu mối.; 2. Năng lực nghiên cứu tăng nhanh: số bài báo tăng từ 23 lên 161 bài giai đoạn 2021 - 2025; 71 trên 115 bài quốc tế có phân hạng Q; 7 trên 10 chỉ tiêu Kế hoạch 07/KH-ĐHTĐ đạt hoặc vượt.; 3. Đã có sản phẩm đủ điều kiện bảo hộ: 11 trên 38 đề tài cấp cơ sở, trong đó 8 sản phẩm phù hợp với giải pháp hữu ích, tập trung ở lĩnh vực dược với 42 người trình độ tiến sĩ và tương đương tại Viện Y - Dược.; 4. Kênh chuyển hóa và hợp tác doanh nghiệp đã vận hành: 2 đơn sáng chế năm 2025 và 2026; 9 văn bằng, trong đó 5 kiểu dáng công nghiệp và nhãn hiệu từ chiến lược hợp tác doanh nghiệp mà Ban Giám hiệu đã dày công kết nối.; 5. Có nguồn lực gắn cơ chế sở hữu trí tuệ: Quỹ Học bổng sau tiến sĩ Ngô Xuân Độ ngân sách 5 tỷ đồng; 3 đề tài cấp quốc gia tổng 4,67 tỷ đồng; Viện Nghiên cứu giáo dục và Chuyển giao tri thức có tư cách tổ chức khoa học và công nghệ, đã ký hợp đồng chuyển giao quyền sử dụng tác phẩm. | 1. Chuyển hóa chưa tương xứng tiềm năng: 1 trên 11 đề tài đủ điều kiện được nộp đơn; 8 đề tài đủ điều kiện giai đoạn 2021 - 2024 chưa được nộp đơn.; 2. Quy định chưa được hợp nhất sau thay đổi pháp luật: 4 văn bản với 5 quy định chia lợi ích; trần 100 triệu đồng chưa tương thích với Điều 28 Luật số 93/2025/QH15; chưa có biểu mẫu rà soát khả năng bảo hộ khi nghiệm thu.; 3. Phối hợp chưa liên thông: chức năng phân công cho 4 đơn vị nhưng chưa có luồng hồ sơ chung; chưa có vị trí chuyên trách sở hữu trí tuệ.; 4. Động lực và kinh phí lệch về công bố: văn bằng không có tiền thưởng và chỉ được ghi nhận khi được cấp; đề tài cấp cơ sở không có dòng chi phí nộp đơn, kinh phí trung vị 8,5 triệu đồng.; 5. Dữ liệu và khai thác yếu: không có danh mục tài sản trí tuệ trong hệ thống thống kê, độ phủ khai báo khoảng 29,9%, 7 trên 16 tiêu chí chưa tính được; khai thác có thu phí mới có 2 hợp đồng.</w:t>
            </w:r>
          </w:p>
          <w:p>
            <w:pPr>
              <w:spacing w:after="20"/>
            </w:pPr>
            <w:r>
              <w:rPr>
                <w:b w:val="0"/>
                <w:sz w:val="19"/>
              </w:rPr>
              <w:t>Thời cơ | Thách thức</w:t>
            </w:r>
          </w:p>
          <w:p>
            <w:pPr>
              <w:spacing w:after="20"/>
            </w:pPr>
            <w:r>
              <w:rPr>
                <w:b w:val="0"/>
                <w:sz w:val="19"/>
              </w:rPr>
              <w:t>1. Khung pháp luật mới trao quyền: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 2. Chủ trương chiến lược thuận lợi: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 3. Chuẩn cơ sở giáo dục đại học mới định giá văn bằng cao hơn: bằng giải pháp hữu ích được tính 3 sản phẩm quy đổi thay cho 1, bằng sáng chế 5 sản phẩm; khoản thu từ thương mại hóa kết quả nghiên cứu, sở hữu trí tuệ được tách riêng.; 4. Hạ tầng hỗ trợ mở rộng: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 5. Kênh hợp tác doanh nghiệp sẵn có: đối tác đã cùng Nhà trường xác lập 6 tài sản đồng sở hữu, có thể trở thành kênh thương mại hóa cho sản phẩm dược liệu. | 1. Yêu cầu tuân thủ tăng từ ngày 15 tháng 11 năm 2026: nội dung quản trị bắt buộc về sở hữu trí tuệ, liêm chính khoa học, liêm chính học thuật; dữ liệu kết quả hoạt động phải nhất quán trên HEMIS; kết quả tự đánh giá phải công bố trước ngày 31 tháng 5 hằng năm.; 2. Sức ép công bố quốc tế: ngưỡng công bố WoS, Scopus là 0,3 trên một giảng viên quy đổi, ước tính năm 2025 của Nhà trường khoảng 0,31 và văn bằng không được tính; nguy cơ công bố trước khi nộp đơn làm mất tính mới sau mười hai tháng.; 3. Thủ tục dài, chi phí tự cân đối: thẩm định sở hữu công nghiệp thường kéo dài hai đến ba năm, phát sinh chi phí tra cứu, soạn đơn, lệ phí và duy trì; là trường tư thục, Nhà trường phải tự cân đối từ nguồn thu của mình.; 4. Pháp luật thay đổi nhanh, hướng dẫn chưa đồng bộ: sáu văn bản lớn trong giai đoạn 2025 - 2026; bảng tổng hợp cuối Phụ lục II Thông tư số 83/2026/TT-BGDĐT chưa nêu giải pháp hữu ích dù công thức đã tính.; 5. Yêu cầu tự chủ năng lực và rủi ro tranh chấp: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c>
          <w:tcPr>
            <w:tcW w:type="dxa" w:w="5102"/>
          </w:tcPr>
          <w:p>
            <w:pPr>
              <w:spacing w:after="20"/>
            </w:pPr>
            <w:r/>
            <w:r>
              <w:rPr>
                <w:b w:val="0"/>
                <w:sz w:val="19"/>
              </w:rPr>
              <w:t>Bảng 3.1. Ma trận điểm mạnh, điểm yếu, thời cơ và thách thức trong quản lý quyền sở hữu trí tuệ tại Trường Đại học Thành Đô</w:t>
            </w:r>
          </w:p>
          <w:p>
            <w:pPr>
              <w:spacing w:after="20"/>
            </w:pPr>
            <w:r>
              <w:rPr>
                <w:b w:val="0"/>
                <w:sz w:val="19"/>
              </w:rPr>
              <w:t>Điểm mạnh | Điểm yếu</w:t>
            </w:r>
          </w:p>
          <w:p>
            <w:pPr>
              <w:spacing w:after="20"/>
            </w:pPr>
            <w:r>
              <w:rPr>
                <w:b w:val="0"/>
                <w:sz w:val="19"/>
              </w:rPr>
              <w:t>1. Có quy định nội bộ từ sớm: Quyết định 213 năm 2021 có chương riêng về sở hữu trí tuệ; Quyết định 217 năm 2024 là quy chế chuyên biệt, phạm vi tài sản rộng, đã quy định công bố, bảo mật, phân công đầu mối và hành vi xâm phạm quyền tác giả.; 2. Năng lực nghiên cứu tăng nhanh: số bài báo tăng từ 23 lên 161 bài giai đoạn 2021 - 2025; 71 trên 115 bài quốc tế có phân hạng Q; 6 trên 9 chỉ tiêu xác định được của Kế hoạch 07/KH-ĐHTĐ đạt hoặc vượt.; 3. Đã có sản phẩm tiềm năng bảo hộ: 11 trên 38 đề tài cấp cơ sở, trong đó 9 thuộc sở hữu công nghiệp và 8 có thể phù hợp với giải pháp hữu ích, tập trung ở lĩnh vực dược với 42 người trình độ tiến sĩ và tương đương tại Viện Y - Dược.; 4. Kênh chuyển hóa và hợp tác doanh nghiệp đã có kết quả: 1 đơn sáng chế từ đề tài năm 2025 và 1 đơn năm 2026; 4 văn bằng, giấy chứng nhận đã cấp; 5 kiểu dáng công nghiệp và 1 đơn nhãn hiệu từ chiến lược hợp tác doanh nghiệp mà Ban Giám hiệu đã dày công kết nối.; 5. Quy chế và biểu mẫu đã có nền tảng: Điều 35, Điều 38 Quyết định 213 có căn cứ chi lệ phí, thuê ngoài; biểu mẫu đề xuất, thuyết minh, hợp đồng, nghiệm thu đã có mục đăng ký sở hữu trí tuệ; 3 đề tài cấp quốc gia tổng 4,67 tỷ đồng; Quỹ Học bổng sau tiến sĩ Ngô Xuân Độ theo thông tin được cung cấp. | 1. Chuyển hóa chưa tương xứng tiềm năng: 1 trên 9 đề tài có sản phẩm tiềm năng sở hữu công nghiệp có đơn; 6 đề tài mã số 2021 - 2024 có sản phẩm tiềm năng sở hữu công nghiệp chưa có đơn.; 2. Quy định chưa làm rõ phạm vi áp dụng sau thay đổi pháp luật: chưa thống nhất thứ tự áp dụng các quy định về lợi ích của tác giả, chưa phân biệt thưởng, thù lao, phần chia nguồn thu; điểm a Điều 36 Quyết định 213 cần rà soát theo Điều 28, Điều 73 Luật số 93/2025/QH15; biểu mẫu chưa có nội dung sàng lọc khả năng bảo hộ.; 3. Phối hợp chưa liên thông: chức năng phân công cho 4 đơn vị nhưng chưa có luồng hồ sơ chung; chưa có vị trí chuyên trách sở hữu trí tuệ.; 4. Kinh phí cho bước đăng ký chưa được dự toán riêng: quy chế có căn cứ chi nhưng chưa thấy dự toán, cách tạm ứng và người đề xuất chi; theo Quy chế chi tiêu nội bộ năm 2026, văn bằng chưa có tiền thưởng và chỉ được ghi nhận khi được cấp.; 5. Dữ liệu và khai thác yếu: chưa có danh mục tài sản trí tuệ trong hệ thống thống kê, trạng thái 5 kiểu dáng chưa thống nhất, 7 trên 16 tiêu chí chưa tính được; khai thác có thu phí mới có 2 hợp đồng.</w:t>
            </w:r>
          </w:p>
          <w:p>
            <w:pPr>
              <w:spacing w:after="20"/>
            </w:pPr>
            <w:r>
              <w:rPr>
                <w:b w:val="0"/>
                <w:sz w:val="19"/>
              </w:rPr>
              <w:t>Thời cơ | Thách thức</w:t>
            </w:r>
          </w:p>
          <w:p>
            <w:pPr>
              <w:spacing w:after="20"/>
            </w:pPr>
            <w:r>
              <w:rPr>
                <w:b w:val="0"/>
                <w:sz w:val="19"/>
              </w:rPr>
              <w:t>1. Khung pháp luật mới trao quyền: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 2. Chủ trương chiến lược thuận lợi: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 3. Chuẩn cơ sở giáo dục đại học mới định giá văn bằng cao hơn: bằng giải pháp hữu ích được tính 3 sản phẩm quy đổi thay cho 1, bằng sáng chế 5 sản phẩm; khoản thu từ thương mại hóa kết quả nghiên cứu, sở hữu trí tuệ được tách riêng.; 4. Hạ tầng hỗ trợ mở rộng: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 5. Kênh hợp tác doanh nghiệp sẵn có: đối tác đã cùng Nhà trường có 6 hồ sơ đồng sở hữu, có thể trở thành kênh thương mại hóa cho sản phẩm dược liệu. | 1. Yêu cầu tuân thủ tăng từ ngày 15 tháng 11 năm 2026: nội dung quản trị bắt buộc về sở hữu trí tuệ, liêm chính khoa học, liêm chính học thuật; dữ liệu kết quả hoạt động phải nhất quán trên HEMIS; kết quả tự đánh giá phải công bố trước ngày 31 tháng 5 hằng năm.; 2. Sức ép công bố quốc tế: ngưỡng công bố WoS, Scopus là 0,3 trên một giảng viên quy đổi, ước tính năm 2025 của Nhà trường khoảng 0,31 và văn bằng không được tính; nguy cơ công bố trước khi nộp đơn làm mất tính mới sau mười hai tháng.; 3. Thủ tục dài, chi phí tự cân đối: thẩm định hình thức, công bố đơn, thẩm định nội dung theo Điều 119 Luật Sở hữu trí tuệ kéo dài nhiều tháng, phát sinh chi phí tra cứu, soạn đơn, lệ phí và duy trì; là trường tư thục, Nhà trường phải tự cân đối từ nguồn thu của mình.; 4. Pháp luật thay đổi nhanh, hướng dẫn chưa đồng bộ: sáu văn bản lớn trong giai đoạn 2025 - 2026; bảng tổng hợp cuối Phụ lục II Thông tư số 83/2026/TT-BGDĐT chưa nêu giải pháp hữu ích dù công thức đã tính.; 5. Yêu cầu tự chủ năng lực và rủi ro tranh chấp: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c>
          <w:tcPr>
            <w:tcW w:type="dxa" w:w="1984"/>
          </w:tcPr>
          <w:p>
            <w:pPr>
              <w:spacing w:after="20"/>
            </w:pPr>
            <w:r/>
            <w:r>
              <w:rPr>
                <w:b w:val="0"/>
                <w:sz w:val="19"/>
              </w:rPr>
              <w:t>Góp ý mục 1: phân biệt quy định, thực hiện, thống kê, nhận định; không suy chưa thấy thành không có; Góp ý mục 5: Theo dõi đơn nhãn hiệu và KDCN.xlsx, Sheet1 và Sheet2; quyền tác giả chưa đăng ký không có nghĩa là chưa có quyền; Góp ý mục 6: Kế hoạch số 07/KH-ĐHTĐ, mục 2.2.4, chỉ tiêu 1.11 không gồm nhãn hiệu; Góp ý mục 7: thống kê, phễu sở hữu công nghiệp, năm theo loại dữ liệu, giảm khẳng định nhân quả</w:t>
            </w:r>
          </w:p>
        </w:tc>
      </w:tr>
      <w:tr>
        <w:tc>
          <w:tcPr>
            <w:tcW w:type="dxa" w:w="567"/>
          </w:tcPr>
          <w:p>
            <w:pPr>
              <w:spacing w:after="20"/>
            </w:pPr>
            <w:r/>
            <w:r>
              <w:rPr>
                <w:b w:val="0"/>
                <w:sz w:val="19"/>
              </w:rPr>
              <w:t>149</w:t>
            </w:r>
          </w:p>
        </w:tc>
        <w:tc>
          <w:tcPr>
            <w:tcW w:type="dxa" w:w="2041"/>
          </w:tcPr>
          <w:p>
            <w:pPr>
              <w:spacing w:after="20"/>
            </w:pPr>
            <w:r/>
            <w:r>
              <w:rPr>
                <w:b w:val="0"/>
                <w:sz w:val="19"/>
              </w:rPr>
              <w:t>Bảng 3.2, toàn bảng</w:t>
            </w:r>
          </w:p>
        </w:tc>
        <w:tc>
          <w:tcPr>
            <w:tcW w:type="dxa" w:w="5102"/>
          </w:tcPr>
          <w:p>
            <w:pPr>
              <w:spacing w:after="20"/>
            </w:pPr>
            <w:r/>
            <w:r>
              <w:rPr>
                <w:b w:val="0"/>
                <w:sz w:val="19"/>
              </w:rPr>
              <w:t>Bảng 3.2. Các phương án kết hợp từ ma trận và giải pháp tương ứng</w:t>
            </w:r>
          </w:p>
          <w:p>
            <w:pPr>
              <w:spacing w:after="20"/>
            </w:pPr>
            <w:r>
              <w:rPr>
                <w:b w:val="0"/>
                <w:sz w:val="19"/>
              </w:rPr>
              <w:t>Nhóm phương án | Nội dung phương án | Giải pháp tương ứng</w:t>
            </w:r>
          </w:p>
          <w:p>
            <w:pPr>
              <w:spacing w:after="20"/>
            </w:pPr>
            <w:r>
              <w:rPr>
                <w:b w:val="0"/>
                <w:sz w:val="19"/>
              </w:rPr>
              <w:t>Phát huy điểm mạnh để tận dụng thời cơ | Đưa các sản phẩm dược đủ điều kiện và kết quả ba đề tài cấp quốc gia vào đăng ký giải pháp hữu ích, sáng chế theo quyền tại điểm c khoản 1 Điều 86 Luật Sở hữu trí tuệ; cùng Viện Nghiên cứu giáo dục và Chuyển giao tri thức lập trung tâm tư vấn, định giá để tham gia chương trình thí điểm xác định giá trị quyền sở hữu trí tuệ theo Quyết định số 1624/QĐ-TTg. | Giải pháp 2, 3, 4</w:t>
            </w:r>
          </w:p>
          <w:p>
            <w:pPr>
              <w:spacing w:after="20"/>
            </w:pPr>
            <w:r>
              <w:rPr>
                <w:b w:val="0"/>
                <w:sz w:val="19"/>
              </w:rPr>
              <w:t>Khắc phục điểm yếu nhờ thời cơ | Dựa vào Điều 28 Luật số 93/2025/QH15 và nguyên tắc thỏa thuận thù lao để hợp nhất quy chế, cập nhật mức trần 100 triệu đồng; dùng chỉ số văn bằng của Chuẩn mới và Quyết định số 1624/QĐ-TTg để đưa văn bằng vào đánh giá, khen thưởng ngang với công bố. | Giải pháp 1, 4</w:t>
            </w:r>
          </w:p>
          <w:p>
            <w:pPr>
              <w:spacing w:after="20"/>
            </w:pPr>
            <w:r>
              <w:rPr>
                <w:b w:val="0"/>
                <w:sz w:val="19"/>
              </w:rPr>
              <w:t>Phát huy điểm mạnh để vượt thách thức | Biến cách làm của hai đơn sáng chế năm 2025 và 2026 thành khâu rà soát bắt buộc trước khi công bố, để vừa giữ ngưỡng công bố quốc tế vừa không mất tính mới; dùng Quyết định 217 làm nền cho nội dung quản trị bắt buộc về sở hữu trí tuệ và liêm chính. | Giải pháp 1, 3</w:t>
            </w:r>
          </w:p>
          <w:p>
            <w:pPr>
              <w:spacing w:after="20"/>
            </w:pPr>
            <w:r>
              <w:rPr>
                <w:b w:val="0"/>
                <w:sz w:val="19"/>
              </w:rPr>
              <w:t>Giảm điểm yếu và phòng tránh thách thức | Lập danh mục số tài sản trí tuệ liên thông với báo cáo trên HEMIS và Nền tảng số quốc gia; bố trí dòng kinh phí nộp đơn và nhân sự chuyên trách; đào tạo giảng viên về bộc lộ an toàn trước khi công bố. | Giải pháp 2, 4, 5</w:t>
            </w:r>
          </w:p>
        </w:tc>
        <w:tc>
          <w:tcPr>
            <w:tcW w:type="dxa" w:w="5102"/>
          </w:tcPr>
          <w:p>
            <w:pPr>
              <w:spacing w:after="20"/>
            </w:pPr>
            <w:r/>
            <w:r>
              <w:rPr>
                <w:b w:val="0"/>
                <w:sz w:val="19"/>
              </w:rPr>
              <w:t>Bảng 3.2. Các phương án kết hợp từ ma trận và giải pháp tương ứng</w:t>
            </w:r>
          </w:p>
          <w:p>
            <w:pPr>
              <w:spacing w:after="20"/>
            </w:pPr>
            <w:r>
              <w:rPr>
                <w:b w:val="0"/>
                <w:sz w:val="19"/>
              </w:rPr>
              <w:t>Nhóm phương án | Nội dung phương án | Giải pháp tương ứng</w:t>
            </w:r>
          </w:p>
          <w:p>
            <w:pPr>
              <w:spacing w:after="20"/>
            </w:pPr>
            <w:r>
              <w:rPr>
                <w:b w:val="0"/>
                <w:sz w:val="19"/>
              </w:rPr>
              <w:t>Phát huy điểm mạnh để tận dụng thời cơ | Đưa các sản phẩm dược có tiềm năng và kết quả ba đề tài cấp quốc gia vào sàng lọc để đăng ký giải pháp hữu ích, sáng chế theo quyền tại điểm c khoản 1 Điều 86 Luật Sở hữu trí tuệ; cùng Viện Nghiên cứu giáo dục và Chuyển giao tri thức chuẩn bị phương án tư vấn, định giá để tham gia chương trình thí điểm xác định giá trị quyền sở hữu trí tuệ theo Quyết định số 1624/QĐ-TTg. | Giải pháp 2, 3, 4</w:t>
            </w:r>
          </w:p>
          <w:p>
            <w:pPr>
              <w:spacing w:after="20"/>
            </w:pPr>
            <w:r>
              <w:rPr>
                <w:b w:val="0"/>
                <w:sz w:val="19"/>
              </w:rPr>
              <w:t>Khắc phục điểm yếu nhờ thời cơ | Dựa vào Điều 28, Điều 73 Luật số 93/2025/QH15 và Điều 135 Luật Sở hữu trí tuệ để làm rõ phạm vi áp dụng các quy định về lợi ích của tác giả, rà soát mức trần 100 triệu đồng cho các trường hợp thuộc phạm vi Luật mới; dùng chỉ số văn bằng của Chuẩn mới và Quyết định số 1624/QĐ-TTg để đưa văn bằng vào đánh giá, khen thưởng. | Giải pháp 1, 4</w:t>
            </w:r>
          </w:p>
          <w:p>
            <w:pPr>
              <w:spacing w:after="20"/>
            </w:pPr>
            <w:r>
              <w:rPr>
                <w:b w:val="0"/>
                <w:sz w:val="19"/>
              </w:rPr>
              <w:t>Phát huy điểm mạnh để vượt thách thức | Biến cách làm của đơn sáng chế từ đề tài năm 2025 thành bước sàng lọc trước khi công bố và tại nghiệm thu, để vừa giữ ngưỡng công bố quốc tế vừa không mất tính mới; dùng Quyết định 217 làm nền cho nội dung quản trị bắt buộc về sở hữu trí tuệ và liêm chính. | Giải pháp 1, 3</w:t>
            </w:r>
          </w:p>
          <w:p>
            <w:pPr>
              <w:spacing w:after="20"/>
            </w:pPr>
            <w:r>
              <w:rPr>
                <w:b w:val="0"/>
                <w:sz w:val="19"/>
              </w:rPr>
              <w:t>Giảm điểm yếu và phòng tránh thách thức | Lập danh mục số tài sản trí tuệ liên thông với báo cáo trên HEMIS và Nền tảng số quốc gia; lập dự toán phí xác lập quyền và giao đầu mối; đào tạo giảng viên về bộc lộ an toàn trước khi công bố. | Giải pháp 2, 4, 5</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150</w:t>
            </w:r>
          </w:p>
        </w:tc>
        <w:tc>
          <w:tcPr>
            <w:tcW w:type="dxa" w:w="2041"/>
          </w:tcPr>
          <w:p>
            <w:pPr>
              <w:spacing w:after="20"/>
            </w:pPr>
            <w:r/>
            <w:r>
              <w:rPr>
                <w:b w:val="0"/>
                <w:sz w:val="19"/>
              </w:rPr>
              <w:t>Bảng 3.3, bảng mới</w:t>
            </w:r>
          </w:p>
        </w:tc>
        <w:tc>
          <w:tcPr>
            <w:tcW w:type="dxa" w:w="5102"/>
          </w:tcPr>
          <w:p>
            <w:pPr>
              <w:spacing w:after="20"/>
            </w:pPr>
            <w:r/>
            <w:r>
              <w:rPr>
                <w:b w:val="0"/>
                <w:sz w:val="19"/>
              </w:rPr>
              <w:t>(bổ sung)</w:t>
            </w:r>
          </w:p>
        </w:tc>
        <w:tc>
          <w:tcPr>
            <w:tcW w:type="dxa" w:w="5102"/>
          </w:tcPr>
          <w:p>
            <w:pPr>
              <w:spacing w:after="20"/>
            </w:pPr>
            <w:r/>
            <w:r>
              <w:rPr>
                <w:b w:val="0"/>
                <w:sz w:val="19"/>
              </w:rPr>
              <w:t>Bảng 3.3. Tổ chức thực hiện các giải pháp theo hạn chế được xử lý</w:t>
            </w:r>
          </w:p>
          <w:p>
            <w:pPr>
              <w:spacing w:after="20"/>
            </w:pPr>
            <w:r>
              <w:rPr>
                <w:b w:val="0"/>
                <w:sz w:val="19"/>
              </w:rPr>
              <w:t>Giải pháp và hạn chế được xử lý | Chủ trì; phối hợp | Nguồn lực | Thời gian | Sản phẩm đầu ra | Cách đánh giá</w:t>
            </w:r>
          </w:p>
          <w:p>
            <w:pPr>
              <w:spacing w:after="20"/>
            </w:pPr>
            <w:r>
              <w:rPr>
                <w:b w:val="0"/>
                <w:sz w:val="19"/>
              </w:rPr>
              <w:t>Giải pháp 1. Hạn chế thứ hai: chưa rõ phạm vi, thứ tự áp dụng quy định về lợi ích của tác giả | Bộ phận Pháp chế; Phòng Khoa học Công nghệ, Phòng Tài chính - Kế toán | Ngân sách thường xuyên; chuyên gia rà soát dự thảo | Quý IV/2026 đến 31/5/2027 | Quy chế sửa đổi; bảng phạm vi và thứ tự áp dụng; bảng mô phỏng tỷ lệ | Ban hành đúng hạn; mỗi tình huống chuyển giao xác định được quy định áp dụng</w:t>
            </w:r>
          </w:p>
          <w:p>
            <w:pPr>
              <w:spacing w:after="20"/>
            </w:pPr>
            <w:r>
              <w:rPr>
                <w:b w:val="0"/>
                <w:sz w:val="19"/>
              </w:rPr>
              <w:t>Giải pháp 2. Hạn chế thứ ba: phối hợp chưa liên thông, chưa có chuyên trách | Ban Giám hiệu; Phòng Khoa học Công nghệ, Bộ phận Pháp chế | Nhân sự hiện có kiêm nhiệm; kinh phí tập huấn | Từ quý IV/2026; xem xét chuyên trách từ năm 2028 | Quyết định giao đầu mối; quy chế phối hợp; báo cáo khối lượng hồ sơ | Số hồ sơ xử lý đúng hạn; quyết định nhân sự dựa trên ngưỡng</w:t>
            </w:r>
          </w:p>
          <w:p>
            <w:pPr>
              <w:spacing w:after="20"/>
            </w:pPr>
            <w:r>
              <w:rPr>
                <w:b w:val="0"/>
                <w:sz w:val="19"/>
              </w:rPr>
              <w:t>Giải pháp 3. Hạn chế thứ nhất, thứ tư, thứ năm, thứ bảy: chuyển hóa thấp, thiếu sàng lọc, dữ liệu rời rạc | Phòng Khoa học Công nghệ; Bộ phận Pháp chế, Hội đồng nghiệm thu, các viện | Biểu mẫu hiện có được hoàn thiện; công cụ tra cứu; danh mục số | Thí điểm quý IV/2026 - quý II/2027; toàn trường từ quý III/2027 | Phiếu khai báo, phiếu rà soát; quy trình 8 khâu; danh mục số | Chỉ số 4 đến 8 và 11 tại Bảng 3.4</w:t>
            </w:r>
          </w:p>
          <w:p>
            <w:pPr>
              <w:spacing w:after="20"/>
            </w:pPr>
            <w:r>
              <w:rPr>
                <w:b w:val="0"/>
                <w:sz w:val="19"/>
              </w:rPr>
              <w:t>Giải pháp 4. Nguyên nhân về nguồn lực, động lực; hạn chế thứ sáu: khai thác nhỏ | Phòng Tài chính - Kế toán; Phòng Khoa học Công nghệ, Bộ phận Pháp chế, Viện Nghiên cứu giáo dục và Chuyển giao tri thức | Quỹ nghiên cứu khoa học; nguồn thu dịch vụ khoa học công nghệ | Dự toán từ năm 2027; phương án khai thác ở giai đoạn 2 | Dòng dự toán, quy định tạm ứng; đề xuất sửa Quy chế chi tiêu; phương án tổ chức khai thác | Thời gian từ phiếu đến nộp đơn; chỉ số 12, 13 tại Bảng 3.4; điều kiện chuyển bước</w:t>
            </w:r>
          </w:p>
          <w:p>
            <w:pPr>
              <w:spacing w:after="20"/>
            </w:pPr>
            <w:r>
              <w:rPr>
                <w:b w:val="0"/>
                <w:sz w:val="19"/>
              </w:rPr>
              <w:t>Giải pháp 5. Hạn chế thứ nhất về kỹ năng nhận diện; giáo trình chưa đăng ký | Phòng Khoa học Công nghệ; Phòng Đào tạo, Viện Nghiên cứu giáo dục và Chuyển giao tri thức | Kinh phí đào tạo thường xuyên; chuyên gia bên ngoài | Từ năm 2027; học phần từ năm học 2027 - 2028 | Chương trình tập huấn; cẩm nang; danh mục giáo trình cần đăng ký | Chỉ số 3 và 9 tại Bảng 3.4; số giáo trình được rà soát</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151</w:t>
            </w:r>
          </w:p>
        </w:tc>
        <w:tc>
          <w:tcPr>
            <w:tcW w:type="dxa" w:w="2041"/>
          </w:tcPr>
          <w:p>
            <w:pPr>
              <w:spacing w:after="20"/>
            </w:pPr>
            <w:r/>
            <w:r>
              <w:rPr>
                <w:b w:val="0"/>
                <w:sz w:val="19"/>
              </w:rPr>
              <w:t>Bảng 3.4, toàn bảng</w:t>
            </w:r>
          </w:p>
        </w:tc>
        <w:tc>
          <w:tcPr>
            <w:tcW w:type="dxa" w:w="5102"/>
          </w:tcPr>
          <w:p>
            <w:pPr>
              <w:spacing w:after="20"/>
            </w:pPr>
            <w:r/>
            <w:r>
              <w:rPr>
                <w:b w:val="0"/>
                <w:sz w:val="19"/>
              </w:rPr>
              <w:t>Bảng 3.3. Bộ chỉ số theo dõi đánh giá hiệu quả triển khai hệ thống giải pháp</w:t>
            </w:r>
          </w:p>
          <w:p>
            <w:pPr>
              <w:spacing w:after="20"/>
            </w:pPr>
            <w:r>
              <w:rPr>
                <w:b w:val="0"/>
                <w:sz w:val="19"/>
              </w:rPr>
              <w:t>Nhóm giải pháp | Chỉ số theo dõi | Mục tiêu đến năm 2030</w:t>
            </w:r>
          </w:p>
          <w:p>
            <w:pPr>
              <w:spacing w:after="20"/>
            </w:pPr>
            <w:r>
              <w:rPr>
                <w:b w:val="0"/>
                <w:sz w:val="19"/>
              </w:rPr>
              <w:t>Giải pháp 1: Thể chế nội bộ | 1.1. Tỷ lệ văn bản nội bộ được hợp nhất và đồng bộ hóa; 1.2. Mức thù lao trả cho tác giả sáng chế so với mức mặc định của pháp luật | 100% văn bản thống nhất; Không thấp hơn mức mặc định tại khoản 1 Điều 135 Luật Sở hữu trí tuệ</w:t>
            </w:r>
          </w:p>
          <w:p>
            <w:pPr>
              <w:spacing w:after="20"/>
            </w:pPr>
            <w:r>
              <w:rPr>
                <w:b w:val="0"/>
                <w:sz w:val="19"/>
              </w:rPr>
              <w:t>Giải pháp 2: Tổ chức bộ máy | 2.1. Số nhân sự chuyên trách sở hữu trí tuệ; 2.2. Số cuộc họp giao ban liên phòng ban mỗi năm; 2.3. Số lượt tra cứu sáng chế tiền kiểm mỗi năm; 2.4. Tỷ lệ tài sản trí tuệ được cập nhật trong danh mục số | 02 nhân sự; 04 cuộc mỗi năm; Tăng 20% mỗi năm; 100%</w:t>
            </w:r>
          </w:p>
          <w:p>
            <w:pPr>
              <w:spacing w:after="20"/>
            </w:pPr>
            <w:r>
              <w:rPr>
                <w:b w:val="0"/>
                <w:sz w:val="19"/>
              </w:rPr>
              <w:t>Giải pháp 3: Quy trình 8 khâu | 3.1. Tỷ lệ đề tài được rà soát khả năng bảo hộ tại nghiệm thu; 3.2. Số đơn đăng ký bảo hộ nộp mới mỗi năm; 3.3. Số văn bằng hình thành từ kết quả nghiên cứu được cấp | 100% đề tài; 05 đến 10 đơn mỗi năm; 03 đến 05 văn bằng mỗi năm</w:t>
            </w:r>
          </w:p>
          <w:p>
            <w:pPr>
              <w:spacing w:after="20"/>
            </w:pPr>
            <w:r>
              <w:rPr>
                <w:b w:val="0"/>
                <w:sz w:val="19"/>
              </w:rPr>
              <w:t>Giải pháp 4: Cơ chế tài chính | 4.1. Tỷ lệ đề tài đủ điều kiện được tài trợ kinh phí nộp đơn; 4.2. Thời gian từ khi đơn được chấp nhận hợp lệ đến khi ghi nhận 50% giờ quy đổi; 4.3. Số hợp đồng chuyển giao, cấp phép được ký kết | 100%; Dưới 30 ngày; 01 đến 02 hợp đồng mỗi năm</w:t>
            </w:r>
          </w:p>
          <w:p>
            <w:pPr>
              <w:spacing w:after="20"/>
            </w:pPr>
            <w:r>
              <w:rPr>
                <w:b w:val="0"/>
                <w:sz w:val="19"/>
              </w:rPr>
              <w:t>Giải pháp 5: Đào tạo và văn hóa | 5.1. Tỷ lệ sinh viên học học phần sở hữu trí tuệ; 5.2. Tỷ lệ giảng viên mới hoàn thành tập huấn; 5.3. Số lượt truy cập chuyên trang dữ liệu số tài sản trí tuệ | 100% sinh viên từ năm 2028; 100% giảng viên mới; Tăng 30% mỗi năm</w:t>
            </w:r>
          </w:p>
        </w:tc>
        <w:tc>
          <w:tcPr>
            <w:tcW w:type="dxa" w:w="5102"/>
          </w:tcPr>
          <w:p>
            <w:pPr>
              <w:spacing w:after="20"/>
            </w:pPr>
            <w:r/>
            <w:r>
              <w:rPr>
                <w:b w:val="0"/>
                <w:sz w:val="19"/>
              </w:rPr>
              <w:t>Bảng 3.4. Bộ chỉ số theo dõi đánh giá hiệu quả triển khai hệ thống giải pháp, phân tầng theo chuỗi kết quả</w:t>
            </w:r>
          </w:p>
          <w:p>
            <w:pPr>
              <w:spacing w:after="20"/>
            </w:pPr>
            <w:r>
              <w:rPr>
                <w:b w:val="0"/>
                <w:sz w:val="19"/>
              </w:rPr>
              <w:t>Tầng | Chỉ số theo dõi | Nguồn dữ liệu | Mục tiêu đến năm 2030</w:t>
            </w:r>
          </w:p>
          <w:p>
            <w:pPr>
              <w:spacing w:after="20"/>
            </w:pPr>
            <w:r>
              <w:rPr>
                <w:b w:val="0"/>
                <w:sz w:val="19"/>
              </w:rPr>
              <w:t>Thể chế và tổ chức | 1. Quy chế quản trị tài sản trí tuệ sửa đổi được ban hành; 2. Đầu mối sở hữu trí tuệ được giao và số cuộc giao ban liên phòng ban mỗi năm; 3. Tỷ lệ giảng viên mới hoàn thành tập huấn | Quyết định ban hành; biên bản giao ban; danh sách tập huấn | Trước ngày 31/5/2027; 04 cuộc mỗi năm; 100% giảng viên mới</w:t>
            </w:r>
          </w:p>
          <w:p>
            <w:pPr>
              <w:spacing w:after="20"/>
            </w:pPr>
            <w:r>
              <w:rPr>
                <w:b w:val="0"/>
                <w:sz w:val="19"/>
              </w:rPr>
              <w:t>Sàng lọc | 4. Tỷ lệ đề tài nghiệm thu có phiếu rà soát; 5. Số kết quả được khai báo và sàng lọc mỗi năm; 6. Tỷ lệ kết quả thuộc nhánh sáng chế, giải pháp hữu ích, kiểu dáng được xem xét bảo mật trước khi công bố; 7. Thời gian từ phiếu rà soát đến quyết định xác lập quyền | Phiếu khai báo, phiếu rà soát; danh mục số tài sản trí tuệ | 100% từ năm 2027; Theo dõi, làm căn cứ quyết định nhân sự; 100%; Không quá 15 ngày làm việc</w:t>
            </w:r>
          </w:p>
          <w:p>
            <w:pPr>
              <w:spacing w:after="20"/>
            </w:pPr>
            <w:r>
              <w:rPr>
                <w:b w:val="0"/>
                <w:sz w:val="19"/>
              </w:rPr>
              <w:t>Đơn nộp | 8. Số đơn sở hữu công nghiệp nộp mới từ kết quả nghiên cứu; 9. Số đăng ký quyền tác giả cho giáo trình, phần mềm có nhu cầu khai thác | Danh mục số, nhóm trạng thái đã nộp đơn | Từ 02 đơn năm 2027, 03 đến 05 đơn mỗi năm từ năm 2028, điều chỉnh sau thí điểm; Theo nhu cầu đã rà soát</w:t>
            </w:r>
          </w:p>
          <w:p>
            <w:pPr>
              <w:spacing w:after="20"/>
            </w:pPr>
            <w:r>
              <w:rPr>
                <w:b w:val="0"/>
                <w:sz w:val="19"/>
              </w:rPr>
              <w:t>Văn bằng | 10. Số văn bằng, giấy chứng nhận được cấp, tách theo nguồn: nghiên cứu, thương hiệu, hợp tác doanh nghiệp; 11. Tỷ lệ hồ sơ trong danh mục có trạng thái đã xác minh | Danh mục số, nhóm trạng thái đã cấp; văn bằng gốc | Từ 03 văn bằng mỗi năm theo mục 1.11 Kế hoạch 07/KH-ĐHTĐ, không gồm nhãn hiệu; văn bằng từ kết quả nghiên cứu theo dõi riêng; 100%</w:t>
            </w:r>
          </w:p>
          <w:p>
            <w:pPr>
              <w:spacing w:after="20"/>
            </w:pPr>
            <w:r>
              <w:rPr>
                <w:b w:val="0"/>
                <w:sz w:val="19"/>
              </w:rPr>
              <w:t>Khai thác | 12. Số hợp đồng chuyển giao, cấp phép; 13. Nguồn thu từ khai thác và khoản chi trả cho tác giả, tách theo thưởng, thù lao, nhuận bút | Hợp đồng; sổ kế toán | Từ 01 hợp đồng mỗi năm theo mục 1.12 Kế hoạch 07/KH-ĐHTĐ; Theo dõi và công khai hằng năm</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mục 6: Kế hoạch số 07/KH-ĐHTĐ, mục 2.2.4, chỉ tiêu 1.11 không gồm nhãn hiệu</w:t>
            </w:r>
          </w:p>
        </w:tc>
      </w:tr>
      <w:tr>
        <w:tc>
          <w:tcPr>
            <w:tcW w:type="dxa" w:w="567"/>
          </w:tcPr>
          <w:p>
            <w:pPr>
              <w:spacing w:after="20"/>
            </w:pPr>
            <w:r/>
            <w:r>
              <w:rPr>
                <w:b w:val="0"/>
                <w:sz w:val="19"/>
              </w:rPr>
              <w:t>152</w:t>
            </w:r>
          </w:p>
        </w:tc>
        <w:tc>
          <w:tcPr>
            <w:tcW w:type="dxa" w:w="2041"/>
          </w:tcPr>
          <w:p>
            <w:pPr>
              <w:spacing w:after="20"/>
            </w:pPr>
            <w:r/>
            <w:r>
              <w:rPr>
                <w:b w:val="0"/>
                <w:sz w:val="19"/>
              </w:rPr>
              <w:t>Chương 2, Hình 2.2</w:t>
            </w:r>
          </w:p>
        </w:tc>
        <w:tc>
          <w:tcPr>
            <w:tcW w:type="dxa" w:w="5102"/>
          </w:tcPr>
          <w:p>
            <w:pPr>
              <w:spacing w:after="20"/>
            </w:pPr>
            <w:r/>
            <w:r>
              <w:rPr>
                <w:b w:val="0"/>
                <w:sz w:val="19"/>
              </w:rPr>
              <w:t>Mô phỏng 5 đường: điểm a, điểm b Điều 36 Quyết định 213; Quỹ Ngô Xuân Độ năm đầu và từ năm thứ hai; mức mặc định 15% Điều 135 Luật Sở hữu trí tuệ, trên cùng trục khoản thu sau chi phí</w:t>
            </w:r>
          </w:p>
        </w:tc>
        <w:tc>
          <w:tcPr>
            <w:tcW w:type="dxa" w:w="5102"/>
          </w:tcPr>
          <w:p>
            <w:pPr>
              <w:spacing w:after="20"/>
            </w:pPr>
            <w:r/>
            <w:r>
              <w:rPr>
                <w:b w:val="0"/>
                <w:sz w:val="19"/>
              </w:rPr>
              <w:t>Chỉ giữ 2 đường có cùng cơ sở tính là nguồn thu sau chi phí cần thiết, hợp lệ: điểm a, khen thưởng tập thể tác giả, đề tài sử dụng ngân sách nhà nước, tối đa 100 triệu đồng; điểm b, tác giả, tài sản thuộc sở hữu của Trường. Nguồn ghi rõ đối tượng hưởng, phạm vi, cơ sở tính, khoản khấu trừ, điều kiện; các quy định khác cơ sở tính chuyển sang Bảng 2.3</w:t>
            </w:r>
          </w:p>
        </w:tc>
        <w:tc>
          <w:tcPr>
            <w:tcW w:type="dxa" w:w="1984"/>
          </w:tcPr>
          <w:p>
            <w:pPr>
              <w:spacing w:after="20"/>
            </w:pPr>
            <w:r/>
            <w:r>
              <w:rPr>
                <w:b w:val="0"/>
                <w:sz w:val="19"/>
              </w:rPr>
              <w:t>Góp ý mục 2: không đặt tỷ lệ tính trên khoản thu sau chi phí cạnh tỷ lệ tính trên tổng tiền trước thuế</w:t>
            </w:r>
          </w:p>
        </w:tc>
      </w:tr>
      <w:tr>
        <w:tc>
          <w:tcPr>
            <w:tcW w:type="dxa" w:w="567"/>
          </w:tcPr>
          <w:p>
            <w:pPr>
              <w:spacing w:after="20"/>
            </w:pPr>
            <w:r/>
            <w:r>
              <w:rPr>
                <w:b w:val="0"/>
                <w:sz w:val="19"/>
              </w:rPr>
              <w:t>153</w:t>
            </w:r>
          </w:p>
        </w:tc>
        <w:tc>
          <w:tcPr>
            <w:tcW w:type="dxa" w:w="2041"/>
          </w:tcPr>
          <w:p>
            <w:pPr>
              <w:spacing w:after="20"/>
            </w:pPr>
            <w:r/>
            <w:r>
              <w:rPr>
                <w:b w:val="0"/>
                <w:sz w:val="19"/>
              </w:rPr>
              <w:t>Chương 2, Hình 2.6</w:t>
            </w:r>
          </w:p>
        </w:tc>
        <w:tc>
          <w:tcPr>
            <w:tcW w:type="dxa" w:w="5102"/>
          </w:tcPr>
          <w:p>
            <w:pPr>
              <w:spacing w:after="20"/>
            </w:pPr>
            <w:r/>
            <w:r>
              <w:rPr>
                <w:b w:val="0"/>
                <w:sz w:val="19"/>
              </w:rPr>
              <w:t>16 tiêu chí: 5 tính được đầy đủ, 4 một phần, 7 chưa tính được</w:t>
            </w:r>
          </w:p>
        </w:tc>
        <w:tc>
          <w:tcPr>
            <w:tcW w:type="dxa" w:w="5102"/>
          </w:tcPr>
          <w:p>
            <w:pPr>
              <w:spacing w:after="20"/>
            </w:pPr>
            <w:r/>
            <w:r>
              <w:rPr>
                <w:b w:val="0"/>
                <w:sz w:val="19"/>
              </w:rPr>
              <w:t>4 đầy đủ, 5 một phần, 7 chưa: tiêu chí kinh phí chuyển sang một phần do Điều 35, 38 Quyết định 213 đã có căn cứ chi; tiêu chí văn bằng chuyển sang một phần do trạng thái 5 kiểu dáng chưa thống nhất; tiêu chí cơ sở dữ liệu tra cứu chuyển sang chưa tính được do chưa có số liệu</w:t>
            </w:r>
          </w:p>
        </w:tc>
        <w:tc>
          <w:tcPr>
            <w:tcW w:type="dxa" w:w="1984"/>
          </w:tcPr>
          <w:p>
            <w:pPr>
              <w:spacing w:after="20"/>
            </w:pPr>
            <w:r/>
            <w:r>
              <w:rPr>
                <w:b w:val="0"/>
                <w:sz w:val="19"/>
              </w:rPr>
              <w:t>Góp ý mục 3 và mục 5</w:t>
            </w:r>
          </w:p>
        </w:tc>
      </w:tr>
      <w:tr>
        <w:tc>
          <w:tcPr>
            <w:tcW w:type="dxa" w:w="567"/>
          </w:tcPr>
          <w:p>
            <w:pPr>
              <w:spacing w:after="20"/>
            </w:pPr>
            <w:r/>
            <w:r>
              <w:rPr>
                <w:b w:val="0"/>
                <w:sz w:val="19"/>
              </w:rPr>
              <w:t>154</w:t>
            </w:r>
          </w:p>
        </w:tc>
        <w:tc>
          <w:tcPr>
            <w:tcW w:type="dxa" w:w="2041"/>
          </w:tcPr>
          <w:p>
            <w:pPr>
              <w:spacing w:after="20"/>
            </w:pPr>
            <w:r/>
            <w:r>
              <w:rPr>
                <w:b w:val="0"/>
                <w:sz w:val="19"/>
              </w:rPr>
              <w:t>Chương 2, Hình 2.7</w:t>
            </w:r>
          </w:p>
        </w:tc>
        <w:tc>
          <w:tcPr>
            <w:tcW w:type="dxa" w:w="5102"/>
          </w:tcPr>
          <w:p>
            <w:pPr>
              <w:spacing w:after="20"/>
            </w:pPr>
            <w:r/>
            <w:r>
              <w:rPr>
                <w:b w:val="0"/>
                <w:sz w:val="19"/>
              </w:rPr>
              <w:t>Tài sản trí tuệ theo loại hình: đã cấp văn bằng 9, đang xử lý 3, gồm đơn sáng chế năm 2026</w:t>
            </w:r>
          </w:p>
        </w:tc>
        <w:tc>
          <w:tcPr>
            <w:tcW w:type="dxa" w:w="5102"/>
          </w:tcPr>
          <w:p>
            <w:pPr>
              <w:spacing w:after="20"/>
            </w:pPr>
            <w:r/>
            <w:r>
              <w:rPr>
                <w:b w:val="0"/>
                <w:sz w:val="19"/>
              </w:rPr>
              <w:t>Hồ sơ trong kỳ 2021 - 2025 theo ba nhóm trạng thái: đã cấp văn bằng, giấy chứng nhận 4; có số hiệu văn bằng, trạng thái chưa xác minh 5; đã nộp đơn 2. Không gồm đơn năm 2026</w:t>
            </w:r>
          </w:p>
        </w:tc>
        <w:tc>
          <w:tcPr>
            <w:tcW w:type="dxa" w:w="1984"/>
          </w:tcPr>
          <w:p>
            <w:pPr>
              <w:spacing w:after="20"/>
            </w:pPr>
            <w:r/>
            <w:r>
              <w:rPr>
                <w:b w:val="0"/>
                <w:sz w:val="19"/>
              </w:rPr>
              <w:t>Góp ý mục 5: Theo dõi đơn nhãn hiệu và KDCN.xlsx</w:t>
            </w:r>
          </w:p>
        </w:tc>
      </w:tr>
      <w:tr>
        <w:tc>
          <w:tcPr>
            <w:tcW w:type="dxa" w:w="567"/>
          </w:tcPr>
          <w:p>
            <w:pPr>
              <w:spacing w:after="20"/>
            </w:pPr>
            <w:r/>
            <w:r>
              <w:rPr>
                <w:b w:val="0"/>
                <w:sz w:val="19"/>
              </w:rPr>
              <w:t>155</w:t>
            </w:r>
          </w:p>
        </w:tc>
        <w:tc>
          <w:tcPr>
            <w:tcW w:type="dxa" w:w="2041"/>
          </w:tcPr>
          <w:p>
            <w:pPr>
              <w:spacing w:after="20"/>
            </w:pPr>
            <w:r/>
            <w:r>
              <w:rPr>
                <w:b w:val="0"/>
                <w:sz w:val="19"/>
              </w:rPr>
              <w:t>Chương 2, Hình 2.8</w:t>
            </w:r>
          </w:p>
        </w:tc>
        <w:tc>
          <w:tcPr>
            <w:tcW w:type="dxa" w:w="5102"/>
          </w:tcPr>
          <w:p>
            <w:pPr>
              <w:spacing w:after="20"/>
            </w:pPr>
            <w:r/>
            <w:r>
              <w:rPr>
                <w:b w:val="0"/>
                <w:sz w:val="19"/>
              </w:rPr>
              <w:t>Sản phẩm đề tài cấp cơ sở đủ điều kiện xác lập quyền theo nhóm quyền có thể xác lập</w:t>
            </w:r>
          </w:p>
        </w:tc>
        <w:tc>
          <w:tcPr>
            <w:tcW w:type="dxa" w:w="5102"/>
          </w:tcPr>
          <w:p>
            <w:pPr>
              <w:spacing w:after="20"/>
            </w:pPr>
            <w:r/>
            <w:r>
              <w:rPr>
                <w:b w:val="0"/>
                <w:sz w:val="19"/>
              </w:rPr>
              <w:t>Sản phẩm đề tài cấp cơ sở có tiềm năng tạo lập tài sản trí tuệ theo nhóm quyền dự kiến; số liệu không đổi</w:t>
            </w:r>
          </w:p>
        </w:tc>
        <w:tc>
          <w:tcPr>
            <w:tcW w:type="dxa" w:w="1984"/>
          </w:tcPr>
          <w:p>
            <w:pPr>
              <w:spacing w:after="20"/>
            </w:pPr>
            <w:r/>
            <w:r>
              <w:rPr>
                <w:b w:val="0"/>
                <w:sz w:val="19"/>
              </w:rPr>
              <w:t>Góp ý mục 7: 11 đề tài là có tiềm năng tạo lập tài sản trí tuệ, chưa được thẩm định</w:t>
            </w:r>
          </w:p>
        </w:tc>
      </w:tr>
      <w:tr>
        <w:tc>
          <w:tcPr>
            <w:tcW w:type="dxa" w:w="567"/>
          </w:tcPr>
          <w:p>
            <w:pPr>
              <w:spacing w:after="20"/>
            </w:pPr>
            <w:r/>
            <w:r>
              <w:rPr>
                <w:b w:val="0"/>
                <w:sz w:val="19"/>
              </w:rPr>
              <w:t>156</w:t>
            </w:r>
          </w:p>
        </w:tc>
        <w:tc>
          <w:tcPr>
            <w:tcW w:type="dxa" w:w="2041"/>
          </w:tcPr>
          <w:p>
            <w:pPr>
              <w:spacing w:after="20"/>
            </w:pPr>
            <w:r/>
            <w:r>
              <w:rPr>
                <w:b w:val="0"/>
                <w:sz w:val="19"/>
              </w:rPr>
              <w:t>Chương 2, Hình 2.9</w:t>
            </w:r>
          </w:p>
        </w:tc>
        <w:tc>
          <w:tcPr>
            <w:tcW w:type="dxa" w:w="5102"/>
          </w:tcPr>
          <w:p>
            <w:pPr>
              <w:spacing w:after="20"/>
            </w:pPr>
            <w:r/>
            <w:r>
              <w:rPr>
                <w:b w:val="0"/>
                <w:sz w:val="19"/>
              </w:rPr>
              <w:t>Phễu 38 đề tài, 11 có sản phẩm đủ điều kiện, 1 đơn; đề tài giao đến 2024: 31, 8, 0</w:t>
            </w:r>
          </w:p>
        </w:tc>
        <w:tc>
          <w:tcPr>
            <w:tcW w:type="dxa" w:w="5102"/>
          </w:tcPr>
          <w:p>
            <w:pPr>
              <w:spacing w:after="20"/>
            </w:pPr>
            <w:r/>
            <w:r>
              <w:rPr>
                <w:b w:val="0"/>
                <w:sz w:val="19"/>
              </w:rPr>
              <w:t>Phễu sở hữu công nghiệp: 38 đề tài, 9 có sản phẩm tiềm năng sở hữu công nghiệp, 1 đơn; đề tài mã số 2021 - 2024, đều nghiệm thu trước 31/5/2025: 31, 6, 0. Hai sản phẩm quyền tác giả được tách riêng</w:t>
            </w:r>
          </w:p>
        </w:tc>
        <w:tc>
          <w:tcPr>
            <w:tcW w:type="dxa" w:w="1984"/>
          </w:tcPr>
          <w:p>
            <w:pPr>
              <w:spacing w:after="20"/>
            </w:pPr>
            <w:r/>
            <w:r>
              <w:rPr>
                <w:b w:val="0"/>
                <w:sz w:val="19"/>
              </w:rPr>
              <w:t>Góp ý mục 7: phễu sở hữu công nghiệp không gộp quyền tác giả; Bảng 2.7 bổ sung ngày nghiệm thu</w:t>
            </w:r>
          </w:p>
        </w:tc>
      </w:tr>
      <w:tr>
        <w:tc>
          <w:tcPr>
            <w:tcW w:type="dxa" w:w="567"/>
          </w:tcPr>
          <w:p>
            <w:pPr>
              <w:spacing w:after="20"/>
            </w:pPr>
            <w:r/>
            <w:r>
              <w:rPr>
                <w:b w:val="0"/>
                <w:sz w:val="19"/>
              </w:rPr>
              <w:t>157</w:t>
            </w:r>
          </w:p>
        </w:tc>
        <w:tc>
          <w:tcPr>
            <w:tcW w:type="dxa" w:w="2041"/>
          </w:tcPr>
          <w:p>
            <w:pPr>
              <w:spacing w:after="20"/>
            </w:pPr>
            <w:r/>
            <w:r>
              <w:rPr>
                <w:b w:val="0"/>
                <w:sz w:val="19"/>
              </w:rPr>
              <w:t>Chương 2, Hình 2.10</w:t>
            </w:r>
          </w:p>
        </w:tc>
        <w:tc>
          <w:tcPr>
            <w:tcW w:type="dxa" w:w="5102"/>
          </w:tcPr>
          <w:p>
            <w:pPr>
              <w:spacing w:after="20"/>
            </w:pPr>
            <w:r/>
            <w:r>
              <w:rPr>
                <w:b w:val="0"/>
                <w:sz w:val="19"/>
              </w:rPr>
              <w:t>10 chỉ tiêu, 7 đạt; chỉ tiêu văn bằng 6 trên 4, tức 150%, tính cả nhãn hiệu Thado Edupark; tên chỉ tiêu viết tắt</w:t>
            </w:r>
          </w:p>
        </w:tc>
        <w:tc>
          <w:tcPr>
            <w:tcW w:type="dxa" w:w="5102"/>
          </w:tcPr>
          <w:p>
            <w:pPr>
              <w:spacing w:after="20"/>
            </w:pPr>
            <w:r/>
            <w:r>
              <w:rPr>
                <w:b w:val="0"/>
                <w:sz w:val="19"/>
              </w:rPr>
              <w:t>9 chỉ tiêu xác định được, 6 đạt; mục 1.11 đưa ra khỏi biểu đồ, ghi chưa xác định, nếu 5 kiểu dáng được xác nhận cấp năm 2024 thì 5 trên 4, tức 125%; tên chỉ tiêu ghi theo nguyên văn kèm số mục; sheet DL_Ke_hoach_07 ghi đủ 10 chỉ tiêu</w:t>
            </w:r>
          </w:p>
        </w:tc>
        <w:tc>
          <w:tcPr>
            <w:tcW w:type="dxa" w:w="1984"/>
          </w:tcPr>
          <w:p>
            <w:pPr>
              <w:spacing w:after="20"/>
            </w:pPr>
            <w:r/>
            <w:r>
              <w:rPr>
                <w:b w:val="0"/>
                <w:sz w:val="19"/>
              </w:rPr>
              <w:t>Góp ý mục 6: Kế hoạch 07/KH-ĐHTĐ trang 7, mục 1.11 không gồm nhãn hiệu</w:t>
            </w:r>
          </w:p>
        </w:tc>
      </w:tr>
      <w:tr>
        <w:tc>
          <w:tcPr>
            <w:tcW w:type="dxa" w:w="567"/>
          </w:tcPr>
          <w:p>
            <w:pPr>
              <w:spacing w:after="20"/>
            </w:pPr>
            <w:r/>
            <w:r>
              <w:rPr>
                <w:b w:val="0"/>
                <w:sz w:val="19"/>
              </w:rPr>
              <w:t>158</w:t>
            </w:r>
          </w:p>
        </w:tc>
        <w:tc>
          <w:tcPr>
            <w:tcW w:type="dxa" w:w="2041"/>
          </w:tcPr>
          <w:p>
            <w:pPr>
              <w:spacing w:after="20"/>
            </w:pPr>
            <w:r/>
            <w:r>
              <w:rPr>
                <w:b w:val="0"/>
                <w:sz w:val="19"/>
              </w:rPr>
              <w:t>Chương 2, Hình 2.11</w:t>
            </w:r>
          </w:p>
        </w:tc>
        <w:tc>
          <w:tcPr>
            <w:tcW w:type="dxa" w:w="5102"/>
          </w:tcPr>
          <w:p>
            <w:pPr>
              <w:spacing w:after="20"/>
            </w:pPr>
            <w:r/>
            <w:r>
              <w:rPr>
                <w:b w:val="0"/>
                <w:sz w:val="19"/>
              </w:rPr>
              <w:t>Chuỗi nguyên nhân: trách nhiệm dồn về tác giả; chưa có dòng kinh phí nộp đơn; điểm nghẽn cốt lõi</w:t>
            </w:r>
          </w:p>
        </w:tc>
        <w:tc>
          <w:tcPr>
            <w:tcW w:type="dxa" w:w="5102"/>
          </w:tcPr>
          <w:p>
            <w:pPr>
              <w:spacing w:after="20"/>
            </w:pPr>
            <w:r/>
            <w:r>
              <w:rPr>
                <w:b w:val="0"/>
                <w:sz w:val="19"/>
              </w:rPr>
              <w:t>Giả thuyết về chuỗi nguyên nhân: việc khởi động thủ tục phụ thuộc vào sự chủ động của chủ nhiệm đề tài; chưa có dự toán riêng và người chịu trách nhiệm đề xuất chi; kết quả có thể được công bố trước khi sàng lọc; điểm nghẽn giả định</w:t>
            </w:r>
          </w:p>
        </w:tc>
        <w:tc>
          <w:tcPr>
            <w:tcW w:type="dxa" w:w="1984"/>
          </w:tcPr>
          <w:p>
            <w:pPr>
              <w:spacing w:after="20"/>
            </w:pPr>
            <w:r/>
            <w:r>
              <w:rPr>
                <w:b w:val="0"/>
                <w:sz w:val="19"/>
              </w:rPr>
              <w:t>Góp ý mục 3: Điều 10, Điều 11 Quyết định 217; nhận định chỉ giữ ở dạng giả thuyết khi chưa có bằng chứng</w:t>
            </w:r>
          </w:p>
        </w:tc>
      </w:tr>
      <w:tr>
        <w:tc>
          <w:tcPr>
            <w:tcW w:type="dxa" w:w="567"/>
          </w:tcPr>
          <w:p>
            <w:pPr>
              <w:spacing w:after="20"/>
            </w:pPr>
            <w:r/>
            <w:r>
              <w:rPr>
                <w:b w:val="0"/>
                <w:sz w:val="19"/>
              </w:rPr>
              <w:t>159</w:t>
            </w:r>
          </w:p>
        </w:tc>
        <w:tc>
          <w:tcPr>
            <w:tcW w:type="dxa" w:w="2041"/>
          </w:tcPr>
          <w:p>
            <w:pPr>
              <w:spacing w:after="20"/>
            </w:pPr>
            <w:r/>
            <w:r>
              <w:rPr>
                <w:b w:val="0"/>
                <w:sz w:val="19"/>
              </w:rPr>
              <w:t>Chương 3, Hình 3.1</w:t>
            </w:r>
          </w:p>
        </w:tc>
        <w:tc>
          <w:tcPr>
            <w:tcW w:type="dxa" w:w="5102"/>
          </w:tcPr>
          <w:p>
            <w:pPr>
              <w:spacing w:after="20"/>
            </w:pPr>
            <w:r/>
            <w:r>
              <w:rPr>
                <w:b w:val="0"/>
                <w:sz w:val="19"/>
              </w:rPr>
              <w:t>Phòng Tài chính - Kế toán: kinh phí nộp đơn, chi trả thù lao, giám sát quỹ</w:t>
            </w:r>
          </w:p>
        </w:tc>
        <w:tc>
          <w:tcPr>
            <w:tcW w:type="dxa" w:w="5102"/>
          </w:tcPr>
          <w:p>
            <w:pPr>
              <w:spacing w:after="20"/>
            </w:pPr>
            <w:r/>
            <w:r>
              <w:rPr>
                <w:b w:val="0"/>
                <w:sz w:val="19"/>
              </w:rPr>
              <w:t>Phòng Tài chính - Kế toán: dự toán phí xác lập quyền, chi trả thưởng, thù lao</w:t>
            </w:r>
          </w:p>
        </w:tc>
        <w:tc>
          <w:tcPr>
            <w:tcW w:type="dxa" w:w="1984"/>
          </w:tcPr>
          <w:p>
            <w:pPr>
              <w:spacing w:after="20"/>
            </w:pPr>
            <w:r/>
            <w:r>
              <w:rPr>
                <w:b w:val="0"/>
                <w:sz w:val="19"/>
              </w:rPr>
              <w:t>Góp ý mục 2 và mục 3: phân biệt thưởng, thù lao; chuyển trọng tâm sang dự toán</w:t>
            </w:r>
          </w:p>
        </w:tc>
      </w:tr>
      <w:tr>
        <w:tc>
          <w:tcPr>
            <w:tcW w:type="dxa" w:w="567"/>
          </w:tcPr>
          <w:p>
            <w:pPr>
              <w:spacing w:after="20"/>
            </w:pPr>
            <w:r/>
            <w:r>
              <w:rPr>
                <w:b w:val="0"/>
                <w:sz w:val="19"/>
              </w:rPr>
              <w:t>160</w:t>
            </w:r>
          </w:p>
        </w:tc>
        <w:tc>
          <w:tcPr>
            <w:tcW w:type="dxa" w:w="2041"/>
          </w:tcPr>
          <w:p>
            <w:pPr>
              <w:spacing w:after="20"/>
            </w:pPr>
            <w:r/>
            <w:r>
              <w:rPr>
                <w:b w:val="0"/>
                <w:sz w:val="19"/>
              </w:rPr>
              <w:t>Chương 3, Hình 3.2</w:t>
            </w:r>
          </w:p>
        </w:tc>
        <w:tc>
          <w:tcPr>
            <w:tcW w:type="dxa" w:w="5102"/>
          </w:tcPr>
          <w:p>
            <w:pPr>
              <w:spacing w:after="20"/>
            </w:pPr>
            <w:r/>
            <w:r>
              <w:rPr>
                <w:b w:val="0"/>
                <w:sz w:val="19"/>
              </w:rPr>
              <w:t>Quy trình 8 khâu từ ý tưởng đến thương mại hóa, khâu 4 rà soát tại nghiệm thu là mắt xích quyết định</w:t>
            </w:r>
          </w:p>
        </w:tc>
        <w:tc>
          <w:tcPr>
            <w:tcW w:type="dxa" w:w="5102"/>
          </w:tcPr>
          <w:p>
            <w:pPr>
              <w:spacing w:after="20"/>
            </w:pPr>
            <w:r/>
            <w:r>
              <w:rPr>
                <w:b w:val="0"/>
                <w:sz w:val="19"/>
              </w:rPr>
              <w:t>Quy trình 8 khâu từ khai báo đến khai thác: khai báo; sàng lọc, phân nhánh; tra cứu; xem xét bảo mật trước khi công bố hoặc trình diễn; xác nhận tại nghiệm thu; quyết định xác lập quyền và dự toán; nộp đơn hoặc bảo mật, theo dõi; khai thác. Bổ sung 5 nhánh: sáng chế, giải pháp hữu ích; kiểu dáng; nhãn hiệu; quyền tác giả; bí mật kinh doanh</w:t>
            </w:r>
          </w:p>
        </w:tc>
        <w:tc>
          <w:tcPr>
            <w:tcW w:type="dxa" w:w="1984"/>
          </w:tcPr>
          <w:p>
            <w:pPr>
              <w:spacing w:after="20"/>
            </w:pPr>
            <w:r/>
            <w:r>
              <w:rPr>
                <w:b w:val="0"/>
                <w:sz w:val="19"/>
              </w:rPr>
              <w:t>Góp ý mục 8: bước nhận diện, tra cứu, bảo mật trước công bố; phân nhánh theo đối tượng</w:t>
            </w:r>
          </w:p>
        </w:tc>
      </w:tr>
      <w:tr>
        <w:tc>
          <w:tcPr>
            <w:tcW w:type="dxa" w:w="567"/>
          </w:tcPr>
          <w:p>
            <w:pPr>
              <w:spacing w:after="20"/>
            </w:pPr>
            <w:r/>
            <w:r>
              <w:rPr>
                <w:b w:val="0"/>
                <w:sz w:val="19"/>
              </w:rPr>
              <w:t>161</w:t>
            </w:r>
          </w:p>
        </w:tc>
        <w:tc>
          <w:tcPr>
            <w:tcW w:type="dxa" w:w="2041"/>
          </w:tcPr>
          <w:p>
            <w:pPr>
              <w:spacing w:after="20"/>
            </w:pPr>
            <w:r/>
            <w:r>
              <w:rPr>
                <w:b w:val="0"/>
                <w:sz w:val="19"/>
              </w:rPr>
              <w:t>Chương 3, Hình 3.3</w:t>
            </w:r>
          </w:p>
        </w:tc>
        <w:tc>
          <w:tcPr>
            <w:tcW w:type="dxa" w:w="5102"/>
          </w:tcPr>
          <w:p>
            <w:pPr>
              <w:spacing w:after="20"/>
            </w:pPr>
            <w:r/>
            <w:r>
              <w:rPr>
                <w:b w:val="0"/>
                <w:sz w:val="19"/>
              </w:rPr>
              <w:t>Lộ trình: quy chế hợp nhất, nhân sự chuyên trách, dòng kinh phí; doanh nghiệp quản lý tài sản trí tuệ vận hành từ 2029</w:t>
            </w:r>
          </w:p>
        </w:tc>
        <w:tc>
          <w:tcPr>
            <w:tcW w:type="dxa" w:w="5102"/>
          </w:tcPr>
          <w:p>
            <w:pPr>
              <w:spacing w:after="20"/>
            </w:pPr>
            <w:r/>
            <w:r>
              <w:rPr>
                <w:b w:val="0"/>
                <w:sz w:val="19"/>
              </w:rPr>
              <w:t>Lộ trình: hoàn thiện quy chế; phiếu khai báo, phiếu rà soát; đầu mối kiêm nhiệm và dự toán phí; xem xét chuyên trách khi đạt ngưỡng; trung tâm, doanh nghiệp chỉ khi đủ điều kiện</w:t>
            </w:r>
          </w:p>
        </w:tc>
        <w:tc>
          <w:tcPr>
            <w:tcW w:type="dxa" w:w="1984"/>
          </w:tcPr>
          <w:p>
            <w:pPr>
              <w:spacing w:after="20"/>
            </w:pPr>
            <w:r/>
            <w:r>
              <w:rPr>
                <w:b w:val="0"/>
                <w:sz w:val="19"/>
              </w:rPr>
              <w:t>Góp ý mục 8: phương án theo giai đoạn, điều kiện chuyển bước</w:t>
            </w:r>
          </w:p>
        </w:tc>
      </w:tr>
    </w:tbl>
    <w:sectPr w:rsidR="00FC693F" w:rsidRPr="0006063C" w:rsidSect="00034616">
      <w:pgSz w:w="16838" w:h="11906"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