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keepNext/>
        <w:spacing w:after="80"/>
        <w:ind w:firstLine="0"/>
        <w:jc w:val="center"/>
        <w:outlineLvl w:val="0"/>
        <w:rPr>
          <w:szCs w:val="26"/>
        </w:rPr>
      </w:pPr>
      <w:r w:rsidRPr="000F7C87">
        <w:rPr>
          <w:b/>
          <w:szCs w:val="26"/>
        </w:rPr>
        <w:t>CHƯƠNG 2</w:t>
      </w:r>
    </w:p>
    <w:p w14:paraId="6D6BC851" w14:textId="77777777" w:rsidR="005B561C" w:rsidRPr="000F7C87" w:rsidRDefault="00000000">
      <w:pPr>
        <w:spacing w:after="80"/>
        <w:ind w:firstLine="0"/>
        <w:jc w:val="center"/>
        <w:rPr>
          <w:szCs w:val="26"/>
        </w:rPr>
      </w:pPr>
      <w:r w:rsidRPr="000F7C87">
        <w:rPr>
          <w:b/>
          <w:szCs w:val="26"/>
        </w:rPr>
        <w:t>THỰC TRẠNG QUẢN LÝ QUYỀN SỞ HỮU TRÍ TUỆ</w:t>
      </w:r>
    </w:p>
    <w:p w14:paraId="5AF0BBF7" w14:textId="77777777" w:rsidR="005B561C" w:rsidRPr="000F7C87" w:rsidRDefault="00000000">
      <w:pPr>
        <w:spacing w:after="280"/>
        <w:ind w:firstLine="0"/>
        <w:jc w:val="center"/>
        <w:rPr>
          <w:szCs w:val="26"/>
        </w:rPr>
      </w:pP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cantSplit/>
          <w:tblHeader/>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cantSplit/>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cantSplit/>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cantSplit/>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cantSplit/>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cantSplit/>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cantSplit/>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cantSplit/>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cantSplit/>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cantSplit/>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cantSplit/>
          <w:tblHeader/>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cantSplit/>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cantSplit/>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cantSplit/>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cantSplit/>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cantSplit/>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cantSplit/>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cantSplit/>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cantSplit/>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cantSplit/>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p w14:paraId="48E95726" w14:textId="77777777" w:rsidR="005B561C" w:rsidRPr="000F7C87" w:rsidRDefault="00000000">
      <w:pPr>
        <w:rPr>
          <w:szCs w:val="26"/>
        </w:rPr>
      </w:pPr>
      <w:r w:rsidRPr="000F7C87">
        <w:rPr>
          <w:szCs w:val="26"/>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p w14:paraId="478B6AC7" w14:textId="77777777" w:rsidR="005B561C" w:rsidRPr="000F7C87" w:rsidRDefault="00000000">
      <w:pPr>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p w14:paraId="48E95726" w14:textId="77777777" w:rsidR="005B561C" w:rsidRPr="000F7C87" w:rsidRDefault="00000000">
      <w:pPr>
        <w:rPr>
          <w:szCs w:val="26"/>
        </w:rPr>
      </w:pPr>
      <w:r w:rsidRPr="000F7C87">
        <w:rPr>
          <w:szCs w:val="26"/>
        </w:rPr>
        <w:t>Tính trên toàn bộ nhân sự, gồm cả khối hành chính, 88 trên 247 người có họ tên đầy đủ, tức 35,6%, đứng tên ít nhất một bài báo trong năm năm; hệ số Gini về số bài là 0,829, và trong nhóm có công bố, 10% người dẫn đầu chiếm 39,3% số lượt đứng tên. Lực lượng nghiên cứu nòng cốt vì vậy còn tương đối mỏng so với quy mô Nhà trường. Đáng chú ý, Viện Y - Dược là nơi phát sinh phần lớn sản phẩm đề tài đủ điều kiện xác lập quyền và cả hai đơn sáng chế, cho thấy tiềm năng tài sản trí tuệ của khối ngành Y - Dược rất lớn;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được xây dựng như một quy chế chuyên biệt và chưa dẫn chiếu Chương VI Quyết định 213, hai văn bản cùng hiệu lực; bốn văn bản hiện chứa năm quy định khác nhau về phân chia lợi ích, được trình bày tại Bảng 2.3.</w:t>
      </w:r>
    </w:p>
    <w:p w14:paraId="478B6AC7" w14:textId="77777777" w:rsidR="005B561C" w:rsidRPr="000F7C87" w:rsidRDefault="00000000">
      <w:pPr>
        <w:keepNext/>
        <w:spacing w:before="160" w:after="80"/>
        <w:ind w:firstLine="0"/>
        <w:jc w:val="center"/>
        <w:rPr>
          <w:szCs w:val="26"/>
        </w:rPr>
      </w:pPr>
      <w:r w:rsidRPr="000F7C87">
        <w:rPr>
          <w:b/>
          <w:szCs w:val="26"/>
        </w:rPr>
        <w:t>Bảng 2.3. Các quy định về phân chia lợi ích từ tài sản trí tuệ trong nội bộ Trường Đại học Thành Đô</w:t>
      </w:r>
    </w:p>
    <w:tbl>
      <w:tblPr>
        <w:tblStyle w:val="TableGrid"/>
        <w:tblW w:w="0" w:type="auto"/>
        <w:jc w:val="center"/>
        <w:tblLook w:val="04A0" w:firstRow="1" w:lastRow="0" w:firstColumn="1" w:lastColumn="0" w:noHBand="0" w:noVBand="1"/>
      </w:tblPr>
      <w:tblGrid>
        <w:gridCol w:w="1987"/>
        <w:gridCol w:w="869"/>
        <w:gridCol w:w="2112"/>
        <w:gridCol w:w="2857"/>
        <w:gridCol w:w="1242"/>
      </w:tblGrid>
      <w:tr>
        <w:trPr>
          <w:cantSplit/>
          <w:tblHeader/>
        </w:trPr>
        <w:tc>
          <w:tcPr>
            <w:tcW w:w="1987" w:type="dxa"/>
            <w:shd w:val="clear" w:color="auto" w:fill="DCE8F7"/>
            <w:vAlign w:val="center"/>
          </w:tcPr>
          <w:p>
            <w:pPr>
              <w:spacing w:before="20" w:after="20" w:line="252" w:lineRule="auto"/>
              <w:ind w:firstLine="0"/>
              <w:jc w:val="center"/>
            </w:pPr>
            <w:r>
              <w:rPr>
                <w:b/>
                <w:sz w:val="24"/>
              </w:rPr>
              <w:t xml:space="preserve">Văn bản</w:t>
            </w:r>
          </w:p>
        </w:tc>
        <w:tc>
          <w:tcPr>
            <w:tcW w:w="869" w:type="dxa"/>
            <w:shd w:val="clear" w:color="auto" w:fill="DCE8F7"/>
            <w:vAlign w:val="center"/>
          </w:tcPr>
          <w:p>
            <w:pPr>
              <w:spacing w:before="20" w:after="20" w:line="252" w:lineRule="auto"/>
              <w:ind w:firstLine="0"/>
              <w:jc w:val="center"/>
            </w:pPr>
            <w:r>
              <w:rPr>
                <w:b/>
                <w:sz w:val="24"/>
              </w:rPr>
              <w:t xml:space="preserve">Năm</w:t>
            </w:r>
          </w:p>
        </w:tc>
        <w:tc>
          <w:tcPr>
            <w:tcW w:w="2112" w:type="dxa"/>
            <w:shd w:val="clear" w:color="auto" w:fill="DCE8F7"/>
            <w:vAlign w:val="center"/>
          </w:tcPr>
          <w:p>
            <w:pPr>
              <w:spacing w:before="20" w:after="20" w:line="252" w:lineRule="auto"/>
              <w:ind w:firstLine="0"/>
              <w:jc w:val="center"/>
            </w:pPr>
            <w:r>
              <w:rPr>
                <w:b/>
                <w:sz w:val="24"/>
              </w:rPr>
              <w:t xml:space="preserve">Phạm vi áp dụng</w:t>
            </w:r>
          </w:p>
        </w:tc>
        <w:tc>
          <w:tcPr>
            <w:tcW w:w="2857" w:type="dxa"/>
            <w:shd w:val="clear" w:color="auto" w:fill="DCE8F7"/>
            <w:vAlign w:val="center"/>
          </w:tcPr>
          <w:p>
            <w:pPr>
              <w:spacing w:before="20" w:after="20" w:line="252" w:lineRule="auto"/>
              <w:ind w:firstLine="0"/>
              <w:jc w:val="center"/>
            </w:pPr>
            <w:r>
              <w:rPr>
                <w:b/>
                <w:sz w:val="24"/>
              </w:rPr>
              <w:t xml:space="preserve">Công thức chia lợi ích</w:t>
            </w:r>
          </w:p>
        </w:tc>
        <w:tc>
          <w:tcPr>
            <w:tcW w:w="1242" w:type="dxa"/>
            <w:shd w:val="clear" w:color="auto" w:fill="DCE8F7"/>
            <w:vAlign w:val="center"/>
          </w:tcPr>
          <w:p>
            <w:pPr>
              <w:spacing w:before="20" w:after="20" w:line="252" w:lineRule="auto"/>
              <w:ind w:firstLine="0"/>
              <w:jc w:val="center"/>
            </w:pPr>
            <w:r>
              <w:rPr>
                <w:b/>
                <w:sz w:val="24"/>
              </w:rPr>
              <w:t xml:space="preserve">Mức trần</w:t>
            </w:r>
          </w:p>
        </w:tc>
      </w:tr>
      <w:tr>
        <w:trPr>
          <w:cantSplit/>
        </w:trPr>
        <w:tc>
          <w:tcPr>
            <w:tcW w:w="1987" w:type="dxa"/>
            <w:vAlign w:val="center"/>
          </w:tcPr>
          <w:p>
            <w:pPr>
              <w:spacing w:before="20" w:after="20" w:line="252" w:lineRule="auto"/>
              <w:ind w:firstLine="0"/>
              <w:jc w:val="left"/>
            </w:pPr>
            <w:r>
              <w:rPr>
                <w:sz w:val="24"/>
              </w:rPr>
              <w:t xml:space="preserve">Quyết định 213, điểm a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Đề tài sử dụng ngân sách nhà nước do Trường chủ trì</w:t>
            </w:r>
          </w:p>
        </w:tc>
        <w:tc>
          <w:tcPr>
            <w:tcW w:w="2857"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242" w:type="dxa"/>
            <w:vAlign w:val="center"/>
          </w:tcPr>
          <w:p>
            <w:pPr>
              <w:spacing w:before="20" w:after="20" w:line="252" w:lineRule="auto"/>
              <w:ind w:firstLine="0"/>
              <w:jc w:val="left"/>
            </w:pPr>
            <w:r>
              <w:rPr>
                <w:sz w:val="24"/>
              </w:rPr>
              <w:t xml:space="preserve">100 triệu đồng</w:t>
            </w:r>
          </w:p>
        </w:tc>
      </w:tr>
      <w:tr>
        <w:trPr>
          <w:cantSplit/>
        </w:trPr>
        <w:tc>
          <w:tcPr>
            <w:tcW w:w="1987" w:type="dxa"/>
            <w:vAlign w:val="center"/>
          </w:tcPr>
          <w:p>
            <w:pPr>
              <w:spacing w:before="20" w:after="20" w:line="252" w:lineRule="auto"/>
              <w:ind w:firstLine="0"/>
              <w:jc w:val="left"/>
            </w:pPr>
            <w:r>
              <w:rPr>
                <w:sz w:val="24"/>
              </w:rPr>
              <w:t xml:space="preserve">Quyết định 213, điểm b khoản 4 Điều 36</w:t>
            </w:r>
          </w:p>
        </w:tc>
        <w:tc>
          <w:tcPr>
            <w:tcW w:w="869" w:type="dxa"/>
            <w:vAlign w:val="center"/>
          </w:tcPr>
          <w:p>
            <w:pPr>
              <w:spacing w:before="20" w:after="20" w:line="252" w:lineRule="auto"/>
              <w:ind w:firstLine="0"/>
              <w:jc w:val="center"/>
            </w:pPr>
            <w:r>
              <w:rPr>
                <w:sz w:val="24"/>
              </w:rPr>
              <w:t xml:space="preserve">2021</w:t>
            </w:r>
          </w:p>
        </w:tc>
        <w:tc>
          <w:tcPr>
            <w:tcW w:w="2112" w:type="dxa"/>
            <w:vAlign w:val="center"/>
          </w:tcPr>
          <w:p>
            <w:pPr>
              <w:spacing w:before="20" w:after="20" w:line="252" w:lineRule="auto"/>
              <w:ind w:firstLine="0"/>
              <w:jc w:val="left"/>
            </w:pPr>
            <w:r>
              <w:rPr>
                <w:sz w:val="24"/>
              </w:rPr>
              <w:t xml:space="preserve">Tài sản trí tuệ thuộc sở hữu của Trường được chuyển giao</w:t>
            </w:r>
          </w:p>
        </w:tc>
        <w:tc>
          <w:tcPr>
            <w:tcW w:w="2857" w:type="dxa"/>
            <w:vAlign w:val="center"/>
          </w:tcPr>
          <w:p>
            <w:pPr>
              <w:spacing w:before="20" w:after="20" w:line="252" w:lineRule="auto"/>
              <w:ind w:firstLine="0"/>
              <w:jc w:val="left"/>
            </w:pPr>
            <w:r>
              <w:rPr>
                <w:sz w:val="24"/>
              </w:rPr>
              <w:t xml:space="preserve">30% tác giả, 20% đơn vị có tác giả, 50% Quỹ nghiên cứu khoa học của Trường</w:t>
            </w:r>
          </w:p>
        </w:tc>
        <w:tc>
          <w:tcPr>
            <w:tcW w:w="1242" w:type="dxa"/>
            <w:vAlign w:val="center"/>
          </w:tcPr>
          <w:p>
            <w:pPr>
              <w:spacing w:before="20" w:after="20" w:line="252" w:lineRule="auto"/>
              <w:ind w:firstLine="0"/>
              <w:jc w:val="left"/>
            </w:pPr>
            <w:r>
              <w:rPr>
                <w:sz w:val="24"/>
              </w:rPr>
              <w:t xml:space="preserve">Không đặt trần</w:t>
            </w:r>
          </w:p>
        </w:tc>
      </w:tr>
      <w:tr>
        <w:trPr>
          <w:cantSplit/>
        </w:trPr>
        <w:tc>
          <w:tcPr>
            <w:tcW w:w="1987" w:type="dxa"/>
            <w:vAlign w:val="center"/>
          </w:tcPr>
          <w:p>
            <w:pPr>
              <w:spacing w:before="20" w:after="20" w:line="252" w:lineRule="auto"/>
              <w:ind w:firstLine="0"/>
              <w:jc w:val="left"/>
            </w:pPr>
            <w:r>
              <w:rPr>
                <w:sz w:val="24"/>
              </w:rPr>
              <w:t xml:space="preserve">Quyết định 217, Điều 13</w:t>
            </w:r>
          </w:p>
        </w:tc>
        <w:tc>
          <w:tcPr>
            <w:tcW w:w="869" w:type="dxa"/>
            <w:vAlign w:val="center"/>
          </w:tcPr>
          <w:p>
            <w:pPr>
              <w:spacing w:before="20" w:after="20" w:line="252" w:lineRule="auto"/>
              <w:ind w:firstLine="0"/>
              <w:jc w:val="center"/>
            </w:pPr>
            <w:r>
              <w:rPr>
                <w:sz w:val="24"/>
              </w:rPr>
              <w:t xml:space="preserve">2024</w:t>
            </w:r>
          </w:p>
        </w:tc>
        <w:tc>
          <w:tcPr>
            <w:tcW w:w="2112" w:type="dxa"/>
            <w:vAlign w:val="center"/>
          </w:tcPr>
          <w:p>
            <w:pPr>
              <w:spacing w:before="20" w:after="20" w:line="252" w:lineRule="auto"/>
              <w:ind w:firstLine="0"/>
              <w:jc w:val="left"/>
            </w:pPr>
            <w:r>
              <w:rPr>
                <w:sz w:val="24"/>
              </w:rPr>
              <w:t xml:space="preserve">Tài sản trí tuệ của Trường khi các bên không có thỏa thuận</w:t>
            </w:r>
          </w:p>
        </w:tc>
        <w:tc>
          <w:tcPr>
            <w:tcW w:w="2857" w:type="dxa"/>
            <w:vAlign w:val="center"/>
          </w:tcPr>
          <w:p>
            <w:pPr>
              <w:spacing w:before="20" w:after="20" w:line="252" w:lineRule="auto"/>
              <w:ind w:firstLine="0"/>
              <w:jc w:val="left"/>
            </w:pPr>
            <w:r>
              <w:rPr>
                <w:sz w:val="24"/>
              </w:rPr>
              <w:t xml:space="preserve">Sau khi trừ chi phí, Hiệu trưởng quyết định tỷ lệ</w:t>
            </w:r>
          </w:p>
        </w:tc>
        <w:tc>
          <w:tcPr>
            <w:tcW w:w="1242" w:type="dxa"/>
            <w:vAlign w:val="center"/>
          </w:tcPr>
          <w:p>
            <w:pPr>
              <w:spacing w:before="20" w:after="20" w:line="252" w:lineRule="auto"/>
              <w:ind w:firstLine="0"/>
              <w:jc w:val="left"/>
            </w:pPr>
            <w:r>
              <w:rPr>
                <w:sz w:val="24"/>
              </w:rPr>
              <w:t xml:space="preserve">Không quy định</w:t>
            </w:r>
          </w:p>
        </w:tc>
      </w:tr>
      <w:tr>
        <w:trPr>
          <w:cantSplit/>
        </w:trPr>
        <w:tc>
          <w:tcPr>
            <w:tcW w:w="1987" w:type="dxa"/>
            <w:vAlign w:val="center"/>
          </w:tcPr>
          <w:p>
            <w:pPr>
              <w:spacing w:before="20" w:after="20" w:line="252" w:lineRule="auto"/>
              <w:ind w:firstLine="0"/>
              <w:jc w:val="left"/>
            </w:pPr>
            <w:r>
              <w:rPr>
                <w:sz w:val="24"/>
              </w:rPr>
              <w:t xml:space="preserve">Quy chế chi tiêu nội bộ</w:t>
            </w:r>
          </w:p>
        </w:tc>
        <w:tc>
          <w:tcPr>
            <w:tcW w:w="869" w:type="dxa"/>
            <w:vAlign w:val="center"/>
          </w:tcPr>
          <w:p>
            <w:pPr>
              <w:spacing w:before="20" w:after="20" w:line="252" w:lineRule="auto"/>
              <w:ind w:firstLine="0"/>
              <w:jc w:val="center"/>
            </w:pPr>
            <w:r>
              <w:rPr>
                <w:sz w:val="24"/>
              </w:rPr>
              <w:t xml:space="preserve">2026</w:t>
            </w:r>
          </w:p>
        </w:tc>
        <w:tc>
          <w:tcPr>
            <w:tcW w:w="2112" w:type="dxa"/>
            <w:vAlign w:val="center"/>
          </w:tcPr>
          <w:p>
            <w:pPr>
              <w:spacing w:before="20" w:after="20" w:line="252" w:lineRule="auto"/>
              <w:ind w:firstLine="0"/>
              <w:jc w:val="left"/>
            </w:pPr>
            <w:r>
              <w:rPr>
                <w:sz w:val="24"/>
              </w:rPr>
              <w:t xml:space="preserve">Đề tài có đăng ký sở hữu trí tuệ</w:t>
            </w:r>
          </w:p>
        </w:tc>
        <w:tc>
          <w:tcPr>
            <w:tcW w:w="2857" w:type="dxa"/>
            <w:vAlign w:val="center"/>
          </w:tcPr>
          <w:p>
            <w:pPr>
              <w:spacing w:before="20" w:after="20" w:line="252" w:lineRule="auto"/>
              <w:ind w:firstLine="0"/>
              <w:jc w:val="left"/>
            </w:pPr>
            <w:r>
              <w:rPr>
                <w:sz w:val="24"/>
              </w:rPr>
              <w:t xml:space="preserve">Trích 50% kinh phí chuyển giao công nghệ về Trường, không nêu phần của tác giả</w:t>
            </w:r>
          </w:p>
        </w:tc>
        <w:tc>
          <w:tcPr>
            <w:tcW w:w="1242" w:type="dxa"/>
            <w:vAlign w:val="center"/>
          </w:tcPr>
          <w:p>
            <w:pPr>
              <w:spacing w:before="20" w:after="20" w:line="252" w:lineRule="auto"/>
              <w:ind w:firstLine="0"/>
              <w:jc w:val="left"/>
            </w:pPr>
            <w:r>
              <w:rPr>
                <w:sz w:val="24"/>
              </w:rPr>
              <w:t xml:space="preserve">50 triệu đồng kinh phí đề tài</w:t>
            </w:r>
          </w:p>
        </w:tc>
      </w:tr>
      <w:tr>
        <w:trPr>
          <w:cantSplit/>
        </w:trPr>
        <w:tc>
          <w:tcPr>
            <w:tcW w:w="1987" w:type="dxa"/>
            <w:vAlign w:val="center"/>
          </w:tcPr>
          <w:p>
            <w:pPr>
              <w:spacing w:before="20" w:after="20" w:line="252" w:lineRule="auto"/>
              <w:ind w:firstLine="0"/>
              <w:jc w:val="left"/>
            </w:pPr>
            <w:r>
              <w:rPr>
                <w:sz w:val="24"/>
              </w:rPr>
              <w:t xml:space="preserve">Điều lệ Quỹ Ngô Xuân Độ, Điều 9</w:t>
            </w:r>
          </w:p>
        </w:tc>
        <w:tc>
          <w:tcPr>
            <w:tcW w:w="869" w:type="dxa"/>
            <w:vAlign w:val="center"/>
          </w:tcPr>
          <w:p>
            <w:pPr>
              <w:spacing w:before="20" w:after="20" w:line="252" w:lineRule="auto"/>
              <w:ind w:firstLine="0"/>
              <w:jc w:val="center"/>
            </w:pPr>
            <w:r>
              <w:rPr>
                <w:sz w:val="24"/>
              </w:rPr>
              <w:t xml:space="preserve">2025</w:t>
            </w:r>
          </w:p>
        </w:tc>
        <w:tc>
          <w:tcPr>
            <w:tcW w:w="2112" w:type="dxa"/>
            <w:vAlign w:val="center"/>
          </w:tcPr>
          <w:p>
            <w:pPr>
              <w:spacing w:before="20" w:after="20" w:line="252" w:lineRule="auto"/>
              <w:ind w:firstLine="0"/>
              <w:jc w:val="left"/>
            </w:pPr>
            <w:r>
              <w:rPr>
                <w:sz w:val="24"/>
              </w:rPr>
              <w:t xml:space="preserve">Sản phẩm hình thành từ kinh phí của Quỹ</w:t>
            </w:r>
          </w:p>
        </w:tc>
        <w:tc>
          <w:tcPr>
            <w:tcW w:w="2857"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242" w:type="dxa"/>
            <w:vAlign w:val="center"/>
          </w:tcPr>
          <w:p>
            <w:pPr>
              <w:spacing w:before="20" w:after="20" w:line="252" w:lineRule="auto"/>
              <w:ind w:firstLine="0"/>
              <w:jc w:val="left"/>
            </w:pPr>
            <w:r>
              <w:rPr>
                <w:sz w:val="24"/>
              </w:rPr>
              <w:t xml:space="preserve">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và Điều lệ Quỹ Học bổng sau tiến sĩ Ngô Xuân Độ.</w:t>
      </w:r>
    </w:p>
    <w:p w14:paraId="478B6AC7" w14:textId="77777777" w:rsidR="005B561C" w:rsidRPr="000F7C87" w:rsidRDefault="00000000">
      <w:pPr>
        <w:keepNext/>
        <w:spacing w:before="160" w:after="80"/>
        <w:ind w:firstLine="0"/>
        <w:jc w:val="center"/>
        <w:rPr>
          <w:szCs w:val="26"/>
        </w:rPr>
      </w:pPr>
      <w:r w:rsidRPr="000F7C87">
        <w:rPr>
          <w:b/>
          <w:szCs w:val="26"/>
        </w:rPr>
        <w:t>Hình 2.2. Mô phỏng phần lợi ích của tác giả theo các quy định nội bộ và mức mặc định của Luật Sở hữu trí tuệ</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2" name="Biểu đồ 502" descr="Hình 2.2. Mô phỏng phần lợi ích của tác giả theo các quy định nội bộ và mức mặc định của Luật Sở hữu trí tuệ"/>
            <wp:cNvGraphicFramePr/>
            <a:graphic>
              <a:graphicData uri="http://schemas.openxmlformats.org/drawingml/2006/chart">
                <c:chart r:id="rId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Điều 36 Quyết định 213, Điều 9 Điều lệ Quỹ Học bổng sau tiến sĩ Ngô Xuân Độ, điểm b khoản 1 Điều 135 Luật Sở hữu trí tuệ và điểm a khoản 3 Điều 28 Luật số 93/2025/QH15. Khoản thu là số tiền nhận được từ một hợp đồng chuyển giao sau khi trừ chi phí hợp lệ; đơn vị: triệu đồng.</w:t>
      </w:r>
    </w:p>
    <w:p w14:paraId="48E95726" w14:textId="77777777" w:rsidR="005B561C" w:rsidRPr="000F7C87" w:rsidRDefault="00000000">
      <w:pPr>
        <w:rPr>
          <w:szCs w:val="26"/>
        </w:rPr>
      </w:pPr>
      <w:r w:rsidRPr="000F7C87">
        <w:rPr>
          <w:szCs w:val="26"/>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Điều 13 Quyết định 217 giao Hiệu trưởng quyết định tỷ lệ theo từng trường hợp nên không mô phỏng. Về tỷ lệ, các quy định nội bộ nhìn chung cao hơn mức mặc định 15% tại Điều 135 Luật Sở hữu trí tuệ; điểm cần hoàn thiện là tác giả chưa biết trước quy định nào áp dụng cho sản phẩm của mình.</w:t>
      </w:r>
    </w:p>
    <w:p w14:paraId="48E95726" w14:textId="77777777" w:rsidR="005B561C" w:rsidRPr="000F7C87" w:rsidRDefault="00000000">
      <w:pPr>
        <w:rPr>
          <w:szCs w:val="26"/>
        </w:rPr>
      </w:pPr>
      <w:r w:rsidRPr="000F7C87">
        <w:rPr>
          <w:szCs w:val="26"/>
        </w:rPr>
        <w:t>Đối chiếu với Luật số 93/2025/QH15, có hiệu lực từ ngày 01 tháng 10 năm 2025, cho thấy một độ trễ thể chế tất yếu. Điểm a khoản 4 Điều 36 Quyết định 213 được xây dựng năm 2021 theo cơ chế của Luật Khoa học và công nghệ năm 2013, với khoản nộp ngân sách nhà nước và mức trần 100 triệu đồng. Luật mới quy định tổ chức chủ trì được tự động giao quyền sở hữu phần kết quả sử dụng ngân sách nhà nước theo khoản 2 Điều 25, được tự quyết định phương án thương mại hóa theo Điều 27, và thưởng cho tác giả tối thiểu 30% lợi nhuận theo điểm a khoản 3 Điều 28; đồng thời khoản 2 Điều 135 Luật Sở hữu trí tuệ về khung thù lao cũ đã được bãi bỏ. Trên hình, đường điểm b trùng với mức tối thiểu 30% này, còn đường điểm a thấp hơn từ khoản thu khoảng 333 triệu đồng do mức trần. Quy định này sẽ áp dụng trực tiếp cho kết quả của ba đề tài cấp quốc gia khi được thương mại hóa. Việc rà soát, hợp nhất quy chế vì vậy là cơ hội để Nhà trường đi tiên phong đón đầu luật mới; trong bốn văn bản, Điều lệ Quỹ là văn bản gần nhất với tinh thần này khi vừa không đặt trần vừa cho phép các bên thỏa thuận tỷ lệ khác.</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được phân công cho bốn đơn vị theo thế mạnh nghiệp vụ, như thể hiện tại hình dưới đây. Phòng Khoa học Công nghệ, với 2 nhân sự, giữ khâu tiếp nhận hồ sơ.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đã đăng ký hoạt động khoa học và công nghệ, có con dấu riêng và có hợp đồng khai thác quyền.</w:t>
      </w:r>
    </w:p>
    <w:p w14:paraId="478B6AC7" w14:textId="77777777" w:rsidR="005B561C" w:rsidRPr="000F7C87" w:rsidRDefault="00000000">
      <w:pPr>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0"/>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rõ trách nhiệm; khoảng trống còn lại mang tính kỹ thuật: chưa có biểu mẫu khai báo và hồ sơ theo dõi tài sản trí tuệ dùng chung giữa các đơn vị, nên mỗi đơn vị nắm một đoạn của chu trình và giữa các đoạn chưa có luồng hồ sơ liên thông.</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keepNext/>
        <w:spacing w:before="160" w:after="80"/>
        <w:ind w:firstLine="0"/>
        <w:jc w:val="center"/>
        <w:rPr>
          <w:szCs w:val="26"/>
        </w:rPr>
      </w:pPr>
      <w:r w:rsidRPr="000F7C87">
        <w:rPr>
          <w:b/>
          <w:szCs w:val="26"/>
        </w:rPr>
        <w:t>Bảng 2.4. Ba kênh tài trợ nghiên cứu và chế độ sở hữu trí tuệ tương ứng</w:t>
      </w:r>
    </w:p>
    <w:tbl>
      <w:tblPr>
        <w:tblStyle w:val="TableGrid"/>
        <w:tblW w:w="0" w:type="auto"/>
        <w:jc w:val="center"/>
        <w:tblLook w:val="04A0" w:firstRow="1" w:lastRow="0" w:firstColumn="1" w:lastColumn="0" w:noHBand="0" w:noVBand="1"/>
      </w:tblPr>
      <w:tblGrid>
        <w:gridCol w:w="2148"/>
        <w:gridCol w:w="2983"/>
        <w:gridCol w:w="1909"/>
        <w:gridCol w:w="2028"/>
      </w:tblGrid>
      <w:tr>
        <w:trPr>
          <w:cantSplit/>
          <w:tblHeader/>
        </w:trPr>
        <w:tc>
          <w:tcPr>
            <w:tcW w:w="2148" w:type="dxa"/>
            <w:shd w:val="clear" w:color="auto" w:fill="DCE8F7"/>
            <w:vAlign w:val="center"/>
          </w:tcPr>
          <w:p>
            <w:pPr>
              <w:spacing w:before="20" w:after="20" w:line="252" w:lineRule="auto"/>
              <w:ind w:firstLine="0"/>
              <w:jc w:val="center"/>
            </w:pPr>
            <w:r>
              <w:rPr>
                <w:b/>
                <w:sz w:val="24"/>
              </w:rPr>
              <w:t xml:space="preserve">Kênh tài trợ</w:t>
            </w:r>
          </w:p>
        </w:tc>
        <w:tc>
          <w:tcPr>
            <w:tcW w:w="2983" w:type="dxa"/>
            <w:shd w:val="clear" w:color="auto" w:fill="DCE8F7"/>
            <w:vAlign w:val="center"/>
          </w:tcPr>
          <w:p>
            <w:pPr>
              <w:spacing w:before="20" w:after="20" w:line="252" w:lineRule="auto"/>
              <w:ind w:firstLine="0"/>
              <w:jc w:val="center"/>
            </w:pPr>
            <w:r>
              <w:rPr>
                <w:b/>
                <w:sz w:val="24"/>
              </w:rPr>
              <w:t xml:space="preserve">Quy mô</w:t>
            </w:r>
          </w:p>
        </w:tc>
        <w:tc>
          <w:tcPr>
            <w:tcW w:w="1909" w:type="dxa"/>
            <w:shd w:val="clear" w:color="auto" w:fill="DCE8F7"/>
            <w:vAlign w:val="center"/>
          </w:tcPr>
          <w:p>
            <w:pPr>
              <w:spacing w:before="20" w:after="20" w:line="252" w:lineRule="auto"/>
              <w:ind w:firstLine="0"/>
              <w:jc w:val="center"/>
            </w:pPr>
            <w:r>
              <w:rPr>
                <w:b/>
                <w:sz w:val="24"/>
              </w:rPr>
              <w:t xml:space="preserve">Dòng chi cho phí nộp đơn</w:t>
            </w:r>
          </w:p>
        </w:tc>
        <w:tc>
          <w:tcPr>
            <w:tcW w:w="2028" w:type="dxa"/>
            <w:shd w:val="clear" w:color="auto" w:fill="DCE8F7"/>
            <w:vAlign w:val="center"/>
          </w:tcPr>
          <w:p>
            <w:pPr>
              <w:spacing w:before="20" w:after="20" w:line="252" w:lineRule="auto"/>
              <w:ind w:firstLine="0"/>
              <w:jc w:val="center"/>
            </w:pPr>
            <w:r>
              <w:rPr>
                <w:b/>
                <w:sz w:val="24"/>
              </w:rPr>
              <w:t xml:space="preserve">Kết quả tài sản trí tuệ</w:t>
            </w:r>
          </w:p>
        </w:tc>
      </w:tr>
      <w:tr>
        <w:trPr>
          <w:cantSplit/>
        </w:trPr>
        <w:tc>
          <w:tcPr>
            <w:tcW w:w="2148" w:type="dxa"/>
            <w:vAlign w:val="center"/>
          </w:tcPr>
          <w:p>
            <w:pPr>
              <w:spacing w:before="20" w:after="20" w:line="252" w:lineRule="auto"/>
              <w:ind w:firstLine="0"/>
              <w:jc w:val="left"/>
            </w:pPr>
            <w:r>
              <w:rPr>
                <w:sz w:val="24"/>
              </w:rPr>
              <w:t xml:space="preserve">Đề tài cấp cơ sở, ngân sách của Trường</w:t>
            </w:r>
          </w:p>
        </w:tc>
        <w:tc>
          <w:tcPr>
            <w:tcW w:w="2983"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1909" w:type="dxa"/>
            <w:vAlign w:val="center"/>
          </w:tcPr>
          <w:p>
            <w:pPr>
              <w:spacing w:before="20" w:after="20" w:line="252" w:lineRule="auto"/>
              <w:ind w:firstLine="0"/>
              <w:jc w:val="left"/>
            </w:pPr>
            <w:r>
              <w:rPr>
                <w:sz w:val="24"/>
              </w:rPr>
              <w:t xml:space="preserve">Không có</w:t>
            </w:r>
          </w:p>
        </w:tc>
        <w:tc>
          <w:tcPr>
            <w:tcW w:w="2028" w:type="dxa"/>
            <w:vAlign w:val="center"/>
          </w:tcPr>
          <w:p>
            <w:pPr>
              <w:spacing w:before="20" w:after="20" w:line="252" w:lineRule="auto"/>
              <w:ind w:firstLine="0"/>
              <w:jc w:val="left"/>
            </w:pPr>
            <w:r>
              <w:rPr>
                <w:sz w:val="24"/>
              </w:rPr>
              <w:t xml:space="preserve">11 đề tài có sản phẩm đủ điều kiện, 1 đơn sáng chế</w:t>
            </w:r>
          </w:p>
        </w:tc>
      </w:tr>
      <w:tr>
        <w:trPr>
          <w:cantSplit/>
        </w:trPr>
        <w:tc>
          <w:tcPr>
            <w:tcW w:w="2148" w:type="dxa"/>
            <w:vAlign w:val="center"/>
          </w:tcPr>
          <w:p>
            <w:pPr>
              <w:spacing w:before="20" w:after="20" w:line="252" w:lineRule="auto"/>
              <w:ind w:firstLine="0"/>
              <w:jc w:val="left"/>
            </w:pPr>
            <w:r>
              <w:rPr>
                <w:sz w:val="24"/>
              </w:rPr>
              <w:t xml:space="preserve">Quỹ Học bổng sau tiến sĩ Ngô Xuân Độ</w:t>
            </w:r>
          </w:p>
        </w:tc>
        <w:tc>
          <w:tcPr>
            <w:tcW w:w="2983"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1909" w:type="dxa"/>
            <w:vAlign w:val="center"/>
          </w:tcPr>
          <w:p>
            <w:pPr>
              <w:spacing w:before="20" w:after="20" w:line="252" w:lineRule="auto"/>
              <w:ind w:firstLine="0"/>
              <w:jc w:val="left"/>
            </w:pPr>
            <w:r>
              <w:rPr>
                <w:sz w:val="24"/>
              </w:rPr>
              <w:t xml:space="preserve">Có, qua khoản chi phí khác tối đa bằng 50% chi trực tiếp</w:t>
            </w:r>
          </w:p>
        </w:tc>
        <w:tc>
          <w:tcPr>
            <w:tcW w:w="2028" w:type="dxa"/>
            <w:vAlign w:val="center"/>
          </w:tcPr>
          <w:p>
            <w:pPr>
              <w:spacing w:before="20" w:after="20" w:line="252" w:lineRule="auto"/>
              <w:ind w:firstLine="0"/>
              <w:jc w:val="left"/>
            </w:pPr>
            <w:r>
              <w:rPr>
                <w:sz w:val="24"/>
              </w:rPr>
              <w:t xml:space="preserve">Quỹ hoạt động từ năm 2025, chưa có kết quả</w:t>
            </w:r>
          </w:p>
        </w:tc>
      </w:tr>
      <w:tr>
        <w:trPr>
          <w:cantSplit/>
        </w:trPr>
        <w:tc>
          <w:tcPr>
            <w:tcW w:w="2148"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983" w:type="dxa"/>
            <w:vAlign w:val="center"/>
          </w:tcPr>
          <w:p>
            <w:pPr>
              <w:spacing w:before="20" w:after="20" w:line="252" w:lineRule="auto"/>
              <w:ind w:firstLine="0"/>
              <w:jc w:val="left"/>
            </w:pPr>
            <w:r>
              <w:rPr>
                <w:sz w:val="24"/>
              </w:rPr>
              <w:t xml:space="preserve">3 đề tài, tổng 4,67 tỷ đồng, giao năm 2024 và 2025</w:t>
            </w:r>
          </w:p>
        </w:tc>
        <w:tc>
          <w:tcPr>
            <w:tcW w:w="1909" w:type="dxa"/>
            <w:vAlign w:val="center"/>
          </w:tcPr>
          <w:p>
            <w:pPr>
              <w:spacing w:before="20" w:after="20" w:line="252" w:lineRule="auto"/>
              <w:ind w:firstLine="0"/>
              <w:jc w:val="left"/>
            </w:pPr>
            <w:r>
              <w:rPr>
                <w:sz w:val="24"/>
              </w:rPr>
              <w:t xml:space="preserve">Theo quy định của cơ quan tài trợ</w:t>
            </w:r>
          </w:p>
        </w:tc>
        <w:tc>
          <w:tcPr>
            <w:tcW w:w="2028"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Điều lệ Quỹ Học bổng sau tiến sĩ Ngô Xuân Độ.</w:t>
      </w:r>
    </w:p>
    <w:p w14:paraId="48E95726" w14:textId="77777777" w:rsidR="005B561C" w:rsidRPr="000F7C87" w:rsidRDefault="00000000">
      <w:pPr>
        <w:rPr>
          <w:szCs w:val="26"/>
        </w:rPr>
      </w:pPr>
      <w:r w:rsidRPr="000F7C87">
        <w:rPr>
          <w:szCs w:val="26"/>
        </w:rPr>
        <w:t>Bảng 2.4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p w14:paraId="478B6AC7" w14:textId="77777777" w:rsidR="005B561C" w:rsidRPr="000F7C87" w:rsidRDefault="00000000">
      <w:pPr>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p w14:paraId="48E95726" w14:textId="77777777" w:rsidR="005B561C" w:rsidRPr="000F7C87" w:rsidRDefault="00000000">
      <w:pPr>
        <w:rPr>
          <w:szCs w:val="26"/>
        </w:rPr>
      </w:pPr>
      <w:r w:rsidRPr="000F7C87">
        <w:rPr>
          <w:szCs w:val="26"/>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p w14:paraId="478B6AC7" w14:textId="77777777" w:rsidR="005B561C" w:rsidRPr="000F7C87" w:rsidRDefault="00000000">
      <w:pPr>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p w14:paraId="478B6AC7" w14:textId="77777777" w:rsidR="005B561C" w:rsidRPr="000F7C87" w:rsidRDefault="00000000">
      <w:pPr>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3"/>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31"/>
        <w:gridCol w:w="2238"/>
        <w:gridCol w:w="1531"/>
        <w:gridCol w:w="2238"/>
        <w:gridCol w:w="1531"/>
      </w:tblGrid>
      <w:tr>
        <w:trPr>
          <w:cantSplit/>
          <w:tblHeader/>
        </w:trPr>
        <w:tc>
          <w:tcPr>
            <w:tcW w:w="1531" w:type="dxa"/>
            <w:shd w:val="clear" w:color="auto" w:fill="DCE8F7"/>
            <w:vAlign w:val="center"/>
          </w:tcPr>
          <w:p>
            <w:pPr>
              <w:spacing w:before="20" w:after="20" w:line="252" w:lineRule="auto"/>
              <w:ind w:firstLine="0"/>
              <w:jc w:val="center"/>
            </w:pPr>
            <w:r>
              <w:rPr>
                <w:b/>
                <w:sz w:val="24"/>
              </w:rPr>
              <w:t xml:space="preserve">Nhóm quyền</w:t>
            </w:r>
          </w:p>
        </w:tc>
        <w:tc>
          <w:tcPr>
            <w:tcW w:w="2238" w:type="dxa"/>
            <w:shd w:val="clear" w:color="auto" w:fill="DCE8F7"/>
            <w:vAlign w:val="center"/>
          </w:tcPr>
          <w:p>
            <w:pPr>
              <w:spacing w:before="20" w:after="20" w:line="252" w:lineRule="auto"/>
              <w:ind w:firstLine="0"/>
              <w:jc w:val="center"/>
            </w:pPr>
            <w:r>
              <w:rPr>
                <w:b/>
                <w:sz w:val="24"/>
              </w:rPr>
              <w:t xml:space="preserve">Đối tượng</w:t>
            </w:r>
          </w:p>
        </w:tc>
        <w:tc>
          <w:tcPr>
            <w:tcW w:w="1531" w:type="dxa"/>
            <w:shd w:val="clear" w:color="auto" w:fill="DCE8F7"/>
            <w:vAlign w:val="center"/>
          </w:tcPr>
          <w:p>
            <w:pPr>
              <w:spacing w:before="20" w:after="20" w:line="252" w:lineRule="auto"/>
              <w:ind w:firstLine="0"/>
              <w:jc w:val="center"/>
            </w:pPr>
            <w:r>
              <w:rPr>
                <w:b/>
                <w:sz w:val="24"/>
              </w:rPr>
              <w:t xml:space="preserve">Quy chế có liệt kê</w:t>
            </w:r>
          </w:p>
        </w:tc>
        <w:tc>
          <w:tcPr>
            <w:tcW w:w="2238" w:type="dxa"/>
            <w:shd w:val="clear" w:color="auto" w:fill="DCE8F7"/>
            <w:vAlign w:val="center"/>
          </w:tcPr>
          <w:p>
            <w:pPr>
              <w:spacing w:before="20" w:after="20" w:line="252" w:lineRule="auto"/>
              <w:ind w:firstLine="0"/>
              <w:jc w:val="center"/>
            </w:pPr>
            <w:r>
              <w:rPr>
                <w:b/>
                <w:sz w:val="24"/>
              </w:rPr>
              <w:t xml:space="preserve">Thực tế phát sinh</w:t>
            </w:r>
          </w:p>
        </w:tc>
        <w:tc>
          <w:tcPr>
            <w:tcW w:w="1531" w:type="dxa"/>
            <w:shd w:val="clear" w:color="auto" w:fill="DCE8F7"/>
            <w:vAlign w:val="center"/>
          </w:tcPr>
          <w:p>
            <w:pPr>
              <w:spacing w:before="20" w:after="20" w:line="252" w:lineRule="auto"/>
              <w:ind w:firstLine="0"/>
              <w:jc w:val="center"/>
            </w:pPr>
            <w:r>
              <w:rPr>
                <w:b/>
                <w:sz w:val="24"/>
              </w:rPr>
              <w:t xml:space="preserve">Đã xác lập quyền</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Bài báo, sách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405 bài báo, 12 sách</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Giáo trình, tài liệu giảng dạy</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87 tài liệu</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Chương trình đào tạo, ngân hàng đề thi, phần mềm</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Chưa thống kê</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Sưu tập dữ liệu</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Bộ mẫu cây thuốc, bộ tiêu bản</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Quyền tác giả</w:t>
            </w:r>
          </w:p>
        </w:tc>
        <w:tc>
          <w:tcPr>
            <w:tcW w:w="2238" w:type="dxa"/>
            <w:vAlign w:val="center"/>
          </w:tcPr>
          <w:p>
            <w:pPr>
              <w:spacing w:before="20" w:after="20" w:line="252" w:lineRule="auto"/>
              <w:ind w:firstLine="0"/>
              <w:jc w:val="left"/>
            </w:pPr>
            <w:r>
              <w:rPr>
                <w:sz w:val="24"/>
              </w:rPr>
              <w:t xml:space="preserve">Logo, bộ nhận diện</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Sáng chế</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đơn đang xử lý</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Giải pháp hữu ích</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Công thức, quy trình từ đề tài</w:t>
            </w:r>
          </w:p>
        </w:tc>
        <w:tc>
          <w:tcPr>
            <w:tcW w:w="1531" w:type="dxa"/>
            <w:vAlign w:val="center"/>
          </w:tcPr>
          <w:p>
            <w:pPr>
              <w:spacing w:before="20" w:after="20" w:line="252" w:lineRule="auto"/>
              <w:ind w:firstLine="0"/>
              <w:jc w:val="left"/>
            </w:pPr>
            <w:r>
              <w:rPr>
                <w:sz w:val="24"/>
              </w:rPr>
              <w:t xml:space="preserve">Chưa</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Kiểu dáng công nghiệp</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5 văn bằng</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Nhãn hiệu</w:t>
            </w:r>
          </w:p>
        </w:tc>
        <w:tc>
          <w:tcPr>
            <w:tcW w:w="1531" w:type="dxa"/>
            <w:vAlign w:val="center"/>
          </w:tcPr>
          <w:p>
            <w:pPr>
              <w:spacing w:before="20" w:after="20" w:line="252" w:lineRule="auto"/>
              <w:ind w:firstLine="0"/>
              <w:jc w:val="left"/>
            </w:pPr>
            <w:r>
              <w:rPr>
                <w:sz w:val="24"/>
              </w:rPr>
              <w:t xml:space="preserve">Có</w:t>
            </w:r>
          </w:p>
        </w:tc>
        <w:tc>
          <w:tcPr>
            <w:tcW w:w="2238" w:type="dxa"/>
            <w:vAlign w:val="center"/>
          </w:tcPr>
          <w:p>
            <w:pPr>
              <w:spacing w:before="20" w:after="20" w:line="252" w:lineRule="auto"/>
              <w:ind w:firstLine="0"/>
              <w:jc w:val="left"/>
            </w:pPr>
            <w:r>
              <w:rPr>
                <w:sz w:val="24"/>
              </w:rPr>
              <w:t xml:space="preserve">Có</w:t>
            </w:r>
          </w:p>
        </w:tc>
        <w:tc>
          <w:tcPr>
            <w:tcW w:w="1531" w:type="dxa"/>
            <w:vAlign w:val="center"/>
          </w:tcPr>
          <w:p>
            <w:pPr>
              <w:spacing w:before="20" w:after="20" w:line="252" w:lineRule="auto"/>
              <w:ind w:firstLine="0"/>
              <w:jc w:val="left"/>
            </w:pPr>
            <w:r>
              <w:rPr>
                <w:sz w:val="24"/>
              </w:rPr>
              <w:t xml:space="preserve">2 văn bằng, 1 đơn</w:t>
            </w:r>
          </w:p>
        </w:tc>
      </w:tr>
      <w:tr>
        <w:trPr>
          <w:cantSplit/>
        </w:trPr>
        <w:tc>
          <w:tcPr>
            <w:tcW w:w="1531" w:type="dxa"/>
            <w:vAlign w:val="center"/>
          </w:tcPr>
          <w:p>
            <w:pPr>
              <w:spacing w:before="20" w:after="20" w:line="252" w:lineRule="auto"/>
              <w:ind w:firstLine="0"/>
              <w:jc w:val="left"/>
            </w:pPr>
            <w:r>
              <w:rPr>
                <w:sz w:val="24"/>
              </w:rPr>
              <w:t xml:space="preserve">Sở hữu công nghiệp</w:t>
            </w:r>
          </w:p>
        </w:tc>
        <w:tc>
          <w:tcPr>
            <w:tcW w:w="2238" w:type="dxa"/>
            <w:vAlign w:val="center"/>
          </w:tcPr>
          <w:p>
            <w:pPr>
              <w:spacing w:before="20" w:after="20" w:line="252" w:lineRule="auto"/>
              <w:ind w:firstLine="0"/>
              <w:jc w:val="left"/>
            </w:pPr>
            <w:r>
              <w:rPr>
                <w:sz w:val="24"/>
              </w:rPr>
              <w:t xml:space="preserve">Bí mật kinh doanh</w:t>
            </w:r>
          </w:p>
        </w:tc>
        <w:tc>
          <w:tcPr>
            <w:tcW w:w="1531" w:type="dxa"/>
            <w:vAlign w:val="center"/>
          </w:tcPr>
          <w:p>
            <w:pPr>
              <w:spacing w:before="20" w:after="20" w:line="252" w:lineRule="auto"/>
              <w:ind w:firstLine="0"/>
              <w:jc w:val="left"/>
            </w:pPr>
            <w:r>
              <w:rPr>
                <w:sz w:val="24"/>
              </w:rPr>
              <w:t xml:space="preserve">Có, tại Quyết định 217</w:t>
            </w:r>
          </w:p>
        </w:tc>
        <w:tc>
          <w:tcPr>
            <w:tcW w:w="2238" w:type="dxa"/>
            <w:vAlign w:val="center"/>
          </w:tcPr>
          <w:p>
            <w:pPr>
              <w:spacing w:before="20" w:after="20" w:line="252" w:lineRule="auto"/>
              <w:ind w:firstLine="0"/>
              <w:jc w:val="left"/>
            </w:pPr>
            <w:r>
              <w:rPr>
                <w:sz w:val="24"/>
              </w:rPr>
              <w:t xml:space="preserve">Công thức chưa công bố</w:t>
            </w:r>
          </w:p>
        </w:tc>
        <w:tc>
          <w:tcPr>
            <w:tcW w:w="1531"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w:t>
      </w:r>
    </w:p>
    <w:p w14:paraId="48E95726" w14:textId="77777777" w:rsidR="005B561C" w:rsidRPr="000F7C87" w:rsidRDefault="00000000">
      <w:pPr>
        <w:rPr>
          <w:szCs w:val="26"/>
        </w:rPr>
      </w:pPr>
      <w:r w:rsidRPr="000F7C87">
        <w:rPr>
          <w:szCs w:val="26"/>
        </w:rPr>
        <w:t>Đến thời điểm nghiên cứu, Nhà trường sở hữu 12 tài sản trí tuệ đã được xác lập quyền hoặc đang xử lý đơn, được liệt kê tại Bảng 2.6.</w:t>
      </w:r>
    </w:p>
    <w:p w14:paraId="478B6AC7" w14:textId="77777777" w:rsidR="005B561C" w:rsidRPr="000F7C87" w:rsidRDefault="00000000">
      <w:pPr>
        <w:keepNext/>
        <w:spacing w:before="160" w:after="80"/>
        <w:ind w:firstLine="0"/>
        <w:jc w:val="center"/>
        <w:rPr>
          <w:szCs w:val="26"/>
        </w:rPr>
      </w:pPr>
      <w:r w:rsidRPr="000F7C87">
        <w:rPr>
          <w:b/>
          <w:szCs w:val="26"/>
        </w:rPr>
        <w:t>Bảng 2.6. Tài sản trí tuệ thuộc sở hữu của Trường Đại học Thành Đô</w:t>
      </w:r>
    </w:p>
    <w:tbl>
      <w:tblPr>
        <w:tblStyle w:val="TableGrid"/>
        <w:tblW w:w="0" w:type="auto"/>
        <w:jc w:val="center"/>
        <w:tblLook w:val="04A0" w:firstRow="1" w:lastRow="0" w:firstColumn="1" w:lastColumn="0" w:noHBand="0" w:noVBand="1"/>
      </w:tblPr>
      <w:tblGrid>
        <w:gridCol w:w="566"/>
        <w:gridCol w:w="1360"/>
        <w:gridCol w:w="2380"/>
        <w:gridCol w:w="793"/>
        <w:gridCol w:w="1190"/>
        <w:gridCol w:w="1417"/>
        <w:gridCol w:w="1360"/>
      </w:tblGrid>
      <w:tr>
        <w:trPr>
          <w:cantSplit/>
          <w:tblHeader/>
        </w:trPr>
        <w:tc>
          <w:tcPr>
            <w:tcW w:w="566" w:type="dxa"/>
            <w:shd w:val="clear" w:color="auto" w:fill="DCE8F7"/>
            <w:vAlign w:val="center"/>
          </w:tcPr>
          <w:p>
            <w:pPr>
              <w:spacing w:before="20" w:after="20" w:line="252" w:lineRule="auto"/>
              <w:ind w:firstLine="0"/>
              <w:jc w:val="center"/>
            </w:pPr>
            <w:r>
              <w:rPr>
                <w:b/>
                <w:sz w:val="24"/>
              </w:rPr>
              <w:t xml:space="preserve">TT</w:t>
            </w:r>
          </w:p>
        </w:tc>
        <w:tc>
          <w:tcPr>
            <w:tcW w:w="1360" w:type="dxa"/>
            <w:shd w:val="clear" w:color="auto" w:fill="DCE8F7"/>
            <w:vAlign w:val="center"/>
          </w:tcPr>
          <w:p>
            <w:pPr>
              <w:spacing w:before="20" w:after="20" w:line="252" w:lineRule="auto"/>
              <w:ind w:firstLine="0"/>
              <w:jc w:val="center"/>
            </w:pPr>
            <w:r>
              <w:rPr>
                <w:b/>
                <w:sz w:val="24"/>
              </w:rPr>
              <w:t xml:space="preserve">Loại hình</w:t>
            </w:r>
          </w:p>
        </w:tc>
        <w:tc>
          <w:tcPr>
            <w:tcW w:w="2380" w:type="dxa"/>
            <w:shd w:val="clear" w:color="auto" w:fill="DCE8F7"/>
            <w:vAlign w:val="center"/>
          </w:tcPr>
          <w:p>
            <w:pPr>
              <w:spacing w:before="20" w:after="20" w:line="252" w:lineRule="auto"/>
              <w:ind w:firstLine="0"/>
              <w:jc w:val="center"/>
            </w:pPr>
            <w:r>
              <w:rPr>
                <w:b/>
                <w:sz w:val="24"/>
              </w:rPr>
              <w:t xml:space="preserve">Tên tài sản</w:t>
            </w:r>
          </w:p>
        </w:tc>
        <w:tc>
          <w:tcPr>
            <w:tcW w:w="793" w:type="dxa"/>
            <w:shd w:val="clear" w:color="auto" w:fill="DCE8F7"/>
            <w:vAlign w:val="center"/>
          </w:tcPr>
          <w:p>
            <w:pPr>
              <w:spacing w:before="20" w:after="20" w:line="252" w:lineRule="auto"/>
              <w:ind w:firstLine="0"/>
              <w:jc w:val="center"/>
            </w:pPr>
            <w:r>
              <w:rPr>
                <w:b/>
                <w:sz w:val="24"/>
              </w:rPr>
              <w:t xml:space="preserve">Năm</w:t>
            </w:r>
          </w:p>
        </w:tc>
        <w:tc>
          <w:tcPr>
            <w:tcW w:w="1190" w:type="dxa"/>
            <w:shd w:val="clear" w:color="auto" w:fill="DCE8F7"/>
            <w:vAlign w:val="center"/>
          </w:tcPr>
          <w:p>
            <w:pPr>
              <w:spacing w:before="20" w:after="20" w:line="252" w:lineRule="auto"/>
              <w:ind w:firstLine="0"/>
              <w:jc w:val="center"/>
            </w:pPr>
            <w:r>
              <w:rPr>
                <w:b/>
                <w:sz w:val="24"/>
              </w:rPr>
              <w:t xml:space="preserve">Trạng thái</w:t>
            </w:r>
          </w:p>
        </w:tc>
        <w:tc>
          <w:tcPr>
            <w:tcW w:w="1417" w:type="dxa"/>
            <w:shd w:val="clear" w:color="auto" w:fill="DCE8F7"/>
            <w:vAlign w:val="center"/>
          </w:tcPr>
          <w:p>
            <w:pPr>
              <w:spacing w:before="20" w:after="20" w:line="252" w:lineRule="auto"/>
              <w:ind w:firstLine="0"/>
              <w:jc w:val="center"/>
            </w:pPr>
            <w:r>
              <w:rPr>
                <w:b/>
                <w:sz w:val="24"/>
              </w:rPr>
              <w:t xml:space="preserve">Cơ cấu sở hữu</w:t>
            </w:r>
          </w:p>
        </w:tc>
        <w:tc>
          <w:tcPr>
            <w:tcW w:w="1360" w:type="dxa"/>
            <w:shd w:val="clear" w:color="auto" w:fill="DCE8F7"/>
            <w:vAlign w:val="center"/>
          </w:tcPr>
          <w:p>
            <w:pPr>
              <w:spacing w:before="20" w:after="20" w:line="252" w:lineRule="auto"/>
              <w:ind w:firstLine="0"/>
              <w:jc w:val="center"/>
            </w:pPr>
            <w:r>
              <w:rPr>
                <w:b/>
                <w:sz w:val="24"/>
              </w:rPr>
              <w:t xml:space="preserve">Nguồn hình thành</w:t>
            </w:r>
          </w:p>
        </w:tc>
      </w:tr>
      <w:tr>
        <w:trPr>
          <w:cantSplit/>
        </w:trPr>
        <w:tc>
          <w:tcPr>
            <w:tcW w:w="566" w:type="dxa"/>
            <w:vAlign w:val="center"/>
          </w:tcPr>
          <w:p>
            <w:pPr>
              <w:spacing w:before="20" w:after="20" w:line="252" w:lineRule="auto"/>
              <w:ind w:firstLine="0"/>
              <w:jc w:val="center"/>
            </w:pPr>
            <w:r>
              <w:rPr>
                <w:sz w:val="24"/>
              </w:rPr>
              <w:t xml:space="preserve">1</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Trường Đại học Thành Đô</w:t>
            </w:r>
          </w:p>
        </w:tc>
        <w:tc>
          <w:tcPr>
            <w:tcW w:w="793" w:type="dxa"/>
            <w:vAlign w:val="center"/>
          </w:tcPr>
          <w:p>
            <w:pPr>
              <w:spacing w:before="20" w:after="20" w:line="252" w:lineRule="auto"/>
              <w:ind w:firstLine="0"/>
              <w:jc w:val="center"/>
            </w:pPr>
            <w:r>
              <w:rPr>
                <w:sz w:val="24"/>
              </w:rPr>
              <w:t xml:space="preserve">2021</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2</w:t>
            </w:r>
          </w:p>
        </w:tc>
        <w:tc>
          <w:tcPr>
            <w:tcW w:w="1360" w:type="dxa"/>
            <w:vAlign w:val="center"/>
          </w:tcPr>
          <w:p>
            <w:pPr>
              <w:spacing w:before="20" w:after="20" w:line="252" w:lineRule="auto"/>
              <w:ind w:firstLine="0"/>
              <w:jc w:val="left"/>
            </w:pPr>
            <w:r>
              <w:rPr>
                <w:sz w:val="24"/>
              </w:rPr>
              <w:t xml:space="preserve">Quyền tác giả</w:t>
            </w:r>
          </w:p>
        </w:tc>
        <w:tc>
          <w:tcPr>
            <w:tcW w:w="2380" w:type="dxa"/>
            <w:vAlign w:val="center"/>
          </w:tcPr>
          <w:p>
            <w:pPr>
              <w:spacing w:before="20" w:after="20" w:line="252" w:lineRule="auto"/>
              <w:ind w:firstLine="0"/>
              <w:jc w:val="left"/>
            </w:pPr>
            <w:r>
              <w:rPr>
                <w:sz w:val="24"/>
              </w:rPr>
              <w:t xml:space="preserve">Bộ Logo Hệ sinh thái giáo dục</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3</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Thanh do University</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4</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Thado Edupark</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Thương hiệu</w:t>
            </w:r>
          </w:p>
        </w:tc>
      </w:tr>
      <w:tr>
        <w:trPr>
          <w:cantSplit/>
        </w:trPr>
        <w:tc>
          <w:tcPr>
            <w:tcW w:w="566" w:type="dxa"/>
            <w:vAlign w:val="center"/>
          </w:tcPr>
          <w:p>
            <w:pPr>
              <w:spacing w:before="20" w:after="20" w:line="252" w:lineRule="auto"/>
              <w:ind w:firstLine="0"/>
              <w:jc w:val="center"/>
            </w:pPr>
            <w:r>
              <w:rPr>
                <w:sz w:val="24"/>
              </w:rPr>
              <w:t xml:space="preserve">5</w:t>
            </w:r>
          </w:p>
        </w:tc>
        <w:tc>
          <w:tcPr>
            <w:tcW w:w="1360" w:type="dxa"/>
            <w:vAlign w:val="center"/>
          </w:tcPr>
          <w:p>
            <w:pPr>
              <w:spacing w:before="20" w:after="20" w:line="252" w:lineRule="auto"/>
              <w:ind w:firstLine="0"/>
              <w:jc w:val="left"/>
            </w:pPr>
            <w:r>
              <w:rPr>
                <w:sz w:val="24"/>
              </w:rPr>
              <w:t xml:space="preserve">Nhãn hiệu</w:t>
            </w:r>
          </w:p>
        </w:tc>
        <w:tc>
          <w:tcPr>
            <w:tcW w:w="2380" w:type="dxa"/>
            <w:vAlign w:val="center"/>
          </w:tcPr>
          <w:p>
            <w:pPr>
              <w:spacing w:before="20" w:after="20" w:line="252" w:lineRule="auto"/>
              <w:ind w:firstLine="0"/>
              <w:jc w:val="left"/>
            </w:pPr>
            <w:r>
              <w:rPr>
                <w:sz w:val="24"/>
              </w:rPr>
              <w:t xml:space="preserve">Double2n</w:t>
            </w:r>
          </w:p>
        </w:tc>
        <w:tc>
          <w:tcPr>
            <w:tcW w:w="793" w:type="dxa"/>
            <w:vAlign w:val="center"/>
          </w:tcPr>
          <w:p>
            <w:pPr>
              <w:spacing w:before="20" w:after="20" w:line="252" w:lineRule="auto"/>
              <w:ind w:firstLine="0"/>
              <w:jc w:val="center"/>
            </w:pPr>
            <w:r>
              <w:rPr>
                <w:sz w:val="24"/>
              </w:rPr>
              <w:t xml:space="preserve">2023</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6</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Dung dịch vệ sinh phụ nữ</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7</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Tinh dầu vỏ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8</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Xịt miệng - họng thảo dược</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9</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Dầu gội nha đam - bưởi đào</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10</w:t>
            </w:r>
          </w:p>
        </w:tc>
        <w:tc>
          <w:tcPr>
            <w:tcW w:w="1360" w:type="dxa"/>
            <w:vAlign w:val="center"/>
          </w:tcPr>
          <w:p>
            <w:pPr>
              <w:spacing w:before="20" w:after="20" w:line="252" w:lineRule="auto"/>
              <w:ind w:firstLine="0"/>
              <w:jc w:val="left"/>
            </w:pPr>
            <w:r>
              <w:rPr>
                <w:sz w:val="24"/>
              </w:rPr>
              <w:t xml:space="preserve">Kiểu dáng công nghiệp</w:t>
            </w:r>
          </w:p>
        </w:tc>
        <w:tc>
          <w:tcPr>
            <w:tcW w:w="2380" w:type="dxa"/>
            <w:vAlign w:val="center"/>
          </w:tcPr>
          <w:p>
            <w:pPr>
              <w:spacing w:before="20" w:after="20" w:line="252" w:lineRule="auto"/>
              <w:ind w:firstLine="0"/>
              <w:jc w:val="left"/>
            </w:pPr>
            <w:r>
              <w:rPr>
                <w:sz w:val="24"/>
              </w:rPr>
              <w:t xml:space="preserve">Kem ủ xả tóc từ Bưởi, Bơ, Dừa</w:t>
            </w:r>
          </w:p>
        </w:tc>
        <w:tc>
          <w:tcPr>
            <w:tcW w:w="793" w:type="dxa"/>
            <w:vAlign w:val="center"/>
          </w:tcPr>
          <w:p>
            <w:pPr>
              <w:spacing w:before="20" w:after="20" w:line="252" w:lineRule="auto"/>
              <w:ind w:firstLine="0"/>
              <w:jc w:val="center"/>
            </w:pPr>
            <w:r>
              <w:rPr>
                <w:sz w:val="24"/>
              </w:rPr>
              <w:t xml:space="preserve">2024</w:t>
            </w:r>
          </w:p>
        </w:tc>
        <w:tc>
          <w:tcPr>
            <w:tcW w:w="1190" w:type="dxa"/>
            <w:vAlign w:val="center"/>
          </w:tcPr>
          <w:p>
            <w:pPr>
              <w:spacing w:before="20" w:after="20" w:line="252" w:lineRule="auto"/>
              <w:ind w:firstLine="0"/>
              <w:jc w:val="left"/>
            </w:pPr>
            <w:r>
              <w:rPr>
                <w:sz w:val="24"/>
              </w:rPr>
              <w:t xml:space="preserve">Đã cấp văn bằng</w:t>
            </w:r>
          </w:p>
        </w:tc>
        <w:tc>
          <w:tcPr>
            <w:tcW w:w="1417" w:type="dxa"/>
            <w:vAlign w:val="center"/>
          </w:tcPr>
          <w:p>
            <w:pPr>
              <w:spacing w:before="20" w:after="20" w:line="252" w:lineRule="auto"/>
              <w:ind w:firstLine="0"/>
              <w:jc w:val="left"/>
            </w:pPr>
            <w:r>
              <w:rPr>
                <w:sz w:val="24"/>
              </w:rPr>
              <w:t xml:space="preserve">Đồng sở hữu với doanh nghiệp</w:t>
            </w:r>
          </w:p>
        </w:tc>
        <w:tc>
          <w:tcPr>
            <w:tcW w:w="1360" w:type="dxa"/>
            <w:vAlign w:val="center"/>
          </w:tcPr>
          <w:p>
            <w:pPr>
              <w:spacing w:before="20" w:after="20" w:line="252" w:lineRule="auto"/>
              <w:ind w:firstLine="0"/>
              <w:jc w:val="left"/>
            </w:pPr>
            <w:r>
              <w:rPr>
                <w:sz w:val="24"/>
              </w:rPr>
              <w:t xml:space="preserve">Hợp tác doanh nghiệp</w:t>
            </w:r>
          </w:p>
        </w:tc>
      </w:tr>
      <w:tr>
        <w:trPr>
          <w:cantSplit/>
        </w:trPr>
        <w:tc>
          <w:tcPr>
            <w:tcW w:w="566" w:type="dxa"/>
            <w:vAlign w:val="center"/>
          </w:tcPr>
          <w:p>
            <w:pPr>
              <w:spacing w:before="20" w:after="20" w:line="252" w:lineRule="auto"/>
              <w:ind w:firstLine="0"/>
              <w:jc w:val="center"/>
            </w:pPr>
            <w:r>
              <w:rPr>
                <w:sz w:val="24"/>
              </w:rPr>
              <w:t xml:space="preserve">11</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Hợp chất furofuran lignan glucoside từ lá cây quế hoa</w:t>
            </w:r>
          </w:p>
        </w:tc>
        <w:tc>
          <w:tcPr>
            <w:tcW w:w="793" w:type="dxa"/>
            <w:vAlign w:val="center"/>
          </w:tcPr>
          <w:p>
            <w:pPr>
              <w:spacing w:before="20" w:after="20" w:line="252" w:lineRule="auto"/>
              <w:ind w:firstLine="0"/>
              <w:jc w:val="center"/>
            </w:pPr>
            <w:r>
              <w:rPr>
                <w:sz w:val="24"/>
              </w:rPr>
              <w:t xml:space="preserve">2025</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r>
        <w:trPr>
          <w:cantSplit/>
        </w:trPr>
        <w:tc>
          <w:tcPr>
            <w:tcW w:w="566" w:type="dxa"/>
            <w:vAlign w:val="center"/>
          </w:tcPr>
          <w:p>
            <w:pPr>
              <w:spacing w:before="20" w:after="20" w:line="252" w:lineRule="auto"/>
              <w:ind w:firstLine="0"/>
              <w:jc w:val="center"/>
            </w:pPr>
            <w:r>
              <w:rPr>
                <w:sz w:val="24"/>
              </w:rPr>
              <w:t xml:space="preserve">12</w:t>
            </w:r>
          </w:p>
        </w:tc>
        <w:tc>
          <w:tcPr>
            <w:tcW w:w="1360" w:type="dxa"/>
            <w:vAlign w:val="center"/>
          </w:tcPr>
          <w:p>
            <w:pPr>
              <w:spacing w:before="20" w:after="20" w:line="252" w:lineRule="auto"/>
              <w:ind w:firstLine="0"/>
              <w:jc w:val="left"/>
            </w:pPr>
            <w:r>
              <w:rPr>
                <w:sz w:val="24"/>
              </w:rPr>
              <w:t xml:space="preserve">Sáng chế</w:t>
            </w:r>
          </w:p>
        </w:tc>
        <w:tc>
          <w:tcPr>
            <w:tcW w:w="2380" w:type="dxa"/>
            <w:vAlign w:val="center"/>
          </w:tcPr>
          <w:p>
            <w:pPr>
              <w:spacing w:before="20" w:after="20" w:line="252" w:lineRule="auto"/>
              <w:ind w:firstLine="0"/>
              <w:jc w:val="left"/>
            </w:pPr>
            <w:r>
              <w:rPr>
                <w:sz w:val="24"/>
              </w:rPr>
              <w:t xml:space="preserve">Phương pháp chiết tách hợp chất Isoembigenin từ cây Piper aduncum L</w:t>
            </w:r>
          </w:p>
        </w:tc>
        <w:tc>
          <w:tcPr>
            <w:tcW w:w="793" w:type="dxa"/>
            <w:vAlign w:val="center"/>
          </w:tcPr>
          <w:p>
            <w:pPr>
              <w:spacing w:before="20" w:after="20" w:line="252" w:lineRule="auto"/>
              <w:ind w:firstLine="0"/>
              <w:jc w:val="center"/>
            </w:pPr>
            <w:r>
              <w:rPr>
                <w:sz w:val="24"/>
              </w:rPr>
              <w:t xml:space="preserve">2026</w:t>
            </w:r>
          </w:p>
        </w:tc>
        <w:tc>
          <w:tcPr>
            <w:tcW w:w="1190" w:type="dxa"/>
            <w:vAlign w:val="center"/>
          </w:tcPr>
          <w:p>
            <w:pPr>
              <w:spacing w:before="20" w:after="20" w:line="252" w:lineRule="auto"/>
              <w:ind w:firstLine="0"/>
              <w:jc w:val="left"/>
            </w:pPr>
            <w:r>
              <w:rPr>
                <w:sz w:val="24"/>
              </w:rPr>
              <w:t xml:space="preserve">Đang xử lý</w:t>
            </w:r>
          </w:p>
        </w:tc>
        <w:tc>
          <w:tcPr>
            <w:tcW w:w="1417" w:type="dxa"/>
            <w:vAlign w:val="center"/>
          </w:tcPr>
          <w:p>
            <w:pPr>
              <w:spacing w:before="20" w:after="20" w:line="252" w:lineRule="auto"/>
              <w:ind w:firstLine="0"/>
              <w:jc w:val="left"/>
            </w:pPr>
            <w:r>
              <w:rPr>
                <w:sz w:val="24"/>
              </w:rPr>
              <w:t xml:space="preserve">Trường đơn sở hữu</w:t>
            </w:r>
          </w:p>
        </w:tc>
        <w:tc>
          <w:tcPr>
            <w:tcW w:w="1360" w:type="dxa"/>
            <w:vAlign w:val="center"/>
          </w:tcPr>
          <w:p>
            <w:pPr>
              <w:spacing w:before="20" w:after="20" w:line="252" w:lineRule="auto"/>
              <w:ind w:firstLine="0"/>
              <w:jc w:val="left"/>
            </w:pPr>
            <w:r>
              <w:rPr>
                <w:sz w:val="24"/>
              </w:rPr>
              <w:t xml:space="preserve">Nghiên cứu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p w14:paraId="478B6AC7" w14:textId="77777777" w:rsidR="005B561C" w:rsidRPr="000F7C87" w:rsidRDefault="00000000">
      <w:pPr>
        <w:keepNext/>
        <w:spacing w:before="160" w:after="80"/>
        <w:ind w:firstLine="0"/>
        <w:jc w:val="center"/>
        <w:rPr>
          <w:szCs w:val="26"/>
        </w:rPr>
      </w:pPr>
      <w:r w:rsidRPr="000F7C87">
        <w:rPr>
          <w:b/>
          <w:szCs w:val="26"/>
        </w:rPr>
        <w:t>Hình 2.7. Tài sản trí tuệ của Nhà trường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6" name="Biểu đồ 506" descr="Hình 2.7. Tài sản trí tuệ của Nhà trường theo loại hình và tình trạng pháp lý"/>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w:t>
      </w:r>
    </w:p>
    <w:p w14:paraId="48E95726" w14:textId="77777777" w:rsidR="005B561C" w:rsidRPr="000F7C87" w:rsidRDefault="00000000">
      <w:pPr>
        <w:rPr>
          <w:szCs w:val="26"/>
        </w:rPr>
      </w:pPr>
      <w:r w:rsidRPr="000F7C87">
        <w:rPr>
          <w:szCs w:val="26"/>
        </w:rPr>
        <w:t>Bảng 2.6 và Hình 2.7 cho thấy danh mục hình thành từ ba luồng. Luồng thương hiệu gồm 4 tài sản, đều do Nhà trường đơn sở hữu và đều đã có văn bằng. Luồng hợp tác doanh nghiệp gồm 5 kiểu dáng công nghiệp và 1 nhãn hiệu đồng sở hữu với một doanh nghiệp đối tác; đây là thành công nổi bật của chiến lược hợp tác đại học với doanh nghiệp mà Ban Giám hiệu đã chủ động kết nối, riêng năm 2024 có 5 kiểu dáng được cấp, nâng số lũy kế từ 4 lên 9 tài sản. Luồng nghiên cứu đã có 2 đơn sáng chế nộp năm 2025 và 2026. Giai đoạn tới, Nhà trường có thể tận dụng đà hợp tác này để phát triển thêm các tài sản do chính Nhà trường đơn sở hữu từ kết quả nghiên cứu, nhất là công thức và quy trình, những đối tượng mà kiểu dáng công nghiệp chưa bảo hộ. Giải pháp hữu ích, loại hình phù hợp nhất với sản phẩm đề tài cấp cơ sở, là hướng phát triển còn bỏ ngỏ.</w:t>
      </w:r>
    </w:p>
    <w:p w14:paraId="48E95726" w14:textId="77777777" w:rsidR="005B561C" w:rsidRPr="000F7C87" w:rsidRDefault="00000000">
      <w:pPr>
        <w:rPr>
          <w:szCs w:val="26"/>
        </w:rPr>
      </w:pPr>
      <w:r w:rsidRPr="000F7C87">
        <w:rPr>
          <w:szCs w:val="26"/>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đủ điều kiện xác lập quyền</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đủ điều kiện xác lập quyền ngoài báo cáo và bài báo, được liệt kê tại Bảng 2.7.</w:t>
      </w:r>
    </w:p>
    <w:p w14:paraId="478B6AC7" w14:textId="77777777" w:rsidR="005B561C" w:rsidRPr="000F7C87" w:rsidRDefault="00000000">
      <w:pPr>
        <w:keepNext/>
        <w:spacing w:before="160" w:after="80"/>
        <w:ind w:firstLine="0"/>
        <w:jc w:val="center"/>
        <w:rPr>
          <w:szCs w:val="26"/>
        </w:rPr>
      </w:pPr>
      <w:r w:rsidRPr="000F7C87">
        <w:rPr>
          <w:b/>
          <w:szCs w:val="26"/>
        </w:rPr>
        <w:t>Bảng 2.7. Đề tài cấp cơ sở có sản phẩm đủ điều kiện xác lập quyền, giai đoạn 2021 - 2025</w:t>
      </w:r>
    </w:p>
    <w:tbl>
      <w:tblPr>
        <w:tblStyle w:val="TableGrid"/>
        <w:tblW w:w="0" w:type="auto"/>
        <w:jc w:val="center"/>
        <w:tblLook w:val="04A0" w:firstRow="1" w:lastRow="0" w:firstColumn="1" w:lastColumn="0" w:noHBand="0" w:noVBand="1"/>
      </w:tblPr>
      <w:tblGrid>
        <w:gridCol w:w="846"/>
        <w:gridCol w:w="1813"/>
        <w:gridCol w:w="3144"/>
        <w:gridCol w:w="1995"/>
        <w:gridCol w:w="1269"/>
      </w:tblGrid>
      <w:tr>
        <w:trPr>
          <w:cantSplit/>
          <w:tblHeader/>
        </w:trPr>
        <w:tc>
          <w:tcPr>
            <w:tcW w:w="846" w:type="dxa"/>
            <w:shd w:val="clear" w:color="auto" w:fill="DCE8F7"/>
            <w:vAlign w:val="center"/>
          </w:tcPr>
          <w:p>
            <w:pPr>
              <w:spacing w:before="20" w:after="20" w:line="252" w:lineRule="auto"/>
              <w:ind w:firstLine="0"/>
              <w:jc w:val="center"/>
            </w:pPr>
            <w:r>
              <w:rPr>
                <w:b/>
                <w:sz w:val="24"/>
              </w:rPr>
              <w:t xml:space="preserve">Năm</w:t>
            </w:r>
          </w:p>
        </w:tc>
        <w:tc>
          <w:tcPr>
            <w:tcW w:w="1813" w:type="dxa"/>
            <w:shd w:val="clear" w:color="auto" w:fill="DCE8F7"/>
            <w:vAlign w:val="center"/>
          </w:tcPr>
          <w:p>
            <w:pPr>
              <w:spacing w:before="20" w:after="20" w:line="252" w:lineRule="auto"/>
              <w:ind w:firstLine="0"/>
              <w:jc w:val="center"/>
            </w:pPr>
            <w:r>
              <w:rPr>
                <w:b/>
                <w:sz w:val="24"/>
              </w:rPr>
              <w:t xml:space="preserve">Đơn vị chủ trì</w:t>
            </w:r>
          </w:p>
        </w:tc>
        <w:tc>
          <w:tcPr>
            <w:tcW w:w="3144" w:type="dxa"/>
            <w:shd w:val="clear" w:color="auto" w:fill="DCE8F7"/>
            <w:vAlign w:val="center"/>
          </w:tcPr>
          <w:p>
            <w:pPr>
              <w:spacing w:before="20" w:after="20" w:line="252" w:lineRule="auto"/>
              <w:ind w:firstLine="0"/>
              <w:jc w:val="center"/>
            </w:pPr>
            <w:r>
              <w:rPr>
                <w:b/>
                <w:sz w:val="24"/>
              </w:rPr>
              <w:t xml:space="preserve">Sản phẩm nghiệm thu</w:t>
            </w:r>
          </w:p>
        </w:tc>
        <w:tc>
          <w:tcPr>
            <w:tcW w:w="1995" w:type="dxa"/>
            <w:shd w:val="clear" w:color="auto" w:fill="DCE8F7"/>
            <w:vAlign w:val="center"/>
          </w:tcPr>
          <w:p>
            <w:pPr>
              <w:spacing w:before="20" w:after="20" w:line="252" w:lineRule="auto"/>
              <w:ind w:firstLine="0"/>
              <w:jc w:val="center"/>
            </w:pPr>
            <w:r>
              <w:rPr>
                <w:b/>
                <w:sz w:val="24"/>
              </w:rPr>
              <w:t xml:space="preserve">Nhóm quyền có thể xác lập</w:t>
            </w:r>
          </w:p>
        </w:tc>
        <w:tc>
          <w:tcPr>
            <w:tcW w:w="1269" w:type="dxa"/>
            <w:shd w:val="clear" w:color="auto" w:fill="DCE8F7"/>
            <w:vAlign w:val="center"/>
          </w:tcPr>
          <w:p>
            <w:pPr>
              <w:spacing w:before="20" w:after="20" w:line="252" w:lineRule="auto"/>
              <w:ind w:firstLine="0"/>
              <w:jc w:val="center"/>
            </w:pPr>
            <w:r>
              <w:rPr>
                <w:b/>
                <w:sz w:val="24"/>
              </w:rPr>
              <w:t xml:space="preserve">Tình trạng</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Công nghệ kỹ thuật Ô tô</w:t>
            </w:r>
          </w:p>
        </w:tc>
        <w:tc>
          <w:tcPr>
            <w:tcW w:w="3144"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995" w:type="dxa"/>
            <w:vAlign w:val="center"/>
          </w:tcPr>
          <w:p>
            <w:pPr>
              <w:spacing w:before="20" w:after="20" w:line="252" w:lineRule="auto"/>
              <w:ind w:firstLine="0"/>
              <w:jc w:val="left"/>
            </w:pPr>
            <w:r>
              <w:rPr>
                <w:sz w:val="24"/>
              </w:rPr>
              <w:t xml:space="preserve">Kiểu dáng công nghiệp hoặc 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Sản phẩm cầm máu dạng màng</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2022</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Bộ mẫu cây thuốc</w:t>
            </w:r>
          </w:p>
        </w:tc>
        <w:tc>
          <w:tcPr>
            <w:tcW w:w="1995" w:type="dxa"/>
            <w:vAlign w:val="center"/>
          </w:tcPr>
          <w:p>
            <w:pPr>
              <w:spacing w:before="20" w:after="20" w:line="252" w:lineRule="auto"/>
              <w:ind w:firstLine="0"/>
              <w:jc w:val="left"/>
            </w:pPr>
            <w:r>
              <w:rPr>
                <w:sz w:val="24"/>
              </w:rPr>
              <w:t xml:space="preserve">Sưu tập dữ liệu</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2023</w:t>
            </w:r>
          </w:p>
        </w:tc>
        <w:tc>
          <w:tcPr>
            <w:tcW w:w="1813" w:type="dxa"/>
            <w:vAlign w:val="center"/>
          </w:tcPr>
          <w:p>
            <w:pPr>
              <w:spacing w:before="20" w:after="20" w:line="252" w:lineRule="auto"/>
              <w:ind w:firstLine="0"/>
              <w:jc w:val="left"/>
            </w:pPr>
            <w:r>
              <w:rPr>
                <w:sz w:val="24"/>
              </w:rPr>
              <w:t xml:space="preserve">Viện Nghiên cứu giáo dục và Chuyển giao tri thức</w:t>
            </w:r>
          </w:p>
        </w:tc>
        <w:tc>
          <w:tcPr>
            <w:tcW w:w="3144"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Xà phòng hữu cơ tảo biển kèm quy trình và công thức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100 tiêu bản hiển vi và cẩm nang phát hiện giun sán</w:t>
            </w:r>
          </w:p>
        </w:tc>
        <w:tc>
          <w:tcPr>
            <w:tcW w:w="1995" w:type="dxa"/>
            <w:vAlign w:val="center"/>
          </w:tcPr>
          <w:p>
            <w:pPr>
              <w:spacing w:before="20" w:after="20" w:line="252" w:lineRule="auto"/>
              <w:ind w:firstLine="0"/>
              <w:jc w:val="left"/>
            </w:pPr>
            <w:r>
              <w:rPr>
                <w:sz w:val="24"/>
              </w:rPr>
              <w:t xml:space="preserve">Sưu tập dữ liệu, quyền tác giả</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Rutin độ tinh khiết 90% kèm quy trình chiết xuất, tinh chế</w:t>
            </w:r>
          </w:p>
        </w:tc>
        <w:tc>
          <w:tcPr>
            <w:tcW w:w="1995" w:type="dxa"/>
            <w:vAlign w:val="center"/>
          </w:tcPr>
          <w:p>
            <w:pPr>
              <w:spacing w:before="20" w:after="20" w:line="252" w:lineRule="auto"/>
              <w:ind w:firstLine="0"/>
              <w:jc w:val="left"/>
            </w:pPr>
            <w:r>
              <w:rPr>
                <w:sz w:val="24"/>
              </w:rPr>
              <w:t xml:space="preserve">Giải pháp hữu ích hoặc sáng chế</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2024</w:t>
            </w:r>
          </w:p>
        </w:tc>
        <w:tc>
          <w:tcPr>
            <w:tcW w:w="1813" w:type="dxa"/>
            <w:vAlign w:val="center"/>
          </w:tcPr>
          <w:p>
            <w:pPr>
              <w:spacing w:before="20" w:after="20" w:line="252" w:lineRule="auto"/>
              <w:ind w:firstLine="0"/>
              <w:jc w:val="left"/>
            </w:pPr>
            <w:r>
              <w:rPr>
                <w:sz w:val="24"/>
              </w:rPr>
              <w:t xml:space="preserve">Khoa Dược</w:t>
            </w:r>
          </w:p>
        </w:tc>
        <w:tc>
          <w:tcPr>
            <w:tcW w:w="3144" w:type="dxa"/>
            <w:vAlign w:val="center"/>
          </w:tcPr>
          <w:p>
            <w:pPr>
              <w:spacing w:before="20" w:after="20" w:line="252" w:lineRule="auto"/>
              <w:ind w:firstLine="0"/>
              <w:jc w:val="left"/>
            </w:pPr>
            <w:r>
              <w:rPr>
                <w:sz w:val="24"/>
              </w:rPr>
              <w:t xml:space="preserve">Thang thuốc 100 ml kèm công thức và quy trình sắc</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995" w:type="dxa"/>
            <w:vAlign w:val="center"/>
          </w:tcPr>
          <w:p>
            <w:pPr>
              <w:spacing w:before="20" w:after="20" w:line="252" w:lineRule="auto"/>
              <w:ind w:firstLine="0"/>
              <w:jc w:val="left"/>
            </w:pPr>
            <w:r>
              <w:rPr>
                <w:sz w:val="24"/>
              </w:rPr>
              <w:t xml:space="preserve">Giải pháp hữu ích</w:t>
            </w:r>
          </w:p>
        </w:tc>
        <w:tc>
          <w:tcPr>
            <w:tcW w:w="1269" w:type="dxa"/>
            <w:vAlign w:val="center"/>
          </w:tcPr>
          <w:p>
            <w:pPr>
              <w:spacing w:before="20" w:after="20" w:line="252" w:lineRule="auto"/>
              <w:ind w:firstLine="0"/>
              <w:jc w:val="left"/>
            </w:pPr>
            <w:r>
              <w:rPr>
                <w:sz w:val="24"/>
              </w:rPr>
              <w:t xml:space="preserve">Chưa nộp</w:t>
            </w:r>
          </w:p>
        </w:tc>
      </w:tr>
      <w:tr>
        <w:trPr>
          <w:cantSplit/>
        </w:trPr>
        <w:tc>
          <w:tcPr>
            <w:tcW w:w="846" w:type="dxa"/>
            <w:vAlign w:val="center"/>
          </w:tcPr>
          <w:p>
            <w:pPr>
              <w:spacing w:before="20" w:after="20" w:line="252" w:lineRule="auto"/>
              <w:ind w:firstLine="0"/>
              <w:jc w:val="center"/>
            </w:pPr>
            <w:r>
              <w:rPr>
                <w:sz w:val="24"/>
              </w:rPr>
              <w:t xml:space="preserve">2025</w:t>
            </w:r>
          </w:p>
        </w:tc>
        <w:tc>
          <w:tcPr>
            <w:tcW w:w="1813" w:type="dxa"/>
            <w:vAlign w:val="center"/>
          </w:tcPr>
          <w:p>
            <w:pPr>
              <w:spacing w:before="20" w:after="20" w:line="252" w:lineRule="auto"/>
              <w:ind w:firstLine="0"/>
              <w:jc w:val="left"/>
            </w:pPr>
            <w:r>
              <w:rPr>
                <w:sz w:val="24"/>
              </w:rPr>
              <w:t xml:space="preserve">Viện Y - Dược</w:t>
            </w:r>
          </w:p>
        </w:tc>
        <w:tc>
          <w:tcPr>
            <w:tcW w:w="3144" w:type="dxa"/>
            <w:vAlign w:val="center"/>
          </w:tcPr>
          <w:p>
            <w:pPr>
              <w:spacing w:before="20" w:after="20" w:line="252" w:lineRule="auto"/>
              <w:ind w:firstLine="0"/>
              <w:jc w:val="left"/>
            </w:pPr>
            <w:r>
              <w:rPr>
                <w:sz w:val="24"/>
              </w:rPr>
              <w:t xml:space="preserve">Chiết xuất lá Quế hoa, hồ sơ ghi giai đoạn 2 là sáng chế</w:t>
            </w:r>
          </w:p>
        </w:tc>
        <w:tc>
          <w:tcPr>
            <w:tcW w:w="1995" w:type="dxa"/>
            <w:vAlign w:val="center"/>
          </w:tcPr>
          <w:p>
            <w:pPr>
              <w:spacing w:before="20" w:after="20" w:line="252" w:lineRule="auto"/>
              <w:ind w:firstLine="0"/>
              <w:jc w:val="left"/>
            </w:pPr>
            <w:r>
              <w:rPr>
                <w:sz w:val="24"/>
              </w:rPr>
              <w:t xml:space="preserve">Sáng chế</w:t>
            </w:r>
          </w:p>
        </w:tc>
        <w:tc>
          <w:tcPr>
            <w:tcW w:w="1269"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có thể xác lập là đánh giá sơ bộ dựa trên mô tả sản phẩm trong hồ sơ nghiệm thu.</w:t>
      </w:r>
    </w:p>
    <w:p w14:paraId="478B6AC7" w14:textId="77777777" w:rsidR="005B561C" w:rsidRPr="000F7C87" w:rsidRDefault="00000000">
      <w:pPr>
        <w:keepNext/>
        <w:spacing w:before="160" w:after="80"/>
        <w:ind w:firstLine="0"/>
        <w:jc w:val="center"/>
        <w:rPr>
          <w:szCs w:val="26"/>
        </w:rPr>
      </w:pPr>
      <w:r w:rsidRPr="000F7C87">
        <w:rPr>
          <w:b/>
          <w:szCs w:val="26"/>
        </w:rPr>
        <w:t>Hình 2.8. Sản phẩm đề tài cấp cơ sở đủ điều kiện xác lập quyền theo nhóm quyền có thể xác lập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đủ điều kiện xác lập quyền theo nhóm quyền có thể xác lập"/>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phù hợp với 8 sản phẩm. Loại hình này không đòi hỏi trình độ sáng tạo như sáng chế, có thời hạn bảo hộ ngắn hơn và phù hợp với quy mô đề tài cấp cơ sở, nhưng chưa sản phẩm nào được nộp đơn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w:t>
      </w:r>
    </w:p>
    <w:p w14:paraId="48E95726" w14:textId="77777777" w:rsidR="005B561C" w:rsidRPr="000F7C87" w:rsidRDefault="00000000">
      <w:pPr>
        <w:rPr>
          <w:szCs w:val="26"/>
        </w:rPr>
      </w:pPr>
      <w:r w:rsidRPr="000F7C87">
        <w:rPr>
          <w:szCs w:val="26"/>
        </w:rPr>
        <w:t>Hình 2.9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nhưng chưa đề tài nào nộp đơn. Tiềm năng ở đầu vào là rõ ràng; điểm nghẽn nằm ở một khoảng trống kỹ thuật tại khâu nối giữa nghiệm thu và đăng ký: quy trình chưa có biểu mẫu rà soát khả năng bảo hộ tại thời điểm nghiệm thu. Với các sản phẩm đã bộc lộ công khai quá mười hai tháng, khả năng đăng ký sáng chế, giải pháp hữu ích không còn, nên khâu rà soát này càng cần được thiết lập sớm.</w:t>
      </w:r>
    </w:p>
    <w:p w14:paraId="48E95726" w14:textId="77777777" w:rsidR="005B561C" w:rsidRPr="000F7C87" w:rsidRDefault="00000000">
      <w:pPr>
        <w:rPr>
          <w:szCs w:val="26"/>
        </w:rPr>
      </w:pPr>
      <w:r w:rsidRPr="000F7C87">
        <w:rPr>
          <w:szCs w:val="26"/>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p w14:paraId="48E95726" w14:textId="77777777" w:rsidR="005B561C" w:rsidRPr="000F7C87" w:rsidRDefault="00000000">
      <w:pPr>
        <w:rPr>
          <w:szCs w:val="26"/>
        </w:rPr>
      </w:pPr>
      <w:r w:rsidRPr="000F7C87">
        <w:rPr>
          <w:szCs w:val="26"/>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096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chưa đạt.</w:t>
      </w:r>
    </w:p>
    <w:p w14:paraId="48E95726" w14:textId="77777777" w:rsidR="005B561C" w:rsidRPr="000F7C87" w:rsidRDefault="00000000">
      <w:pPr>
        <w:rPr>
          <w:szCs w:val="26"/>
        </w:rPr>
      </w:pPr>
      <w:r w:rsidRPr="000F7C87">
        <w:rPr>
          <w:szCs w:val="26"/>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và quy trình đăng ký một cửa; Quyết định 217 ngày 21 tháng 11 năm 2024 tiếp tục ban hành quy chế chuyên biệt, mở rộng phạm vi tài sản, bổ sung nguyên tắc công bố và bảo mật, phân công đầu mối.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Nhà trường đã xác lập 12 tài sản trí tuệ, trong đó 9 tài sản có văn bằng. Nhóm thương hiệu gồm tên trường, bộ nhận diện và thương hiệu hệ sinh thái được bảo hộ liên tục từ năm 2021. Chiến lược hợp tác với doanh nghiệp do Ban Giám hiệu chủ động kết nối đã tạo ra 5 kiểu dáng công nghiệp và 1 nhãn hiệu đồng sở hữu, minh chứng cho năng lực hợp tác đại học với doanh nghiệp hiệu quả của Nhà trường.</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p w14:paraId="48E95726" w14:textId="77777777" w:rsidR="005B561C" w:rsidRPr="000F7C87" w:rsidRDefault="00000000">
      <w:pPr>
        <w:rPr>
          <w:szCs w:val="26"/>
        </w:rPr>
      </w:pPr>
      <w:r w:rsidRPr="000F7C87">
        <w:rPr>
          <w:szCs w:val="26"/>
        </w:rPr>
        <w:t>Thứ tư, tiềm năng tài sản trí tuệ của đội ngũ là rất lớn, đặc biệt ở khối ngành Y - Dược: 11 trên 38 đề tài cấp cơ sở tạo ra sản phẩm đủ điều kiện xác lập quyền, và kênh chuyển hóa từ đề tài sang quyền sở hữu công nghiệp đã vận hành với đơn sáng chế từ đề tài chiết xuất lá Quế hoa năm 2025 và đơn sáng chế thứ hai năm 2026.</w:t>
      </w:r>
    </w:p>
    <w:p w14:paraId="48E95726" w14:textId="77777777" w:rsidR="005B561C" w:rsidRPr="000F7C87" w:rsidRDefault="00000000">
      <w:pPr>
        <w:rPr>
          <w:szCs w:val="26"/>
        </w:rPr>
      </w:pPr>
      <w:r w:rsidRPr="000F7C87">
        <w:rPr>
          <w:szCs w:val="26"/>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11 trên 38 đề tài có sản phẩm đủ điều kiện nhưng mới 1 đề tài nộp đơn; 8 đề tài đủ điều kiện giai đoạn 2021 - 2024 chưa được nộp đơn.</w:t>
      </w:r>
    </w:p>
    <w:p w14:paraId="48E95726" w14:textId="77777777" w:rsidR="005B561C" w:rsidRPr="000F7C87" w:rsidRDefault="00000000">
      <w:pPr>
        <w:rPr>
          <w:szCs w:val="26"/>
        </w:rPr>
      </w:pPr>
      <w:r w:rsidRPr="000F7C87">
        <w:rPr>
          <w:szCs w:val="26"/>
        </w:rPr>
        <w:t>Thứ hai, hệ thống quy định nội bộ ban hành ở các thời điểm khác nhau chưa kịp cập nhật theo pháp luật mới: bốn văn bản chứa năm quy định chia lợi ích; khoản nộp ngân sách và mức trần 100 triệu đồng tại điểm a khoản 4 Điều 36 Quyết định 213 được xây dựng theo khung pháp luật trước đây, nay chưa tương thích với Điều 28 Luật số 93/2025/QH15 và Điều 135 Luật Sở hữu trí tuệ hiện hành.</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mới có 2 đơn sáng chế; các văn bằng sở hữu công nghiệp hiện có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độ phủ khai báo khoảng 29,9%,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đã cấp chưa phát sinh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Chỉ trong khoảng một năm, Luật Khoa học, công nghệ và đổi mới sáng tạo số 93/2025/QH15 có hiệu lực từ ngày 01 tháng 10 năm 2025 thay thế Luật Khoa học và công nghệ năm 2013, với cơ chế tự động giao quyền sở hữu kết quả và thưởng tác giả tối thiểu 30% lợi nhuận;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Nhà trường ban hành năm 2021 và 2024 với tầm nhìn sớm vì vậy tất yếu cần được rà soát, và việc hợp nhất quy chế là cơ hội để Nhà trường đi tiên phong đón đầu luật mới.</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phải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8 đề tài đủ điều kiện giai đoạn 2021 - 2024 chưa được nộp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Về quy trình, đây là khoảng trống kỹ thuật cốt lõi: quy trình nghiệm thu chưa có biểu mẫu rà soát khả năng bảo hộ, nên việc nhận diện sản phẩm và khởi động thủ tục phụ thuộc vào sự chủ động của từng tác giả theo Điều 35 Quyết định 213 và Điều 10 Quyết định 217.</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được hợp nhất thành một cơ chế phân chia lợi ích thống nhất.</w:t>
      </w:r>
    </w:p>
    <w:p w14:paraId="48E95726" w14:textId="77777777" w:rsidR="005B561C" w:rsidRPr="000F7C87" w:rsidRDefault="00000000">
      <w:pPr>
        <w:rPr>
          <w:szCs w:val="26"/>
        </w:rPr>
      </w:pPr>
      <w:r w:rsidRPr="000F7C87">
        <w:rPr>
          <w:szCs w:val="26"/>
        </w:rPr>
        <w:t>Về nguồn lực, kênh đề tài cấp cơ sở, nơi tạo ra các sản phẩm có thể bảo hộ, chưa có dòng chi cho phí nộp đơn và duy trì hiệu lực; Quỹ Học bổng sau tiến sĩ có cơ chế đầy đủ nhưng dành cho đối tượng hẹp;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chế độ khuyến khích hiện hành được thiết kế trước hết cho công bố: văn bằng được quy đổi từ 180 đến 600 giờ nghiên cứu nhưng chưa có tiền thưởng và chỉ được ghi nhận sau khi được cấp, trong khi bài báo quốc tế được thưởng từ 10 đến 20 triệu đồng ngay khi đăng.</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và độ phủ khai báo còn thấp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lực lượng nghiên cứu nòng cốt còn mỏng so với quy mô và chưa được bồi dưỡng chuyên sâu về nhận diện, bảo hộ tài sản trí tuệ.</w:t>
      </w:r>
    </w:p>
    <w:p w14:paraId="478B6AC7" w14:textId="77777777" w:rsidR="005B561C" w:rsidRPr="000F7C87" w:rsidRDefault="00000000">
      <w:pPr>
        <w:keepNext/>
        <w:spacing w:before="160" w:after="80"/>
        <w:ind w:firstLine="0"/>
        <w:jc w:val="center"/>
        <w:rPr>
          <w:szCs w:val="26"/>
        </w:rPr>
      </w:pPr>
      <w:r w:rsidRPr="000F7C87">
        <w:rPr>
          <w:b/>
          <w:szCs w:val="26"/>
        </w:rPr>
        <w:t>Hình 2.11. Chuỗi nguyên nhân dẫn đến việc sản phẩm đủ điều kiện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18"/>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w:t>
      </w:r>
    </w:p>
    <w:p w14:paraId="48E95726" w14:textId="77777777" w:rsidR="005B561C" w:rsidRPr="000F7C87" w:rsidRDefault="00000000">
      <w:pPr>
        <w:rPr>
          <w:szCs w:val="26"/>
        </w:rPr>
      </w:pPr>
      <w:r w:rsidRPr="000F7C87">
        <w:rPr>
          <w:szCs w:val="26"/>
        </w:rPr>
        <w:t>Hình 2.11 cho thấy các nguyên nhân chủ quan liên kết thành một chuỗi. Điểm nghẽn không nằm ở chất lượng đề tài hay năng lực đội ngũ mà ở khoảng trống kỹ thuật tại khâu nghiệm thu: khi chưa có biểu mẫu rà soát, trách nhiệm nhận diện dồn về tác giả; tác giả chưa có kinh phí nộp đơn và phần thưởng cho văn bằng đến chậm nên ưu tiên công bố; sau mười hai tháng kể từ ngày bộc lộ, sản phẩm không còn khả năng đăng ký sáng chế, giải pháp hữu ích. Việc Nhà trường đã tham gia Mạng lưới Trung tâm Hỗ trợ công nghệ và đổi mới sáng tạo từ năm 2023 cho thấy nguồn lực hỗ trợ đã sẵn có; điều cần bổ sung là một bước rà soát bắt buộc để kích hoạt nguồn lực đó. Hệ thống giải pháp tại Chương 3 vì vậy tác động đồng thời vào cả chuỗi, trong đó phiếu rà soát bắt buộc tại thời điểm nghiệm thu là điểm can thiệp ưu tiên.</w:t>
      </w:r>
    </w:p>
    <w:p w14:paraId="6067EC56" w14:textId="77777777" w:rsidR="005B561C" w:rsidRPr="000F7C87" w:rsidRDefault="00000000">
      <w:pPr>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12 tài sản trí tuệ đã được xác lập hoặc đang xử lý đơn, hợp tác doanh nghiệp hiệu quả và kênh chuyển hóa từ đề tài sang đơn sáng chế đã vận hành. Tiềm năng tài sản trí tuệ, nhất là ở khối ngành Y - Dược, là rất lớn: 11 trên 38 đề tài có sản phẩm đủ điều kiện xác lập quyền, trong khi mới 1 đề tài được nộp đơn.</w:t>
      </w:r>
    </w:p>
    <w:p w14:paraId="48E95726" w14:textId="77777777" w:rsidR="005B561C" w:rsidRPr="000F7C87" w:rsidRDefault="00000000">
      <w:pPr>
        <w:rPr>
          <w:szCs w:val="26"/>
        </w:rPr>
      </w:pPr>
      <w:r w:rsidRPr="000F7C87">
        <w:rPr>
          <w:szCs w:val="26"/>
        </w:rPr>
        <w:t>Khoảng cách giữa tiềm năng và kết quả chủ yếu đến từ hai nhóm yếu tố. Về khách quan, pháp luật thay đổi dồn dập trong giai đoạn 2025 - 2026 tạo ra độ trễ thể chế tất yếu đối với các quy chế ban hành trước đó. Về chủ quan, khoảng trống kỹ thuật cốt lõi là quy trình nghiệm thu chưa có biểu mẫu rà soát khả năng bảo hộ, kéo theo các khoảng trống về kinh phí nộp đơn, cơ chế khuyến khích, luồng hồ sơ và dữ liệu. Đây là căn cứ để Chương 3 đề xuất hệ thống giải pháp, trong đó phiếu rà soát bắt buộc tại nghiệm thu và việc hợp nhất quy chế theo luật mới là hai điểm ưu tiên.</w:t>
      </w:r>
    </w:p>
    <w:sectPr w:rsidR="005B561C" w:rsidRPr="000F7C87"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chart" Target="charts/chart1.xml"/><Relationship Id="rId9" Type="http://schemas.openxmlformats.org/officeDocument/2006/relationships/chart" Target="charts/chart2.xml"/><Relationship Id="rId10" Type="http://schemas.openxmlformats.org/officeDocument/2006/relationships/image" Target="media/image2.png"/><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 Id="rId14" Type="http://schemas.openxmlformats.org/officeDocument/2006/relationships/chart" Target="charts/chart6.xml"/><Relationship Id="rId15" Type="http://schemas.openxmlformats.org/officeDocument/2006/relationships/chart" Target="charts/chart7.xml"/><Relationship Id="rId16" Type="http://schemas.openxmlformats.org/officeDocument/2006/relationships/chart" Target="charts/chart8.xml"/><Relationship Id="rId17" Type="http://schemas.openxmlformats.org/officeDocument/2006/relationships/chart" Target="charts/chart9.xml"/><Relationship Id="rId18"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64210526315789473"/>
        </c:manualLayout>
      </c:layout>
      <c:lineChart>
        <c:grouping val="standard"/>
        <c:ser>
          <c:idx val="0"/>
          <c:order val="0"/>
          <c:tx>
            <c:strRef>
              <c:f>'Du_lieu'!$B$1</c:f>
              <c:strCache>
                <c:ptCount val="1"/>
                <c:pt idx="0">
                  <c:v>Quyết định 213, điểm a</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Quyết định 213, điểm b</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ser>
          <c:idx val="2"/>
          <c:order val="2"/>
          <c:tx>
            <c:strRef>
              <c:f>'Du_lieu'!$D$1</c:f>
              <c:strCache>
                <c:ptCount val="1"/>
                <c:pt idx="0">
                  <c:v>Quỹ Ngô Xuân Độ, năm đầu</c:v>
                </c:pt>
              </c:strCache>
            </c:strRef>
          </c:tx>
          <c:spPr>
            <a:ln w="28575">
              <a:solidFill>
                <a:srgbClr val="EB6834"/>
              </a:solidFill>
            </a:ln>
          </c:spPr>
          <c:marker>
            <c:symbol val="circle"/>
            <c:size val="6"/>
            <c:spPr>
              <a:solidFill>
                <a:srgbClr val="EB6834"/>
              </a:solidFill>
              <a:ln>
                <a:solidFill>
                  <a:srgbClr val="EB6834"/>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'Du_lieu'!$D$2:$D$9</c:f>
              <c:numCache>
                <c:formatCode>General</c:formatCode>
                <c:ptCount val="8"/>
                <c:pt idx="0">
                  <c:v>0</c:v>
                </c:pt>
                <c:pt idx="1">
                  <c:v>50</c:v>
                </c:pt>
                <c:pt idx="2">
                  <c:v>100</c:v>
                </c:pt>
                <c:pt idx="3">
                  <c:v>150</c:v>
                </c:pt>
                <c:pt idx="4">
                  <c:v>200</c:v>
                </c:pt>
                <c:pt idx="5">
                  <c:v>250</c:v>
                </c:pt>
                <c:pt idx="6">
                  <c:v>300</c:v>
                </c:pt>
                <c:pt idx="7">
                  <c:v>350</c:v>
                </c:pt>
              </c:numCache>
            </c:numRef>
          </c:val>
          <c:smooth val="0"/>
        </c:ser>
        <c:ser>
          <c:idx val="3"/>
          <c:order val="3"/>
          <c:tx>
            <c:strRef>
              <c:f>'Du_lieu'!$E$1</c:f>
              <c:strCache>
                <c:ptCount val="1"/>
                <c:pt idx="0">
                  <c:v>Quỹ Ngô Xuân Độ, từ năm thứ hai</c:v>
                </c:pt>
              </c:strCache>
            </c:strRef>
          </c:tx>
          <c:spPr>
            <a:ln w="28575">
              <a:solidFill>
                <a:srgbClr val="4A3AA7"/>
              </a:solidFill>
              <a:prstDash val="dash"/>
            </a:ln>
          </c:spPr>
          <c:marker>
            <c:symbol val="circle"/>
            <c:size val="6"/>
            <c:spPr>
              <a:solidFill>
                <a:srgbClr val="4A3AA7"/>
              </a:solidFill>
              <a:ln>
                <a:solidFill>
                  <a:srgbClr val="4A3AA7"/>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'Du_lieu'!$E$2:$E$9</c:f>
              <c:numCache>
                <c:formatCode>General</c:formatCode>
                <c:ptCount val="8"/>
                <c:pt idx="0">
                  <c:v>0</c:v>
                </c:pt>
                <c:pt idx="1">
                  <c:v>20</c:v>
                </c:pt>
                <c:pt idx="2">
                  <c:v>40</c:v>
                </c:pt>
                <c:pt idx="3">
                  <c:v>60</c:v>
                </c:pt>
                <c:pt idx="4">
                  <c:v>80</c:v>
                </c:pt>
                <c:pt idx="5">
                  <c:v>100</c:v>
                </c:pt>
                <c:pt idx="6">
                  <c:v>120</c:v>
                </c:pt>
                <c:pt idx="7">
                  <c:v>140</c:v>
                </c:pt>
              </c:numCache>
            </c:numRef>
          </c:val>
          <c:smooth val="0"/>
        </c:ser>
        <c:ser>
          <c:idx val="4"/>
          <c:order val="4"/>
          <c:tx>
            <c:strRef>
              <c:f>'Du_lieu'!$F$1</c:f>
              <c:strCache>
                <c:ptCount val="1"/>
                <c:pt idx="0">
                  <c:v>Luật Sở hữu trí tuệ, Điều 135</c:v>
                </c:pt>
              </c:strCache>
            </c:strRef>
          </c:tx>
          <c:spPr>
            <a:ln w="19050">
              <a:solidFill>
                <a:srgbClr val="3B3A36"/>
              </a:solidFill>
              <a:prstDash val="sysDot"/>
            </a:ln>
          </c:spPr>
          <c:marker>
            <c:symbol val="circle"/>
            <c:size val="6"/>
            <c:spPr>
              <a:solidFill>
                <a:srgbClr val="3B3A36"/>
              </a:solidFill>
              <a:ln>
                <a:solidFill>
                  <a:srgbClr val="3B3A3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'Du_lieu'!$F$2:$F$9</c:f>
              <c:numCache>
                <c:formatCode>General</c:formatCode>
                <c:ptCount val="8"/>
                <c:pt idx="0">
                  <c:v>0</c:v>
                </c:pt>
                <c:pt idx="1">
                  <c:v>15</c:v>
                </c:pt>
                <c:pt idx="2">
                  <c:v>30</c:v>
                </c:pt>
                <c:pt idx="3">
                  <c:v>45</c:v>
                </c:pt>
                <c:pt idx="4">
                  <c:v>60</c:v>
                </c:pt>
                <c:pt idx="5">
                  <c:v>75</c:v>
                </c:pt>
                <c:pt idx="6">
                  <c:v>90</c:v>
                </c:pt>
                <c:pt idx="7">
                  <c:v>105</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Khoản thu từ một hợp đồng chuyển giao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của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3</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1</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19607843137254904"/>
          <c:w val="0.62322580645161296"/>
          <c:h val="0.58823529411764697"/>
        </c:manualLayout>
      </c:layout>
      <c:barChart>
        <c:barDir val="bar"/>
        <c:grouping val="stacked"/>
        <c:ser>
          <c:idx val="0"/>
          <c:order val="0"/>
          <c:tx>
            <c:strRef>
              <c:f>'Du_lieu'!$B$1</c:f>
              <c:strCache>
                <c:ptCount val="1"/>
                <c:pt idx="0">
                  <c:v>Đã cấp văn bằng</c:v>
                </c:pt>
              </c:strCache>
            </c:strRef>
          </c:tx>
          <c:spPr>
            <a:solidFill>
              <a:srgbClr val="2A78D6"/>
            </a:solidFill>
            <a:ln w="9525">
              <a:solidFill>
                <a:srgbClr val="FFFFFF"/>
              </a:solidFill>
            </a:ln>
          </c:spPr>
          <c:dLbls>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5</c:v>
                </c:pt>
                <c:pt idx="3">
                  <c:v>0</c:v>
                </c:pt>
              </c:numCache>
            </c:numRef>
          </c:val>
        </c:ser>
        <c:ser>
          <c:idx val="1"/>
          <c:order val="1"/>
          <c:tx>
            <c:strRef>
              <c:f>'Du_lieu'!$C$1</c:f>
              <c:strCache>
                <c:ptCount val="1"/>
                <c:pt idx="0">
                  <c:v>Đang xử lý</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0</c:v>
                </c:pt>
                <c:pt idx="3">
                  <c:v>2</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tài sản</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giai đoạn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'Du_lieu'!$B$2:$B$4</c:f>
              <c:numCache>
                <c:formatCode>General</c:formatCode>
                <c:ptCount val="3"/>
                <c:pt idx="0">
                  <c:v>38</c:v>
                </c:pt>
                <c:pt idx="1">
                  <c:v>11</c:v>
                </c:pt>
                <c:pt idx="2">
                  <c:v>1</c:v>
                </c:pt>
              </c:numCache>
            </c:numRef>
          </c:val>
        </c:ser>
        <c:ser>
          <c:idx val="1"/>
          <c:order val="1"/>
          <c:tx>
            <c:strRef>
              <c:f>'Du_lieu'!$C$1</c:f>
              <c:strCache>
                <c:ptCount val="1"/>
                <c:pt idx="0">
                  <c:v>Đề tài giao từ năm 2021 đến năm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đủ điều kiện xác lập quyền</c:v>
                </c:pt>
                <c:pt idx="2">
                  <c:v>Đã nộp đơn đăng ký</c:v>
                </c:pt>
              </c:strCache>
            </c:strRef>
          </c:cat>
          <c:val>
            <c:numRef>
              <c:f>'Du_lieu'!$C$2:$C$4</c:f>
              <c:numCache>
                <c:formatCode>General</c:formatCode>
                <c:ptCount val="3"/>
                <c:pt idx="0">
                  <c:v>31</c:v>
                </c:pt>
                <c:pt idx="1">
                  <c:v>8</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3032258064516129"/>
          <c:y val="0.034883720930232558"/>
          <c:w val="0.59870967741935477"/>
          <c:h val="0.83720930232558133"/>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Pt>
            <c:idx val="9"/>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'Du_lieu'!$A$2:$A$11</c:f>
              <c:strCache>
                <c:ptCount val="10"/>
                <c:pt idx="0">
                  <c:v>Bài báo quốc tế</c:v>
                </c:pt>
                <c:pt idx="1">
                  <c:v>Sách có ISBN</c:v>
                </c:pt>
                <c:pt idx="2">
                  <c:v>Tham luận cấp trường</c:v>
                </c:pt>
                <c:pt idx="3">
                  <c:v>Bài báo trong nước</c:v>
                </c:pt>
                <c:pt idx="4">
                  <c:v>Đề tài cấp Bộ, Nhà nước</c:v>
                </c:pt>
                <c:pt idx="5">
                  <c:v>Đề tài cấp cơ sở</c:v>
                </c:pt>
                <c:pt idx="6">
                  <c:v>Tham luận quốc tế</c:v>
                </c:pt>
                <c:pt idx="7">
                  <c:v>Giáo trình, tài liệu</c:v>
                </c:pt>
                <c:pt idx="8">
                  <c:v>Văn bằng sở hữu trí tuệ</c:v>
                </c:pt>
                <c:pt idx="9">
                  <c:v>Chuyển giao công nghệ</c:v>
                </c:pt>
              </c:strCache>
            </c:strRef>
          </c:cat>
          <c:val>
            <c:numRef>
              <c:f>'Du_lieu'!$E$2:$E$11</c:f>
              <c:numCache>
                <c:formatCode>General</c:formatCode>
                <c:ptCount val="10"/>
                <c:pt idx="0">
                  <c:v>2.833333333333333</c:v>
                </c:pt>
                <c:pt idx="1">
                  <c:v>2.666666666666667</c:v>
                </c:pt>
                <c:pt idx="2">
                  <c:v>2.233333333333333</c:v>
                </c:pt>
                <c:pt idx="3">
                  <c:v>1.645454545454546</c:v>
                </c:pt>
                <c:pt idx="4">
                  <c:v>1.5</c:v>
                </c:pt>
                <c:pt idx="5">
                  <c:v>1.071428571428571</c:v>
                </c:pt>
                <c:pt idx="6">
                  <c:v>0.9090909090909091</c:v>
                </c:pt>
                <c:pt idx="7">
                  <c:v>0.9</c:v>
                </c:pt>
                <c:pt idx="8">
                  <c:v>1.5</c:v>
                </c:pt>
                <c:pt idx="9">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2. Thực trạng quản lý quyền sở hữu trí tuệ tại Trường Đại học Thành Đô</dc:title>
  <dc:subject/>
  <dc:creator>python-docx</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