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0" w:before="0"/>
        <w:ind w:firstLine="0"/>
        <w:jc w:val="center"/>
        <w:rPr>
          <w:szCs w:val="26"/>
        </w:rPr>
      </w:pPr>
      <w:r w:rsidRPr="000F7C87">
        <w:rPr>
          <w:b w:val="0"/>
          <w:i w:val="0"/>
          <w:sz w:val="26"/>
          <w:szCs w:val="26"/>
        </w:rPr>
        <w:t>BỘ GIÁO DỤC VÀ ĐÀO TẠO</w:t>
      </w:r>
    </w:p>
    <w:p w14:paraId="07734D5E" w14:textId="77777777" w:rsidR="005B561C" w:rsidRPr="000F7C87" w:rsidRDefault="00000000">
      <w:pPr>
        <w:spacing w:after="0" w:before="0"/>
        <w:ind w:firstLine="0"/>
        <w:jc w:val="center"/>
        <w:rPr>
          <w:szCs w:val="26"/>
        </w:rPr>
      </w:pPr>
      <w:r w:rsidRPr="000F7C87">
        <w:rPr>
          <w:b/>
          <w:i w:val="0"/>
          <w:sz w:val="26"/>
          <w:szCs w:val="26"/>
        </w:rPr>
        <w:t>TRƯỜNG ĐẠI HỌC THÀNH ĐÔ</w:t>
      </w:r>
    </w:p>
    <w:p w14:paraId="07734D5E" w14:textId="77777777" w:rsidR="005B561C" w:rsidRPr="000F7C87" w:rsidRDefault="00000000">
      <w:pPr>
        <w:spacing w:after="1800" w:before="0"/>
        <w:ind w:firstLine="0"/>
        <w:jc w:val="center"/>
        <w:rPr>
          <w:szCs w:val="26"/>
        </w:rPr>
      </w:pPr>
      <w:r w:rsidRPr="000F7C87">
        <w:rPr>
          <w:b w:val="0"/>
          <w:i w:val="0"/>
          <w:sz w:val="26"/>
          <w:szCs w:val="26"/>
        </w:rPr>
        <w:t>--------------------</w:t>
      </w:r>
    </w:p>
    <w:p w14:paraId="07734D5E" w14:textId="77777777" w:rsidR="005B561C" w:rsidRPr="000F7C87" w:rsidRDefault="00000000">
      <w:pPr>
        <w:spacing w:after="120" w:before="0"/>
        <w:ind w:firstLine="0"/>
        <w:jc w:val="center"/>
        <w:rPr>
          <w:szCs w:val="26"/>
        </w:rPr>
      </w:pPr>
      <w:r w:rsidRPr="000F7C87">
        <w:rPr>
          <w:b/>
          <w:i w:val="0"/>
          <w:sz w:val="36"/>
          <w:szCs w:val="26"/>
        </w:rPr>
        <w:t>BÁO CÁO TỔNG KẾT</w:t>
      </w:r>
    </w:p>
    <w:p w14:paraId="07734D5E" w14:textId="77777777" w:rsidR="005B561C" w:rsidRPr="000F7C87" w:rsidRDefault="00000000">
      <w:pPr>
        <w:spacing w:after="1200" w:before="0"/>
        <w:ind w:firstLine="0"/>
        <w:jc w:val="center"/>
        <w:rPr>
          <w:szCs w:val="26"/>
        </w:rPr>
      </w:pPr>
      <w:r w:rsidRPr="000F7C87">
        <w:rPr>
          <w:b/>
          <w:i w:val="0"/>
          <w:sz w:val="28"/>
          <w:szCs w:val="26"/>
        </w:rPr>
        <w:t>ĐỀ TÀI KHOA HỌC VÀ CÔNG NGHỆ CẤP CƠ SỞ NĂM 2026</w:t>
      </w:r>
    </w:p>
    <w:p w14:paraId="07734D5E" w14:textId="77777777" w:rsidR="005B561C" w:rsidRPr="000F7C87" w:rsidRDefault="00000000">
      <w:pPr>
        <w:spacing w:after="120" w:before="0"/>
        <w:ind w:firstLine="0"/>
        <w:jc w:val="center"/>
        <w:rPr>
          <w:szCs w:val="26"/>
        </w:rPr>
      </w:pPr>
      <w:r w:rsidRPr="000F7C87">
        <w:rPr>
          <w:b w:val="0"/>
          <w:i/>
          <w:sz w:val="26"/>
          <w:szCs w:val="26"/>
        </w:rPr>
        <w:t>Tên đề tài:</w:t>
      </w:r>
    </w:p>
    <w:p w14:paraId="07734D5E" w14:textId="77777777" w:rsidR="005B561C" w:rsidRPr="000F7C87" w:rsidRDefault="00000000">
      <w:pPr>
        <w:spacing w:after="2200" w:before="0"/>
        <w:ind w:firstLine="0"/>
        <w:jc w:val="center"/>
        <w:rPr>
          <w:szCs w:val="26"/>
        </w:rPr>
      </w:pPr>
      <w:r w:rsidRPr="000F7C87">
        <w:rPr>
          <w:b/>
          <w:i w:val="0"/>
          <w:sz w:val="34"/>
          <w:szCs w:val="26"/>
        </w:rPr>
        <w:t>NGHIÊN CỨU GIẢI PHÁP NÂNG CAO HIỆU QUẢ QUẢN LÝ QUYỀN SỞ HỮU TRÍ TUỆ TẠI TRƯỜNG ĐẠI HỌC THÀNH ĐÔ</w:t>
      </w:r>
    </w:p>
    <w:p w14:paraId="07734D5E" w14:textId="77777777" w:rsidR="005B561C" w:rsidRPr="000F7C87" w:rsidRDefault="00000000">
      <w:pPr>
        <w:spacing w:after="0" w:before="0"/>
        <w:ind w:firstLine="0" w:left="2000"/>
        <w:jc w:val="left"/>
        <w:rPr>
          <w:szCs w:val="26"/>
        </w:rPr>
      </w:pPr>
      <w:r w:rsidRPr="000F7C87">
        <w:rPr>
          <w:b/>
          <w:i w:val="0"/>
          <w:sz w:val="28"/>
          <w:szCs w:val="26"/>
        </w:rPr>
        <w:t>Chủ nhiệm đề tài: Nguyễn Thị Tố Uyên</w:t>
      </w:r>
    </w:p>
    <w:p w14:paraId="07734D5E" w14:textId="77777777" w:rsidR="005B561C" w:rsidRPr="000F7C87" w:rsidRDefault="00000000">
      <w:pPr>
        <w:spacing w:after="3000" w:before="0"/>
        <w:ind w:firstLine="0" w:left="2000"/>
        <w:jc w:val="left"/>
        <w:rPr>
          <w:szCs w:val="26"/>
        </w:rPr>
      </w:pPr>
      <w:r w:rsidRPr="000F7C87">
        <w:rPr>
          <w:b w:val="0"/>
          <w:i w:val="0"/>
          <w:sz w:val="28"/>
          <w:szCs w:val="26"/>
        </w:rPr>
        <w:t>Thành viên tham gia: Trần Đăng Bộ</w:t>
      </w:r>
    </w:p>
    <w:p w14:paraId="07734D5E" w14:textId="77777777" w:rsidR="005B561C" w:rsidRPr="000F7C87" w:rsidRDefault="00000000">
      <w:pPr>
        <w:spacing w:after="0" w:before="0"/>
        <w:ind w:firstLine="0"/>
        <w:jc w:val="center"/>
        <w:rPr>
          <w:szCs w:val="26"/>
        </w:rPr>
      </w:pPr>
      <w:r w:rsidRPr="000F7C87">
        <w:rPr>
          <w:b/>
          <w:i w:val="0"/>
          <w:sz w:val="28"/>
          <w:szCs w:val="26"/>
        </w:rPr>
        <w:t>Hà Nội, năm 2026</w:t>
      </w:r>
    </w:p>
    <w:p w14:paraId="07734D5E" w14:textId="77777777" w:rsidR="005B561C" w:rsidRPr="000F7C87" w:rsidRDefault="00000000">
      <w:pPr>
        <w:pageBreakBefore/>
        <w:spacing w:after="240"/>
        <w:ind w:firstLine="0"/>
        <w:jc w:val="center"/>
        <w:rPr>
          <w:szCs w:val="26"/>
        </w:rPr>
      </w:pPr>
      <w:r w:rsidRPr="000F7C87">
        <w:rPr>
          <w:b/>
          <w:sz w:val="28"/>
          <w:szCs w:val="26"/>
        </w:rPr>
        <w:t>MỤC LỤC</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\o "1-3" \h \z \u</w:instrText>
      </w:r>
      <w:r>
        <w:fldChar w:fldCharType="separate"/>
      </w:r>
      <w:r>
        <w:rPr>
          <w:b/>
        </w:rPr>
        <w:t xml:space="preserve">MỞ ĐẦU</w:t>
      </w:r>
      <w:r>
        <w:tab/>
      </w:r>
      <w:r>
        <w:rPr>
          <w:b/>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Tính cấp thiết của đề tài</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Tổng quan tình hình nghiên cứu</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Mục tiêu và câu hỏi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4. Đối tượng và phạm vi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5. Cách tiếp cận và phương pháp nghiên cứu</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6. Ý nghĩa khoa học và thực tiễn</w:t>
      </w:r>
      <w:r>
        <w:tab/>
      </w:r>
      <w:r>
        <w:rPr/>
        <w:t xml:space="preserve">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7. Kết cấu của báo cáo</w:t>
      </w:r>
      <w:r>
        <w:tab/>
      </w:r>
      <w:r>
        <w:rPr/>
        <w:t xml:space="preserve">4</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1. CƠ SỞ LÝ LUẬN VÀ PHÁP LÝ VỀ QUẢN LÝ QUYỀN SỞ HỮU TRÍ TUỆ TRONG CƠ SỞ GIÁO DỤC ĐẠI HỌC</w:t>
      </w:r>
      <w:r>
        <w:tab/>
      </w:r>
      <w:r>
        <w:rPr>
          <w:b/>
        </w:rPr>
        <w:t xml:space="preserve">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1.1. Một số vấn đề lý luận về quyền sở hữu trí tuệ và quản lý quyền sở hữu trí tuệ trong cơ sở giáo dục đại học</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1.1.1. Khái niệm tài sản trí tuệ, quyền sở hữu trí tuệ và quản lý quyền sở hữu trí tuệ</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1.1.2. Đặc điểm của tài sản trí tuệ trong môi trường đại học</w:t>
      </w:r>
      <w:r>
        <w:tab/>
      </w:r>
      <w:r>
        <w:rPr/>
        <w:t xml:space="preserve">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1.1.3. Phân biệt xác lập quyền, bảo vệ quyền, khai thác quyền và thương mại hóa</w:t>
      </w:r>
      <w:r>
        <w:tab/>
      </w:r>
      <w:r>
        <w:rPr/>
        <w:t xml:space="preserve">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1.2. Vai trò của quản lý quyền sở hữu trí tuệ đối với đào tạo, nghiên cứu và phát triển cơ sở giáo dục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1.2.1. Nâng cao chất lượng đào tạo và năng lực nghiên cứu khoa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1.2.2. Đa dạng hóa nguồn tài chính ngoài học phí và thúc đẩy tự chủ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1.2.3. Vị trí của chỉ số sở hữu trí tuệ trong kiểm định chất lượng và xếp hạng đại học</w:t>
      </w:r>
      <w:r>
        <w:tab/>
      </w:r>
      <w:r>
        <w:rPr/>
        <w:t xml:space="preserve">12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1.3. Khung pháp lý về quản lý quyền sở hữu trí tuệ trong cơ sở giáo dục đại học</w:t>
      </w:r>
      <w:r>
        <w:tab/>
      </w:r>
      <w:r>
        <w:rPr/>
        <w:t xml:space="preserve">13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1.3.1. Luật Sở hữu trí tuệ và các văn bản hướng dẫn thi hành</w:t>
      </w:r>
      <w:r>
        <w:tab/>
      </w:r>
      <w:r>
        <w:rPr/>
        <w:t xml:space="preserve">13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1.3.2. Luật Khoa học, công nghệ và đổi mới sáng tạo năm 2025 và quy định mới về quyền sở hữu kết quả nghiên cứu</w:t>
      </w:r>
      <w:r>
        <w:tab/>
      </w:r>
      <w:r>
        <w:rPr/>
        <w:t xml:space="preserve">16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1.3.3. Chiến lược sở hữu trí tuệ đến năm 2030 và các yêu cầu mới đối với cơ sở giáo dục đại học</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1.3.4. Yêu cầu đặt ra đối với việc xây dựng và hoàn thiện quy chế nội bộ của nhà trường</w:t>
      </w:r>
      <w:r>
        <w:tab/>
      </w:r>
      <w:r>
        <w:rPr/>
        <w:t xml:space="preserve">20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1.4. Nội dung, tiêu chí đánh giá và các yếu tố ảnh hưởng đến hiệu quả quản lý quyền sở hữu trí tuệ</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1.4.1. Bốn chức năng quản lý và chu trình quản lý quyền sở hữu trí tuệ trong cơ sở giáo dục đại học</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1.4.2. Tiêu chí đánh giá hiệu quả theo chuỗi: đầu vào, quá trình, đầu ra và kết quả</w:t>
      </w:r>
      <w:r>
        <w:tab/>
      </w:r>
      <w:r>
        <w:rPr/>
        <w:t xml:space="preserve">22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1.4.3. Các yếu tố ảnh hưởng đến hiệu quả quản lý quyền sở hữu trí tuệ trong trường đại học</w:t>
      </w:r>
      <w:r>
        <w:tab/>
      </w:r>
      <w:r>
        <w:rPr/>
        <w:t xml:space="preserve">23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1.5. Kinh nghiệm quản lý quyền sở hữu trí tuệ, cách tiếp cận Không gian sáng tạo mở thử nghiệm và khung phân tích của đề tài</w:t>
      </w:r>
      <w:r>
        <w:tab/>
      </w:r>
      <w:r>
        <w:rPr/>
        <w:t xml:space="preserve">24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1.5.1. Kinh nghiệm quản lý, chuyển giao và khai thác quyền sở hữu trí tuệ tại một số trường đại học trong và ngoài nước</w:t>
      </w:r>
      <w:r>
        <w:tab/>
      </w:r>
      <w:r>
        <w:rPr/>
        <w:t xml:space="preserve">24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1.5.2. Cách tiếp cận Không gian sáng tạo mở thử nghiệm hỗ trợ đồng sáng tạo, thử nghiệm và hoàn thiện kết quả nghiên cứu trước khi mở rộng khai thác</w:t>
      </w:r>
      <w:r>
        <w:tab/>
      </w:r>
      <w:r>
        <w:rPr/>
        <w:t xml:space="preserve">26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1.5.3. Khung phân tích thống nhất của đề tài</w:t>
      </w:r>
      <w:r>
        <w:tab/>
      </w:r>
      <w:r>
        <w:rPr/>
        <w:t xml:space="preserve">27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1</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2. THỰC TRẠNG QUẢN LÝ QUYỀN SỞ HỮU TRÍ TUỆ TẠI TRƯỜNG ĐẠI HỌC THÀNH ĐÔ</w:t>
      </w:r>
      <w:r>
        <w:tab/>
      </w:r>
      <w:r>
        <w:rPr>
          <w:b/>
        </w:rPr>
        <w:t xml:space="preserve">30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2.1. Khái quát về Nhà trường và nguồn hình thành tài sản trí tuệ</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2.1.1. Tổ chức và nhân lực</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2.1.2. Sản phẩm khoa học giai đoạn 2021 - 2025</w:t>
      </w:r>
      <w:r>
        <w:tab/>
      </w:r>
      <w:r>
        <w:rPr/>
        <w:t xml:space="preserve">31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2.2. Thực trạng thể chế, tổ chức và nguồn lực quản lý quyền sở hữu trí tuệ</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2.2.1. Hệ thống quy định nội bộ</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2.2.2. Tổ chức bộ máy và đầu mối quản lý</w:t>
      </w:r>
      <w:r>
        <w:tab/>
      </w:r>
      <w:r>
        <w:rPr/>
        <w:t xml:space="preserve">39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2.2.3. Nguồn lực tài chính và cơ chế khuyến khích</w:t>
      </w:r>
      <w:r>
        <w:tab/>
      </w:r>
      <w:r>
        <w:rPr/>
        <w:t xml:space="preserve">40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2.2.4. Hệ thống dữ liệu phục vụ quản lý</w:t>
      </w:r>
      <w:r>
        <w:tab/>
      </w:r>
      <w:r>
        <w:rPr/>
        <w:t xml:space="preserve">44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2.3. Thực trạng tạo lập, xác lập và bảo vệ quyền sở hữu trí tuệ</w:t>
      </w:r>
      <w:r>
        <w:tab/>
      </w:r>
      <w:r>
        <w:rPr/>
        <w:t xml:space="preserve">45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2.3.1. Đối sánh giữa quy định pháp luật, quy chế nội bộ và thực tế phát sinh</w:t>
      </w:r>
      <w:r>
        <w:tab/>
      </w:r>
      <w:r>
        <w:rPr/>
        <w:t xml:space="preserve">45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2.3.2. Tài sản trí tuệ đã được xác lập quyền và đang xử lý</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2.3.3. Sản phẩm đề tài có tiềm năng tạo lập tài sản trí tuệ</w:t>
      </w:r>
      <w:r>
        <w:tab/>
      </w:r>
      <w:r>
        <w:rPr/>
        <w:t xml:space="preserve">48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2.4. Thực trạng sử dụng, chuyển giao và khai thác tài sản trí tuệ</w:t>
      </w:r>
      <w:r>
        <w:tab/>
      </w:r>
      <w:r>
        <w:rPr/>
        <w:t xml:space="preserve">51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2.5. Đánh giá chung về công tác quản lý quyền sở hữu trí tuệ tại Trường Đại học Thành Đô</w:t>
      </w:r>
      <w:r>
        <w:tab/>
      </w:r>
      <w:r>
        <w:rPr/>
        <w:t xml:space="preserve">52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2.5.1. Kết quả đạt được</w:t>
      </w:r>
      <w:r>
        <w:tab/>
      </w:r>
      <w:r>
        <w:rPr/>
        <w:t xml:space="preserve">54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2.5.2. Hạn chế</w:t>
      </w:r>
      <w:r>
        <w:tab/>
      </w:r>
      <w:r>
        <w:rPr/>
        <w:t xml:space="preserve">55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2.5.3. Nguyên nhân của hạn chế</w:t>
      </w:r>
      <w:r>
        <w:tab/>
      </w:r>
      <w:r>
        <w:rPr/>
        <w:t xml:space="preserve">56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2</w:t>
      </w:r>
      <w:r>
        <w:tab/>
      </w:r>
      <w:r>
        <w:rPr/>
        <w:t xml:space="preserve">58</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3. HỆ THỐNG GIẢI PHÁP NÂNG CAO HIỆU QUẢ QUẢN LÝ QUYỀN SỞ HỮU TRÍ TUỆ TẠI TRƯỜNG ĐẠI HỌC THÀNH ĐÔ ĐÁP ỨNG KHUNG PHÁP LÝ MỚI</w:t>
      </w:r>
      <w:r>
        <w:tab/>
      </w:r>
      <w:r>
        <w:rPr>
          <w:b/>
        </w:rPr>
        <w:t xml:space="preserve">59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3.1. Định hướng và nguyên tắc xây dựng hệ thống giải pháp</w:t>
      </w:r>
      <w:r>
        <w:tab/>
      </w:r>
      <w:r>
        <w:rPr/>
        <w:t xml:space="preserve">59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3.1.1. Căn cứ quy phạm pháp luật và thể chế vĩ mô mới điều chỉnh công tác quản lý sở hữu trí tuệ</w:t>
      </w:r>
      <w:r>
        <w:tab/>
      </w:r>
      <w:r>
        <w:rPr/>
        <w:t xml:space="preserve">59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3.1.2. Phân tích điểm mạnh, điểm yếu, thời cơ và thách thức</w:t>
      </w:r>
      <w:r>
        <w:tab/>
      </w:r>
      <w:r>
        <w:rPr/>
        <w:t xml:space="preserve">62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3.1.3. Các nguyên tắc xây dựng giải pháp</w:t>
      </w:r>
      <w:r>
        <w:tab/>
      </w:r>
      <w:r>
        <w:rPr/>
        <w:t xml:space="preserve">65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3.2. Hệ thống giải pháp cụ thể</w:t>
      </w:r>
      <w:r>
        <w:tab/>
      </w:r>
      <w:r>
        <w:rPr/>
        <w:t xml:space="preserve">66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3.2.1. Giải pháp 1: Hoàn thiện cơ chế, chính sách và hệ thống quy chế nội bộ về quản lý quyền sở hữu trí tuệ</w:t>
      </w:r>
      <w:r>
        <w:tab/>
      </w:r>
      <w:r>
        <w:rPr/>
        <w:t xml:space="preserve">66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3.2.2. Giải pháp 2: Kiện toàn mô hình tổ chức bộ máy, thiết lập cơ chế phối hợp liên phòng ban và nâng cao năng lực chuyên trách</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3.2.3. Giải pháp 3: Chuẩn hóa quy trình 8 khâu quản lý tài sản trí tuệ gắn với khâu rà soát nghiệm thu bắt buộc và mô hình Không gian sáng tạo mở thử nghiệm</w:t>
      </w:r>
      <w:r>
        <w:tab/>
      </w:r>
      <w:r>
        <w:rPr/>
        <w:t xml:space="preserve">71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3.2.4. Giải pháp 4: Hoàn thiện cơ chế tài chính cho bước xác lập quyền và phương án tổ chức khai thác tài sản trí tuệ theo giai đoạn</w:t>
      </w:r>
      <w:r>
        <w:tab/>
      </w:r>
      <w:r>
        <w:rPr/>
        <w:t xml:space="preserve">75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3.2.5. Giải pháp 5: Phát triển chương trình đào tạo định hướng ban đầu cho giảng viên và sinh viên, kích hoạt phong trào đăng ký và phát triển văn hóa sở hữu trí tuệ</w:t>
      </w:r>
      <w:r>
        <w:tab/>
      </w:r>
      <w:r>
        <w:rPr/>
        <w:t xml:space="preserve">77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3.2.6. Tổ chức thực hiện các giải pháp</w:t>
      </w:r>
      <w:r>
        <w:tab/>
      </w:r>
      <w:r>
        <w:rPr/>
        <w:t xml:space="preserve">78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3.3. Kế hoạch thí điểm mô hình sàng lọc tại nghiệm thu</w:t>
      </w:r>
      <w:r>
        <w:tab/>
      </w:r>
      <w:r>
        <w:rPr/>
        <w:t xml:space="preserve">80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3.3.1. Mục đích và phạm vi thí điểm dự kiến</w:t>
      </w:r>
      <w:r>
        <w:tab/>
      </w:r>
      <w:r>
        <w:rPr/>
        <w:t xml:space="preserve">80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3.3.2. Kịch bản thí điểm và các giả định cần kiểm chứng</w:t>
      </w:r>
      <w:r>
        <w:tab/>
      </w:r>
      <w:r>
        <w:rPr/>
        <w:t xml:space="preserve">80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3.4. Lộ trình triển khai và Bộ chỉ số theo dõi đánh giá hiệu quả</w:t>
      </w:r>
      <w:r>
        <w:tab/>
      </w:r>
      <w:r>
        <w:rPr/>
        <w:t xml:space="preserve">81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3.4.1. Lộ trình triển khai theo các mốc chiến lược</w:t>
      </w:r>
      <w:r>
        <w:tab/>
      </w:r>
      <w:r>
        <w:rPr/>
        <w:t xml:space="preserve">81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3.4.2. Bộ chỉ số theo dõi đánh giá hiệu quả</w:t>
      </w:r>
      <w:r>
        <w:tab/>
      </w:r>
      <w:r>
        <w:rPr/>
        <w:t xml:space="preserve">83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3</w:t>
      </w:r>
      <w:r>
        <w:tab/>
      </w:r>
      <w:r>
        <w:rPr/>
        <w:t xml:space="preserve">85</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KẾT LUẬN VÀ KIẾN NGHỊ</w:t>
      </w:r>
      <w:r>
        <w:tab/>
      </w:r>
      <w:r>
        <w:rPr>
          <w:b/>
        </w:rPr>
        <w:t xml:space="preserve">86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Kết luận</w:t>
      </w:r>
      <w:r>
        <w:tab/>
      </w:r>
      <w:r>
        <w:rPr/>
        <w:t xml:space="preserve">86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Kiến nghị với cơ quan quản lý nhà nước</w:t>
      </w:r>
      <w:r>
        <w:tab/>
      </w:r>
      <w:r>
        <w:rPr/>
        <w:t xml:space="preserve">87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Kiến nghị với Hội đồng trường và Ban Giám hiệu Trường Đại học Thành Đô</w:t>
      </w:r>
      <w:r>
        <w:tab/>
      </w:r>
      <w:r>
        <w:rPr/>
        <w:t xml:space="preserve">87</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TÀI LIỆU THAM KHẢO</w:t>
      </w:r>
      <w:r>
        <w:tab/>
      </w:r>
      <w:r>
        <w:rPr>
          <w:b/>
        </w:rPr>
        <w:t xml:space="preserve">89</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BẢNG</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bang,1"</w:instrText>
      </w:r>
      <w:r>
        <w:fldChar w:fldCharType="separate"/>
      </w:r>
      <w:r>
        <w:rPr/>
        <w:t xml:space="preserve">Bảng 1.1. Bộ tiêu chí đánh giá hiệu quả quản lý quyền sở hữu trí tuệ theo chuỗi</w:t>
      </w:r>
      <w:r>
        <w:tab/>
      </w:r>
      <w:r>
        <w:rPr/>
        <w:t xml:space="preserve">22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2.1. Nhân lực Trường Đại học Thành Đô theo đơn vị và trình độ, năm 2026</w:t>
      </w:r>
      <w:r>
        <w:tab/>
      </w:r>
      <w:r>
        <w:rPr/>
        <w:t xml:space="preserve">30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2.2. Sản phẩm khoa học của Trường Đại học Thành Đô, giai đoạn 2021 - 2025</w:t>
      </w:r>
      <w:r>
        <w:tab/>
      </w:r>
      <w:r>
        <w:rPr/>
        <w:t xml:space="preserve">31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2.3. Các quy định về lợi ích của tác giả và phân chia nguồn thu từ tài sản trí tuệ</w:t>
      </w:r>
      <w:r>
        <w:tab/>
      </w:r>
      <w:r>
        <w:rPr/>
        <w:t xml:space="preserve">35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2.4. Ba kênh tài trợ nghiên cứu và cơ chế chi cho xác lập quyền</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2.5. Đối sánh đối tượng quyền theo Luật, theo quy chế nội bộ và theo thực tế phát sinh</w:t>
      </w:r>
      <w:r>
        <w:tab/>
      </w:r>
      <w:r>
        <w:rPr/>
        <w:t xml:space="preserve">45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2.6. Hồ sơ tài sản trí tuệ thuộc sở hữu hoặc đồng sở hữu của Trường Đại học Thành Đô</w:t>
      </w:r>
      <w:r>
        <w:tab/>
      </w:r>
      <w:r>
        <w:rPr/>
        <w:t xml:space="preserve">46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2.7. Đề tài cấp cơ sở có sản phẩm tiềm năng tạo lập tài sản trí tuệ, giai đoạn 2021 - 2025</w:t>
      </w:r>
      <w:r>
        <w:tab/>
      </w:r>
      <w:r>
        <w:rPr/>
        <w:t xml:space="preserve">48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3.1. Ma trận điểm mạnh, điểm yếu, thời cơ và thách thức trong quản lý quyền sở hữu trí tuệ tại Trường Đại học Thành Đô</w:t>
      </w:r>
      <w:r>
        <w:tab/>
      </w:r>
      <w:r>
        <w:rPr/>
        <w:t xml:space="preserve">62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3.2. Các phương án kết hợp từ ma trận và giải pháp tương ứng</w:t>
      </w:r>
      <w:r>
        <w:tab/>
      </w:r>
      <w:r>
        <w:rPr/>
        <w:t xml:space="preserve">64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3.3. Tổ chức thực hiện các giải pháp theo hạn chế được xử lý</w:t>
      </w:r>
      <w:r>
        <w:tab/>
      </w:r>
      <w:r>
        <w:rPr/>
        <w:t xml:space="preserve">78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3.4. Bộ chỉ số theo dõi đánh giá hiệu quả triển khai hệ thống giải pháp, phân tầng theo chuỗi kết quả</w:t>
      </w:r>
      <w:r>
        <w:tab/>
      </w:r>
      <w:r>
        <w:rPr/>
        <w:t xml:space="preserve">83</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HÌNH</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hinh,1"</w:instrText>
      </w:r>
      <w:r>
        <w:fldChar w:fldCharType="separate"/>
      </w:r>
      <w:r>
        <w:rPr/>
        <w:t xml:space="preserve">Hình 1.1. Chu trình bốn giai đoạn quản lý quyền sở hữu trí tuệ trong trường đại học</w:t>
      </w:r>
      <w:r>
        <w:tab/>
      </w:r>
      <w:r>
        <w:rPr/>
        <w:t xml:space="preserve">22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1.2. Sáu nhóm yếu tố ảnh hưởng đến hiệu quả quản lý quyền sở hữu trí tuệ</w:t>
      </w:r>
      <w:r>
        <w:tab/>
      </w:r>
      <w:r>
        <w:rPr/>
        <w:t xml:space="preserve">24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1.3. Khung phân tích của đề tài</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 Cơ cấu và diễn biến sản phẩm khoa học theo năm, giai đoạn 2021 - 2025</w:t>
      </w:r>
      <w:r>
        <w:tab/>
      </w:r>
      <w:r>
        <w:rPr/>
        <w:t xml:space="preserve">33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2.2. Mô phỏng phần dành cho tác giả theo điểm a và điểm b khoản 4 Điều 36 Quyết định 213 trên cùng cơ sở tính</w:t>
      </w:r>
      <w:r>
        <w:tab/>
      </w:r>
      <w:r>
        <w:rPr/>
        <w:t xml:space="preserve">37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2.3. Phân công đầu mối quản lý quyền sở hữu trí tuệ tại Trường Đại học Thành Đô</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2.4. Số đề tài cấp cơ sở theo hình thức kinh phí và kinh phí Nhà trường cấp, giai đoạn 2021 - 2025</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2.5. Giờ nghiên cứu quy đổi và mức thưởng bằng tiền theo loại sản phẩm khoa học</w:t>
      </w:r>
      <w:r>
        <w:tab/>
      </w:r>
      <w:r>
        <w:rPr/>
        <w:t xml:space="preserve">43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2.6. Khả năng tính toán bộ tiêu chí đánh giá hiệu quả quản lý quyền sở hữu trí tuệ từ dữ liệu hiện có</w:t>
      </w:r>
      <w:r>
        <w:tab/>
      </w:r>
      <w:r>
        <w:rPr/>
        <w:t xml:space="preserve">44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2.7. Hồ sơ tài sản trí tuệ của Nhà trường trong kỳ 2021 - 2025 theo loại hình và tình trạng pháp lý</w:t>
      </w:r>
      <w:r>
        <w:tab/>
      </w:r>
      <w:r>
        <w:rPr/>
        <w:t xml:space="preserve">47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2.8. Sản phẩm đề tài cấp cơ sở có tiềm năng tạo lập tài sản trí tuệ theo nhóm quyền dự kiến</w:t>
      </w:r>
      <w:r>
        <w:tab/>
      </w:r>
      <w:r>
        <w:rPr/>
        <w:t xml:space="preserve">50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2.9. Chuỗi chuyển hóa từ đề tài cấp cơ sở sang đơn đăng ký sở hữu công nghiệp</w:t>
      </w:r>
      <w:r>
        <w:tab/>
      </w:r>
      <w:r>
        <w:rPr/>
        <w:t xml:space="preserve">50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2.10. Tỷ lệ thực hiện so với chỉ tiêu Kế hoạch 07/KH-ĐHTĐ, cộng dồn hai năm 2024 - 2025</w:t>
      </w:r>
      <w:r>
        <w:tab/>
      </w:r>
      <w:r>
        <w:rPr/>
        <w:t xml:space="preserve">53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2.11. Giả thuyết về chuỗi nguyên nhân dẫn đến việc sản phẩm có tiềm năng chưa được đăng ký bảo hộ</w:t>
      </w:r>
      <w:r>
        <w:tab/>
      </w:r>
      <w:r>
        <w:rPr/>
        <w:t xml:space="preserve">57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3.1. Mô hình phối hợp liên phòng ban trong quản lý quyền sở hữu trí tuệ</w:t>
      </w:r>
      <w:r>
        <w:tab/>
      </w:r>
      <w:r>
        <w:rPr/>
        <w:t xml:space="preserve">70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3.2. Quy trình 8 khâu quản lý tài sản trí tuệ từ khai báo đến khai thác, kèm luồng nộp đơn sớm và phân nhánh theo loại đối tượng</w:t>
      </w:r>
      <w:r>
        <w:tab/>
      </w:r>
      <w:r>
        <w:rPr/>
        <w:t xml:space="preserve">72</w:t>
      </w:r>
    </w:p>
    <w:p w14:paraId="48E95726" w14:textId="77777777" w:rsidR="005B561C" w:rsidRPr="000F7C87" w:rsidRDefault="00000000">
      <w:pPr>
        <w:tabs>
          <w:tab w:val="right" w:leader="dot" w:pos="9070"/>
        </w:tabs>
        <w:spacing w:before="0" w:after="60" w:line="276" w:lineRule="auto"/>
        <w:ind w:firstLine="0" w:left="0"/>
        <w:jc w:val="left"/>
        <w:rPr>
          <w:szCs w:val="26"/>
        </w:rPr>
        <w:sectPr w:rsidR="005B561C" w:rsidRPr="000F7C87" w:rsidSect="00034616">
          <w:footerReference w:type="default" r:id="rId25"/>
          <w:footerReference w:type="first" r:id="rId26"/>
          <w:pgSz w:w="11906" w:h="16838"/>
          <w:pgMar w:top="1134" w:right="1134" w:bottom="1134" w:left="1701" w:header="720" w:footer="720" w:gutter="0"/>
          <w:pgNumType w:fmt="lowerRoman"/>
          <w:cols w:space="720"/>
          <w:titlePg/>
          <w:docGrid w:linePitch="360"/>
        </w:sectPr>
      </w:pPr>
      <w:r>
        <w:rPr/>
        <w:t xml:space="preserve">Hình 3.3. Lộ trình triển khai hệ thống giải pháp giai đoạn 2026 - 2030</w:t>
      </w:r>
      <w:r>
        <w:tab/>
      </w:r>
      <w:r>
        <w:rPr/>
        <w:t xml:space="preserve">81</w:t>
      </w:r>
      <w:r>
        <w:fldChar w:fldCharType="end"/>
      </w:r>
    </w:p>
    <w:p w14:paraId="07734D5E" w14:textId="77777777" w:rsidR="005B561C" w:rsidRPr="000F7C87" w:rsidRDefault="00000000">
      <w:pPr>
        <w:pageBreakBefore/>
        <w:spacing w:after="240"/>
        <w:ind w:firstLine="0"/>
        <w:jc w:val="center"/>
        <w:outlineLvl w:val="0"/>
        <w:rPr>
          <w:szCs w:val="26"/>
        </w:rPr>
      </w:pPr>
      <w:r w:rsidRPr="000F7C87">
        <w:rPr>
          <w:b/>
          <w:sz w:val="28"/>
          <w:szCs w:val="26"/>
        </w:rPr>
        <w:t>MỞ ĐẦU</w:t>
      </w:r>
    </w:p>
    <w:p w14:paraId="6067EC56" w14:textId="77777777" w:rsidR="005B561C" w:rsidRPr="000F7C87" w:rsidRDefault="00000000">
      <w:pPr>
        <w:spacing w:before="280" w:after="160"/>
        <w:ind w:firstLine="0"/>
        <w:outlineLvl w:val="1"/>
        <w:rPr>
          <w:szCs w:val="26"/>
        </w:rPr>
      </w:pPr>
      <w:r w:rsidRPr="000F7C87">
        <w:rPr>
          <w:b/>
          <w:szCs w:val="26"/>
        </w:rPr>
        <w:t>1. Tính cấp thiết của đề tài</w:t>
      </w:r>
    </w:p>
    <w:p w14:paraId="48E95726" w14:textId="77777777" w:rsidR="005B561C" w:rsidRPr="000F7C87" w:rsidRDefault="00000000">
      <w:pPr>
        <w:rPr>
          <w:szCs w:val="26"/>
        </w:rPr>
      </w:pPr>
      <w:r w:rsidRPr="000F7C87">
        <w:rPr>
          <w:szCs w:val="26"/>
        </w:rPr>
        <w:t xml:space="preserve">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và giá, đồng thời quy định mức thưởng tối thiểu cho tác giả đối với phần kết quả sử dụng ngân sách nhà nước;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p w14:paraId="48E95726" w14:textId="77777777" w:rsidR="005B561C" w:rsidRPr="000F7C87" w:rsidRDefault="00000000">
      <w:pPr>
        <w:rPr>
          <w:szCs w:val="26"/>
        </w:rPr>
      </w:pPr>
      <w:r w:rsidRPr="000F7C87">
        <w:rPr>
          <w:szCs w:val="26"/>
        </w:rPr>
        <w:t xml:space="preserve">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có tiềm năng tạo lập tài sản trí tuệ, nhất là ở khối ngành Y - Dược. Tuy vậy, kênh chuyển hóa từ kết quả nghiên cứu sang quyền sở hữu trí tuệ mới vận hành ở quy mô nhỏ, và các quy chế ban hành trước năm 2025 cần được cập nhật theo phạm vi áp dụng của luật mới. Việc nghiên cứu giải pháp nâng cao hiệu quả quản lý quyền sở hữu trí tuệ vì vậy vừa là yêu cầu tuân thủ pháp luật, vừa là cơ hội để Nhà trường đi tiên phong đón đầu khung pháp lý mới.</w:t>
      </w:r>
    </w:p>
    <w:p w14:paraId="6067EC56" w14:textId="77777777" w:rsidR="005B561C" w:rsidRPr="000F7C87" w:rsidRDefault="00000000">
      <w:pPr>
        <w:spacing w:before="280" w:after="160"/>
        <w:ind w:firstLine="0"/>
        <w:outlineLvl w:val="1"/>
        <w:rPr>
          <w:szCs w:val="26"/>
        </w:rPr>
      </w:pPr>
      <w:r w:rsidRPr="000F7C87">
        <w:rPr>
          <w:b/>
          <w:szCs w:val="26"/>
        </w:rPr>
        <w:t>2. Tổng quan tình hình nghiên cứu</w:t>
      </w:r>
    </w:p>
    <w:p w14:paraId="48E95726" w14:textId="77777777" w:rsidR="005B561C" w:rsidRPr="000F7C87" w:rsidRDefault="00000000">
      <w:pPr>
        <w:rPr>
          <w:szCs w:val="26"/>
        </w:rPr>
      </w:pPr>
      <w:r w:rsidRPr="000F7C87">
        <w:rPr>
          <w:szCs w:val="26"/>
          <w:b/>
        </w:rPr>
        <w:t xml:space="preserve">Nghiên cứu quốc tế.</w:t>
      </w:r>
      <w:r w:rsidRPr="000F7C87">
        <w:rPr>
          <w:szCs w:val="26"/>
        </w:rPr>
        <w:t xml:space="preserve"> Các công trình nền tảng đã chỉ ra rằng trường đại học có thể vận hành như một chủ thể khởi nghiệp, trong đó nhóm nghiên cứu mang đặc tính của doanh nghiệp (Etzkowitz, 2003). Hiệu quả thương mại hóa phụ thuộc vào thể chế phân bổ quyền và lợi ích, vào năng lực của đơn vị chuyển giao công nghệ và vào cơ chế khuyến khích nhà khoa học (Goldfarb &amp; Henrekson, 2003; Siegel et al., 2007; Thursby &amp; Kemp, 2002). Các tổng quan hệ thống gần đây nhấn mạnh sự dịch chuyển từ tư duy chiếm hữu sang tư duy khai thác tài sản trí tuệ và vai trò của quy trình tiếp nhận, đánh giá bản khai báo sáng chế tại đơn vị chuyển giao (Holgersson &amp; Aaboen, 2019; Maresova et al., 2019; Rocha et al., 2023). Hợp tác đại học với doanh nghiệp được xác định là kênh quan trọng để hình thành và khai thác tài sản trí tuệ, với điều kiện có cơ chế tin cậy và phân định quyền rõ ràng (O’Dwyer et al., 2023; Perkmann et al., 2013).</w:t>
      </w:r>
    </w:p>
    <w:p w14:paraId="48E95726" w14:textId="77777777" w:rsidR="005B561C" w:rsidRPr="000F7C87" w:rsidRDefault="00000000">
      <w:pPr>
        <w:rPr>
          <w:szCs w:val="26"/>
        </w:rPr>
      </w:pPr>
      <w:r w:rsidRPr="000F7C87">
        <w:rPr>
          <w:szCs w:val="26"/>
          <w:b/>
        </w:rPr>
        <w:t xml:space="preserve">Nghiên cứu trong nước.</w:t>
      </w:r>
      <w:r w:rsidRPr="000F7C87">
        <w:rPr>
          <w:szCs w:val="26"/>
        </w:rPr>
        <w:t xml:space="preserve"> Các nghiên cứu năm 2025 tập trung vào cơ hội, thách thức của quản trị tài sản trí tuệ trong cơ sở giáo dục đại học và vấn đề quyền của chủ thể tạo ra tác phẩm trong nhà trường (Nguyễn, 2025; Võ, 2025). Tài liệu tập huấn của Cục Sở hữu trí tuệ (n.d.) cung cấp khung nghiệp vụ cho cán bộ quản lý tại trường đại học và viện nghiên cứu.</w:t>
      </w:r>
    </w:p>
    <w:p w14:paraId="48E95726" w14:textId="77777777" w:rsidR="005B561C" w:rsidRPr="000F7C87" w:rsidRDefault="00000000">
      <w:pPr>
        <w:rPr>
          <w:szCs w:val="26"/>
        </w:rPr>
      </w:pPr>
      <w:r w:rsidRPr="000F7C87">
        <w:rPr>
          <w:szCs w:val="26"/>
          <w:b/>
        </w:rPr>
        <w:t xml:space="preserve">Khoảng trống nghiên cứu.</w:t>
      </w:r>
      <w:r w:rsidRPr="000F7C87">
        <w:rPr>
          <w:szCs w:val="26"/>
        </w:rPr>
        <w:t xml:space="preserve"> Phần lớn nghiên cứu trong nước dừng ở mức phân tích quy định hoặc đánh giá định tính, ít công trình đo lường thực trạng tại một trường cụ thể bằng dữ liệu hành chính đầy đủ theo chuỗi từ đề tài đến văn bằng. Chưa có nghiên cứu nào đối chiếu quy chế nội bộ của trường đại học tư thục với khung pháp lý mới giai đoạn 2025 - 2026. Đề tài hướng tới lấp khoảng trống này tại Trường Đại học Thành Đô.</w:t>
      </w:r>
    </w:p>
    <w:p w14:paraId="6067EC56" w14:textId="77777777" w:rsidR="005B561C" w:rsidRPr="000F7C87" w:rsidRDefault="00000000">
      <w:pPr>
        <w:spacing w:before="280" w:after="160"/>
        <w:ind w:firstLine="0"/>
        <w:outlineLvl w:val="1"/>
        <w:rPr>
          <w:szCs w:val="26"/>
        </w:rPr>
      </w:pPr>
      <w:r w:rsidRPr="000F7C87">
        <w:rPr>
          <w:b/>
          <w:szCs w:val="26"/>
        </w:rPr>
        <w:t>3. Mục tiêu và câu hỏi nghiên cứu</w:t>
      </w:r>
    </w:p>
    <w:p w14:paraId="48E95726" w14:textId="77777777" w:rsidR="005B561C" w:rsidRPr="000F7C87" w:rsidRDefault="00000000">
      <w:pPr>
        <w:rPr>
          <w:szCs w:val="26"/>
        </w:rPr>
      </w:pPr>
      <w:r w:rsidRPr="000F7C87">
        <w:rPr>
          <w:szCs w:val="26"/>
          <w:b/>
        </w:rPr>
        <w:t xml:space="preserve">Mục tiêu tổng quát:</w:t>
      </w:r>
      <w:r w:rsidRPr="000F7C87">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48E95726" w14:textId="77777777" w:rsidR="005B561C" w:rsidRPr="000F7C87" w:rsidRDefault="00000000">
      <w:pPr>
        <w:rPr>
          <w:szCs w:val="26"/>
        </w:rPr>
      </w:pPr>
      <w:r w:rsidRPr="000F7C87">
        <w:rPr>
          <w:szCs w:val="26"/>
          <w:b/>
        </w:rPr>
        <w:t xml:space="preserve">Mục tiêu cụ thể:</w:t>
      </w:r>
      <w:r w:rsidRPr="000F7C87">
        <w:rPr>
          <w:szCs w:val="26"/>
        </w:rPr>
        <w:t xml:space="preserve"> thứ nhất, hệ thống hóa cơ sở lý luận và pháp lý về quản lý quyền sở hữu trí tuệ trong cơ sở giáo dục đại học, xây dựng khung phân tích và bộ tiêu chí đánh giá; thứ hai, đánh giá thực trạng quản lý quyền sở hữu trí tuệ tại Nhà trường giai đoạn 2021 - 2025, chỉ ra kết quả, hạn chế và nguyên nhân; thứ ba, đề xuất hệ thống giải pháp kèm lộ trình, phương án thí điểm và bộ chỉ số theo dõi.</w:t>
      </w:r>
    </w:p>
    <w:p w14:paraId="48E95726" w14:textId="77777777" w:rsidR="005B561C" w:rsidRPr="000F7C87" w:rsidRDefault="00000000">
      <w:pPr>
        <w:rPr>
          <w:szCs w:val="26"/>
        </w:rPr>
      </w:pPr>
      <w:r w:rsidRPr="000F7C87">
        <w:rPr>
          <w:szCs w:val="26"/>
          <w:b/>
        </w:rPr>
        <w:t xml:space="preserve">Câu hỏi nghiên cứu:</w:t>
      </w:r>
      <w:r w:rsidRPr="000F7C87">
        <w:rPr>
          <w:szCs w:val="26"/>
        </w:rPr>
        <w:t xml:space="preserve"> (1) Khung pháp lý mới đặt ra những yêu cầu gì đối với quản lý quyền sở hữu trí tuệ của cơ sở giáo dục đại học tư thục? (2) Nguồn tài sản trí tuệ tiềm năng của Nhà trường lớn đến đâu và đã được chuyển hóa thành quyền đến mức nào? (3) Điểm nghẽn nào quyết định khoảng cách giữa tiềm năng và kết quả? (4) Giải pháp nào khả thi để thu hẹp khoảng cách đó trong giai đoạn 2026 - 2030?</w:t>
      </w:r>
    </w:p>
    <w:p w14:paraId="6067EC56" w14:textId="77777777" w:rsidR="005B561C" w:rsidRPr="000F7C87" w:rsidRDefault="00000000">
      <w:pPr>
        <w:spacing w:before="280" w:after="160"/>
        <w:ind w:firstLine="0"/>
        <w:outlineLvl w:val="1"/>
        <w:rPr>
          <w:szCs w:val="26"/>
        </w:rPr>
      </w:pPr>
      <w:r w:rsidRPr="000F7C87">
        <w:rPr>
          <w:b/>
          <w:szCs w:val="26"/>
        </w:rPr>
        <w:t>4. Đối tượng và phạm vi nghiên cứu</w:t>
      </w:r>
    </w:p>
    <w:p w14:paraId="48E95726" w14:textId="77777777" w:rsidR="005B561C" w:rsidRPr="000F7C87" w:rsidRDefault="00000000">
      <w:pPr>
        <w:rPr>
          <w:szCs w:val="26"/>
        </w:rPr>
      </w:pPr>
      <w:r w:rsidRPr="000F7C87">
        <w:rPr>
          <w:szCs w:val="26"/>
          <w:b/>
        </w:rPr>
        <w:t xml:space="preserve">Đối tượng nghiên cứu:</w:t>
      </w:r>
      <w:r w:rsidRPr="000F7C87">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48E95726" w14:textId="77777777" w:rsidR="005B561C" w:rsidRPr="000F7C87" w:rsidRDefault="00000000">
      <w:pPr>
        <w:rPr>
          <w:szCs w:val="26"/>
        </w:rPr>
      </w:pPr>
      <w:r w:rsidRPr="000F7C87">
        <w:rPr>
          <w:szCs w:val="26"/>
          <w:b/>
        </w:rPr>
        <w:t xml:space="preserve">Phạm vi nội dung:</w:t>
      </w:r>
      <w:r w:rsidRPr="000F7C87">
        <w:rPr>
          <w:szCs w:val="26"/>
        </w:rPr>
        <w:t xml:space="preserve"> tài sản trí tuệ phát sinh từ hoạt động khoa học công nghệ và đào tạo của giảng viên, người lao động và người học; không nghiên cứu tài sản trí tuệ của các đơn vị ngoài hệ thống Nhà trường.</w:t>
      </w:r>
    </w:p>
    <w:p w14:paraId="48E95726" w14:textId="77777777" w:rsidR="005B561C" w:rsidRPr="000F7C87" w:rsidRDefault="00000000">
      <w:pPr>
        <w:rPr>
          <w:szCs w:val="26"/>
        </w:rPr>
      </w:pPr>
      <w:r w:rsidRPr="000F7C87">
        <w:rPr>
          <w:szCs w:val="26"/>
          <w:b/>
        </w:rPr>
        <w:t xml:space="preserve">Phạm vi không gian và thời gian:</w:t>
      </w:r>
      <w:r w:rsidRPr="000F7C87">
        <w:rPr>
          <w:szCs w:val="26"/>
        </w:rPr>
        <w:t xml:space="preserve"> Trường Đại học Thành Đô; số liệu thực trạng giai đoạn 2021 - 2025, danh sách nhân sự năm 2026; văn bản pháp luật được đối chiếu theo bản hiện hành đến tháng 9 năm 2026; giải pháp hướng tới giai đoạn 2026 - 2030.</w:t>
      </w:r>
    </w:p>
    <w:p w14:paraId="6067EC56" w14:textId="77777777" w:rsidR="005B561C" w:rsidRPr="000F7C87" w:rsidRDefault="00000000">
      <w:pPr>
        <w:spacing w:before="280" w:after="160"/>
        <w:ind w:firstLine="0"/>
        <w:outlineLvl w:val="1"/>
        <w:rPr>
          <w:szCs w:val="26"/>
        </w:rPr>
      </w:pPr>
      <w:r w:rsidRPr="000F7C87">
        <w:rPr>
          <w:b/>
          <w:szCs w:val="26"/>
        </w:rPr>
        <w:t>5. Cách tiếp cận và phương pháp nghiên cứu</w:t>
      </w:r>
    </w:p>
    <w:p w14:paraId="48E95726" w14:textId="77777777" w:rsidR="005B561C" w:rsidRPr="000F7C87" w:rsidRDefault="00000000">
      <w:pPr>
        <w:rPr>
          <w:szCs w:val="26"/>
        </w:rPr>
      </w:pPr>
      <w:r w:rsidRPr="000F7C87">
        <w:rPr>
          <w:szCs w:val="26"/>
        </w:rPr>
        <w:t xml:space="preserve">Đề tài tiếp cận theo chu trình quản lý bốn giai đoạn tạo lập, xác lập, bảo vệ và khai thác, kết hợp với bộ tiêu chí đánh giá theo chuỗi đầu vào, quá trình, đầu ra và kết quả được xây dựng tại Chương 1.</w:t>
      </w:r>
    </w:p>
    <w:p w14:paraId="48E95726" w14:textId="77777777" w:rsidR="005B561C" w:rsidRPr="000F7C87" w:rsidRDefault="00000000">
      <w:pPr>
        <w:rPr>
          <w:szCs w:val="26"/>
        </w:rPr>
      </w:pPr>
      <w:r w:rsidRPr="000F7C87">
        <w:rPr>
          <w:szCs w:val="26"/>
        </w:rPr>
        <w:t xml:space="preserve">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Nghị định số 267/2025/NĐ-CP và các văn bản hướng dẫn. Dữ liệu định lượng gồm 582 bản ghi sản phẩm khoa học giai đoạn 2021 - 2025 từ các danh mục thống kê của Phòng Khoa học Công nghệ, hồ sơ 38 đề tài cấp cơ sở, danh mục theo dõi đơn và văn bằng của Nhà trường và danh sách 252 nhân sự năm 2026; dữ liệu cá nhân chỉ được sử dụng ở dạng tổng hợp.</w:t>
      </w:r>
    </w:p>
    <w:p w14:paraId="48E95726" w14:textId="77777777" w:rsidR="005B561C" w:rsidRPr="000F7C87" w:rsidRDefault="00000000">
      <w:pPr>
        <w:rPr>
          <w:szCs w:val="26"/>
        </w:rPr>
      </w:pPr>
      <w:r w:rsidRPr="000F7C87">
        <w:rPr>
          <w:szCs w:val="26"/>
        </w:rPr>
        <w:t xml:space="preserve">Các danh mục được làm sạch và chuẩn hóa tên đơn vị; năm của mỗi số liệu được xác định rõ theo mã số, năm phê duyệt, năm nghiệm thu, năm nộp đơn hoặc năm cấp văn bằng. Do các danh mục dùng đơn vị thống kê khác nhau và không có trường liên kết, 582 bản ghi được giữ là tổng số bản ghi, không quy đổi thành số sản phẩm độc lập. Tên tác giả bài báo được so khớp với danh sách nhân sự năm 2026 theo quy tắc giữ dấu, kèm phân tích độ nhạy với quy tắc bỏ dấu; đơn vị đếm là người, người trùng họ tên với người khác không được gán bài báo, và kết quả được coi là phân tích thăm dò vì danh sách năm 2026 không trùng với đội ngũ từng năm của kỳ đánh giá. Hồ sơ tài sản trí tuệ được phân loại theo bốn nhóm trạng thái pháp lý: đã nộp đơn, đã chấp nhận đơn hợp lệ, đã cấp văn bằng hoặc giấy chứng nhận, chưa xác minh. Sản phẩm của từng đề tài được đánh giá sơ bộ theo đối tượng quyền dự kiến; các quy định về lợi ích của tác giả được đối chiếu theo phạm vi, đối tượng hưởng, cơ sở tính và điều kiện áp dụng.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p w14:paraId="6067EC56" w14:textId="77777777" w:rsidR="005B561C" w:rsidRPr="000F7C87" w:rsidRDefault="00000000">
      <w:pPr>
        <w:spacing w:before="280" w:after="160"/>
        <w:ind w:firstLine="0"/>
        <w:outlineLvl w:val="1"/>
        <w:rPr>
          <w:szCs w:val="26"/>
        </w:rPr>
      </w:pPr>
      <w:r w:rsidRPr="000F7C87">
        <w:rPr>
          <w:b/>
          <w:szCs w:val="26"/>
        </w:rPr>
        <w:t>6. Ý nghĩa khoa học và thực tiễn</w:t>
      </w:r>
    </w:p>
    <w:p w14:paraId="48E95726" w14:textId="77777777" w:rsidR="005B561C" w:rsidRPr="000F7C87" w:rsidRDefault="00000000">
      <w:pPr>
        <w:rPr>
          <w:szCs w:val="26"/>
        </w:rPr>
      </w:pPr>
      <w:r w:rsidRPr="000F7C87">
        <w:rPr>
          <w:szCs w:val="26"/>
          <w:b/>
        </w:rPr>
        <w:t xml:space="preserve">Về khoa học:</w:t>
      </w:r>
      <w:r w:rsidRPr="000F7C87">
        <w:rPr>
          <w:szCs w:val="26"/>
        </w:rPr>
        <w:t xml:space="preserve"> Đề tài cung cấp một khung phân tích và bộ tiêu chí đánh giá hiệu quả quản lý quyền sở hữu trí tuệ có thể tính toán từ dữ liệu hành chính của trường đại học, đồng thời đề xuất giả thuyết về vai trò của bước sàng lọc trước khi công bố và rà soát tại nghiệm thu trong chuỗi chuyển hóa từ đề tài sang văn bằng, kèm cách đo để kiểm chứng.</w:t>
      </w:r>
    </w:p>
    <w:p w14:paraId="48E95726" w14:textId="77777777" w:rsidR="005B561C" w:rsidRPr="000F7C87" w:rsidRDefault="00000000">
      <w:pPr>
        <w:rPr>
          <w:szCs w:val="26"/>
        </w:rPr>
      </w:pPr>
      <w:r w:rsidRPr="000F7C87">
        <w:rPr>
          <w:szCs w:val="26"/>
          <w:b/>
        </w:rPr>
        <w:t xml:space="preserve">Về thực tiễn:</w:t>
      </w:r>
      <w:r w:rsidRPr="000F7C87">
        <w:rPr>
          <w:szCs w:val="26"/>
        </w:rPr>
        <w:t xml:space="preserve"> Đề tài cung cấp luận cứ để Nhà trường hợp nhất quy chế theo luật mới, chuẩn hóa quy trình, bố trí nguồn lực và theo dõi hiệu quả bằng bộ chỉ số; kết quả có thể tham khảo cho các cơ sở giáo dục đại học tư thục có điều kiện tương tự.</w:t>
      </w:r>
    </w:p>
    <w:p w14:paraId="6067EC56" w14:textId="77777777" w:rsidR="005B561C" w:rsidRPr="000F7C87" w:rsidRDefault="00000000">
      <w:pPr>
        <w:spacing w:before="280" w:after="160"/>
        <w:ind w:firstLine="0"/>
        <w:outlineLvl w:val="1"/>
        <w:rPr>
          <w:szCs w:val="26"/>
        </w:rPr>
      </w:pPr>
      <w:r w:rsidRPr="000F7C87">
        <w:rPr>
          <w:b/>
          <w:szCs w:val="26"/>
        </w:rPr>
        <w:t>7. Kết cấu của báo cáo</w:t>
      </w:r>
    </w:p>
    <w:p w14:paraId="48E95726" w14:textId="77777777" w:rsidR="005B561C" w:rsidRPr="000F7C87" w:rsidRDefault="00000000">
      <w:pPr>
        <w:rPr>
          <w:szCs w:val="26"/>
        </w:rPr>
      </w:pPr>
      <w:r w:rsidRPr="000F7C87">
        <w:rPr>
          <w:szCs w:val="26"/>
        </w:rPr>
        <w:t xml:space="preserve">Ngoài phần Mở đầu, Kết luận và kiến nghị, Tài liệu tham khảo, báo cáo gồm ba chương: Chương 1. Cơ sở lý luận và pháp lý về quản lý quyền sở hữu trí tuệ trong cơ sở giáo dục đại học; Chương 2. Thực trạng quản lý quyền sở hữu trí tuệ tại Trường Đại học Thành Đô; Chương 3. Hệ thống giải pháp nâng cao hiệu quả quản lý quyền sở hữu trí tuệ tại Trường Đại học Thành Đô đáp ứng khung pháp lý mới.</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1</w:t>
      </w:r>
      <w:r>
        <w:br/>
      </w:r>
      <w:r w:rsidRPr="000F7C87">
        <w:rPr>
          <w:b/>
          <w:szCs w:val="26"/>
        </w:rPr>
        <w:t>CƠ SỞ LÝ LUẬN VÀ PHÁP LÝ VỀ QUẢN LÝ QUYỀN SỞ HỮU TRÍ TUỆ</w:t>
      </w:r>
      <w:r>
        <w:br/>
      </w: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không đưa ra một định nghĩa khái quát mà xác định quyền sở hữu trí tuệ bằng cách liệt kê các nhóm quyền: Công ước Stockholm năm 1967 về thành lập Tổ chức Sở hữu trí tuệ thế giới liệt kê các quyền đối với tác phẩm văn học, nghệ thuật, khoa học, cuộc biểu diễn, bản ghi âm, chương trình phát sóng, sáng chế, phát minh khoa học, kiểu dáng công nghiệp, nhãn hiệu, tên thương mại và quyền chống cạnh tranh không lành mạnh; Hiệp định về các khía cạnh liên quan tới thương mại của quyền sở hữu trí tuệ xác định phạm vi gồm các nhóm quyền được quy định từ Mục 1 đến Mục 7 Phần II của Hiệp định. Tại Việt Nam, khoản 1 Điều 4 Luật Sở hữu trí tuệ quy định quyền sở hữu trí tuệ là quyền của tổ chức, cá nhân đối với các đối tượng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Cần phân biệt phân loại pháp lý với cách phân nhóm phục vụ quản lý. Về pháp lý, khoản 4 Điều 4 Luật Sở hữu trí tuệ xác định quyền sở hữu công nghiệp là quyền đối với sáng chế, kiểu dáng công nghiệp, thiết kế bố trí mạch tích hợp bán dẫn, nhãn hiệu, tên thương mại, chỉ dẫn địa lý, bí mật kinh doanh và quyền chống cạnh tranh không lành mạnh; như vậy nhãn hiệu và tên thương mại thuộc quyền sở hữu công nghiệp. Trên cơ sở phân loại này, để phục vụ công tác quản lý trong trường, tài sản trí tuệ có thể được chia thành ba nhóm theo nguồn hình thành và đơn vị chịu trách nhiệm; đây là cách phân nhóm quản lý, không thay thế phân loại pháp lý:</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tài sản công nghệ, thuộc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tài sản nhận diện, cũng thuộc quyền sở hữu công nghiệp: Gắn với nhãn hiệu, tên thương mại của trường, biểu trưng, khẩu hiệu và các dấu hiệu nhận diện thương hiệu gắn liền với uy tín đào tạo và nghiên cứu của nhà trường. Nhóm này được tách riêng với nhóm tài sản công nghệ vì nguồn hình thành, đơn vị quản lý và cách khai thác khác nhau.</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lãnh thổ và sự khác biệt về căn cứ xác lập, thời hạn bảo hộ:</w:t>
      </w:r>
      <w:r w:rsidRPr="000F7C87">
        <w:rPr>
          <w:szCs w:val="26"/>
        </w:rPr>
        <w:t xml:space="preserve"> Văn bằng bảo hộ do Việt Nam cấp có hiệu lực trên lãnh thổ Việt Nam theo khoản 1 Điều 93 Luật Sở hữu trí tuệ, nên muốn được bảo hộ ở nước khác phải nộp đơn tại nước đó hoặc theo điều ước quốc tế. Căn cứ xác lập quyền khác nhau giữa các đối tượng theo Điều 6: quyền tác giả phát sinh khi tác phẩm được sáng tạo và thể hiện dưới một hình thức vật chất nhất định, không phụ thuộc vào việc đăng ký; quyền đối với sáng chế, kiểu dáng công nghiệp, thiết kế bố trí, nhãn hiệu được xác lập trên cơ sở quyết định cấp văn bằng, trừ nhãn hiệu nổi tiếng được xác lập trên cơ sở sử dụng; quyền đối với tên thương mại được xác lập trên cơ sở sử dụng hợp pháp; quyền đối với bí mật kinh doanh được xác lập trên cơ sở có được một cách hợp pháp và thực hiện việc bảo mật. Thời hạn bảo hộ cũng khác nhau: theo Điều 93, bằng độc quyền sáng chế có hiệu lực đến hết 20 năm và bằng độc quyền giải pháp hữu ích đến hết 10 năm kể từ ngày nộp đơn, kiểu dáng công nghiệp 5 năm và được gia hạn hai lần, nhãn hiệu 10 năm và được gia hạn nhiều lần, chỉ dẫn địa lý vô thời hạn; bí mật kinh doanh được bảo hộ chừng nào còn đáp ứng các điều kiện tại Điều 84; theo khoản 1 Điều 27, một số quyền nhân thân của tác giả được bảo hộ vô thời hạn. Đặc điểm này đòi hỏi nhà trường chọn hình thức bảo hộ phù hợp từng đối tượng và có kế hoạch nộp đơn, khai thác kịp thời đối với các đối tượng có thời hạn ngắn.</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việc làm phát sinh hoặc xác nhận quyền sở hữu hợp pháp đối với tài sản trí tuệ theo căn cứ quy định tại Điều 6 Luật Sở hữu trí tuệ, và căn cứ này khác nhau giữa các đối tượng. Đối với sáng chế, giải pháp hữu ích, kiểu dáng công nghiệp, thiết kế bố trí và nhãn hiệu, quyền được xác lập trên cơ sở quyết định cấp văn bằng bảo hộ sau các giai đoạn thẩm định theo thủ tục đăng ký, trừ nhãn hiệu nổi tiếng. Đối với tên thương mại, quyền được xác lập trên cơ sở sử dụng hợp pháp; đối với bí mật kinh doanh, trên cơ sở có được một cách hợp pháp và thực hiện việc bảo mật, nên công việc của nhà trường là thiết lập và duy trì biện pháp bảo mật chứ không phải nộp đơn.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quyền: chủ sở hữu chuyển giao quyền sở hữu của mình cho tổ chức, cá nhân khác, theo Điều 138 Luật Sở hữu trí tuệ đối với quyền sở hữu công nghiệp và Điều 45 đối với quyền tác giả, quyền liên quan.</w:t>
      </w:r>
    </w:p>
    <w:p w14:paraId="48E95726" w14:textId="77777777" w:rsidR="005B561C" w:rsidRPr="000F7C87" w:rsidRDefault="00000000">
      <w:pPr>
        <w:rPr>
          <w:szCs w:val="26"/>
        </w:rPr>
      </w:pPr>
      <w:r w:rsidRPr="000F7C87">
        <w:rPr>
          <w:szCs w:val="26"/>
        </w:rPr>
        <w:t xml:space="preserve">2. Chuyển quyền sử dụng, thường gọi là cấp phép: chủ sở hữu cho phép tổ chức, cá nhân khác sử dụng đối tượng trong phạm vi và thời hạn nhất định, theo Điều 141 và Điều 47, dưới dạng độc quyền, không độc quyền hoặc thứ cấp theo Điều 143. Hai loại hợp đồng được phân biệt theo việc quyền sở hữu có được chuyển giao hay không; giá và phương thức thanh toán, như trả trọn gói, trả theo kỳ, trả theo tỷ lệ doanh thu hoặc kết hợp, là nội dung do các bên thỏa thuận theo Điều 140 và Điều 144, áp dụng được cho cả hai loại.</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có thể đem lại khoản thu từ hợp đồng chuyển nhượng hoặc chuyển quyền sử dụng,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14:paraId="48E95726" w14:textId="77777777" w:rsidR="005B561C" w:rsidRPr="000F7C87" w:rsidRDefault="00000000">
      <w:pPr>
        <w:rPr>
          <w:szCs w:val="26"/>
        </w:rPr>
      </w:pPr>
      <w:r w:rsidRPr="000F7C87">
        <w:rPr>
          <w:szCs w:val="26"/>
        </w:rPr>
        <w:t xml:space="preserve">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p w14:paraId="48E95726" w14:textId="77777777" w:rsidR="005B561C" w:rsidRPr="000F7C87" w:rsidRDefault="00000000">
      <w:pPr>
        <w:rPr>
          <w:szCs w:val="26"/>
        </w:rPr>
      </w:pPr>
      <w:r w:rsidRPr="000F7C87">
        <w:rPr>
          <w:szCs w:val="26"/>
        </w:rPr>
        <w:t xml:space="preserve">Nghị định số 267/2025/NĐ-CP ngày 14 tháng 10 năm 2025 của Chính phủ, có hiệu lực từ cùng ngày, quy định chi tiết Điều 25, Điều 27, Điều 28 và một số điều khác của Luật số 93/2025/QH15. Ba nhóm nội dung liên quan trực tiếp đến cơ sở giáo dục đại học tư thục. Một là, khoản 2 Điều 32 quy định tổ chức chủ trì không phải là cơ quan nhà nước, đơn vị sự nghiệp công lập được Nhà nước giao tự động quyền sở hữu phần kết quả tương ứng với kinh phí từ ngân sách nhà nước, không cần thủ tục giao quyền và bàn giao tài sản; tổ chức theo dõi riêng thông tin về kết quả, không hạch toán chung vào tài sản, và tự quyết định phương án phát triển, ứng dụng hoặc thương mại hóa theo Điều 27 của Luật; khoản 6 Điều 32 khẳng định tổ chức được giao quyền có quyền đăng ký bảo hộ. Hai là, Điều 34 yêu cầu việc phân chia lợi nhuận bảo đảm công khai, minh bạch; đối với kết quả sử dụng ngân sách nhà nước, việc phân chia thực hiện theo khoản 3 Điều 28 của Luật; tổ chức trung gian, môi giới hưởng tối thiểu 10% lợi nhuận thu được từ thương mại hóa, trừ khi các bên có thỏa thuận khác; phần thưởng cho tác giả khi có đồng tác giả được chia theo thỏa thuận giữa các đồng tác giả. Điểm g khoản 2 Điều 17 bổ sung yêu cầu hồ sơ đánh giá cuối kỳ có văn bản xác định mức độ đóng góp của thành viên, có xác nhận của các thành viên, làm căn cứ phân chia lợi nhuận. Ba là, khoản 2 Điều 56 nhắc lại nguyên tắc nhiệm vụ được phê duyệt trước ngày 01 tháng 10 năm 2025 tiếp tục thực hiện theo văn bản có hiệu lực tại thời điểm phê duyệt, còn khoản 3 Điều 56 quy định việc xử lý kết quả của các nhiệm vụ này, nếu chưa có quyết định xử lý, được thực hiện theo Nghị định; Nghị định số 70/2018/NĐ-CP về quản lý, sử dụng tài sản hình thành từ nhiệm vụ khoa học và công nghệ sử dụng vốn nhà nước hết hiệu lực. Nghị định không quy định phương pháp xác định lợi nhuận sau thuế tương ứng với một kết quả cụ thể khi kết quả được hình thành từ nhiều nguồn kinh phí; nội dung này cần được tổ chức chủ trì quy định trong quy chế nội bộ.</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p w14:paraId="48E95726" w14:textId="77777777" w:rsidR="005B561C" w:rsidRPr="000F7C87" w:rsidRDefault="00000000">
      <w:pPr>
        <w:rPr>
          <w:szCs w:val="26"/>
        </w:rPr>
      </w:pPr>
      <w:r w:rsidRPr="000F7C87">
        <w:rPr>
          <w:szCs w:val="26"/>
        </w:rPr>
        <w:t xml:space="preserve">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đề tài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rPr>
        <w:t xml:space="preserve">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2</w:t>
      </w:r>
      <w:r>
        <w:br/>
      </w:r>
      <w:r w:rsidRPr="000F7C87">
        <w:rPr>
          <w:b/>
          <w:szCs w:val="26"/>
        </w:rPr>
        <w:t>THỰC TRẠNG QUẢN LÝ QUYỀN SỞ HỮU TRÍ TUỆ</w:t>
      </w:r>
      <w:r>
        <w:br/>
      </w: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p w14:paraId="48E95726" w14:textId="77777777" w:rsidR="005B561C" w:rsidRPr="000F7C87" w:rsidRDefault="00000000">
      <w:pPr>
        <w:rPr>
          <w:szCs w:val="26"/>
        </w:rPr>
      </w:pPr>
      <w:r w:rsidRPr="000F7C87">
        <w:rPr>
          <w:szCs w:val="26"/>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p w14:paraId="48E95726" w14:textId="77777777" w:rsidR="005B561C" w:rsidRPr="000F7C87" w:rsidRDefault="00000000">
      <w:pPr>
        <w:rPr>
          <w:szCs w:val="26"/>
        </w:rPr>
      </w:pPr>
      <w:r w:rsidRPr="000F7C87">
        <w:rPr>
          <w:szCs w:val="26"/>
        </w:rPr>
        <w:t>Phân tích thăm dò dưới đây đối chiếu danh sách tác giả của hai danh mục bài báo với 252 người trong danh sách nhân sự năm 2026, gồm cả khối hành chính. Danh sách năm 2026 không gồm người đã nghỉ và có người mới tuyển, nên kết quả không phản ánh đúng đội ngũ từng năm 2021 - 2025. Đơn vị đếm là người; 12 người thuộc 6 nhóm trùng họ tên là những người khác nhau nhưng không phân biệt được trong danh mục bài báo, nên không được gán bài; trong đó 8 người có họ tên xuất hiện trong danh sách tác giả. Trong 240 người còn lại, theo quy tắc so khớp giữ dấu và đúng thứ tự họ tên, 83 người, tức 34,6%, đứng tên ít nhất một bài báo trong năm năm; hệ số Gini về số bài là 0,836, và trong nhóm có công bố, 10% người dẫn đầu chiếm 38,3% số lượt đứng tên. Nếu chấp nhận cả cách viết không dấu trong bài quốc tế, số người có bài là 99, tức 41,2%, và hệ số Gini là 0,827. Kết quả gợi ý hoạt động công bố tập trung ở một nhóm tương đối nhỏ trong số nhân sự hiện tại; muốn kết luận về quy mô lực lượng nghiên cứu cần đối chiếu theo mã nhân sự với danh sách từng năm.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2.3. Các quy định về lợi ích của tác giả và phân chia nguồn thu từ tài sản trí tuệ</w:t>
      </w:r>
    </w:p>
    <w:tbl>
      <w:tblPr>
        <w:tblStyle w:val="TableGrid"/>
        <w:tblW w:w="0" w:type="auto"/>
        <w:jc w:val="center"/>
        <w:tblLook w:val="04A0" w:firstRow="1" w:lastRow="0" w:firstColumn="1" w:lastColumn="0" w:noHBand="0" w:noVBand="1"/>
      </w:tblPr>
      <w:tblGrid>
        <w:gridCol w:w="1659"/>
        <w:gridCol w:w="1880"/>
        <w:gridCol w:w="1880"/>
        <w:gridCol w:w="1769"/>
        <w:gridCol w:w="1880"/>
      </w:tblGrid>
      <w:tr>
        <w:trPr>
          <w:tblHeader/>
          <w:cantSplit/>
        </w:trPr>
        <w:tc>
          <w:tcPr>
            <w:tcW w:w="1659" w:type="dxa"/>
            <w:shd w:val="clear" w:color="auto" w:fill="DCE8F7"/>
            <w:vAlign w:val="center"/>
          </w:tcPr>
          <w:p>
            <w:pPr>
              <w:spacing w:before="20" w:after="20" w:line="252" w:lineRule="auto"/>
              <w:ind w:firstLine="0"/>
              <w:jc w:val="center"/>
            </w:pPr>
            <w:r>
              <w:rPr>
                <w:b/>
                <w:sz w:val="24"/>
              </w:rPr>
              <w:t xml:space="preserve">Văn bản, điều khoản</w:t>
            </w:r>
          </w:p>
        </w:tc>
        <w:tc>
          <w:tcPr>
            <w:tcW w:w="1880" w:type="dxa"/>
            <w:shd w:val="clear" w:color="auto" w:fill="DCE8F7"/>
            <w:vAlign w:val="center"/>
          </w:tcPr>
          <w:p>
            <w:pPr>
              <w:spacing w:before="20" w:after="20" w:line="252" w:lineRule="auto"/>
              <w:ind w:firstLine="0"/>
              <w:jc w:val="center"/>
            </w:pPr>
            <w:r>
              <w:rPr>
                <w:b/>
                <w:sz w:val="24"/>
              </w:rPr>
              <w:t xml:space="preserve">Phạm vi, nguồn kinh phí</w:t>
            </w:r>
          </w:p>
        </w:tc>
        <w:tc>
          <w:tcPr>
            <w:tcW w:w="1880" w:type="dxa"/>
            <w:shd w:val="clear" w:color="auto" w:fill="DCE8F7"/>
            <w:vAlign w:val="center"/>
          </w:tcPr>
          <w:p>
            <w:pPr>
              <w:spacing w:before="20" w:after="20" w:line="252" w:lineRule="auto"/>
              <w:ind w:firstLine="0"/>
              <w:jc w:val="center"/>
            </w:pPr>
            <w:r>
              <w:rPr>
                <w:b/>
                <w:sz w:val="24"/>
              </w:rPr>
              <w:t xml:space="preserve">Đối tượng hưởng và tỷ lệ</w:t>
            </w:r>
          </w:p>
        </w:tc>
        <w:tc>
          <w:tcPr>
            <w:tcW w:w="1769" w:type="dxa"/>
            <w:shd w:val="clear" w:color="auto" w:fill="DCE8F7"/>
            <w:vAlign w:val="center"/>
          </w:tcPr>
          <w:p>
            <w:pPr>
              <w:spacing w:before="20" w:after="20" w:line="252" w:lineRule="auto"/>
              <w:ind w:firstLine="0"/>
              <w:jc w:val="center"/>
            </w:pPr>
            <w:r>
              <w:rPr>
                <w:b/>
                <w:sz w:val="24"/>
              </w:rPr>
              <w:t xml:space="preserve">Cơ sở tính</w:t>
            </w:r>
          </w:p>
        </w:tc>
        <w:tc>
          <w:tcPr>
            <w:tcW w:w="1880" w:type="dxa"/>
            <w:shd w:val="clear" w:color="auto" w:fill="DCE8F7"/>
            <w:vAlign w:val="center"/>
          </w:tcPr>
          <w:p>
            <w:pPr>
              <w:spacing w:before="20" w:after="20" w:line="252" w:lineRule="auto"/>
              <w:ind w:firstLine="0"/>
              <w:jc w:val="center"/>
            </w:pPr>
            <w:r>
              <w:rPr>
                <w:b/>
                <w:sz w:val="24"/>
              </w:rPr>
              <w:t xml:space="preserve">Điều kiện, mức trần</w:t>
            </w:r>
          </w:p>
        </w:tc>
      </w:tr>
      <w:tr>
        <w:trPr/>
        <w:tc>
          <w:tcPr>
            <w:tcW w:w="1659" w:type="dxa"/>
            <w:vAlign w:val="center"/>
          </w:tcPr>
          <w:p>
            <w:pPr>
              <w:spacing w:before="20" w:after="20" w:line="252" w:lineRule="auto"/>
              <w:ind w:firstLine="0"/>
              <w:jc w:val="left"/>
            </w:pPr>
            <w:r>
              <w:rPr>
                <w:sz w:val="24"/>
              </w:rPr>
              <w:t xml:space="preserve">Quyết định 213, điểm a khoản 4 Điều 36, năm 2021</w:t>
            </w:r>
          </w:p>
        </w:tc>
        <w:tc>
          <w:tcPr>
            <w:tcW w:w="1880" w:type="dxa"/>
            <w:vAlign w:val="center"/>
          </w:tcPr>
          <w:p>
            <w:pPr>
              <w:spacing w:before="20" w:after="20" w:line="252" w:lineRule="auto"/>
              <w:ind w:firstLine="0"/>
              <w:jc w:val="left"/>
            </w:pPr>
            <w:r>
              <w:rPr>
                <w:sz w:val="24"/>
              </w:rPr>
              <w:t xml:space="preserve">Sản phẩm đề tài sử dụng ngân sách nhà nước do Trường chủ trì, đã nghiệm thu, được thương mại hóa</w:t>
            </w:r>
          </w:p>
        </w:tc>
        <w:tc>
          <w:tcPr>
            <w:tcW w:w="1880"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769" w:type="dxa"/>
            <w:vAlign w:val="center"/>
          </w:tcPr>
          <w:p>
            <w:pPr>
              <w:spacing w:before="20" w:after="20" w:line="252" w:lineRule="auto"/>
              <w:ind w:firstLine="0"/>
              <w:jc w:val="left"/>
            </w:pPr>
            <w:r>
              <w:rPr>
                <w:sz w:val="24"/>
              </w:rPr>
              <w:t xml:space="preserve">Nguồn thu sau khi trừ các khoản chi phí cần thiết, hợp lệ</w:t>
            </w:r>
          </w:p>
        </w:tc>
        <w:tc>
          <w:tcPr>
            <w:tcW w:w="1880" w:type="dxa"/>
            <w:vAlign w:val="center"/>
          </w:tcPr>
          <w:p>
            <w:pPr>
              <w:spacing w:before="20" w:after="20" w:line="252" w:lineRule="auto"/>
              <w:ind w:firstLine="0"/>
              <w:jc w:val="left"/>
            </w:pPr>
            <w:r>
              <w:rPr>
                <w:sz w:val="24"/>
              </w:rPr>
              <w:t xml:space="preserve">Khen thưởng tối đa 100 triệu đồng một đề tài; phần vượt chuyển vào quỹ khen thưởng, phúc lợi</w:t>
            </w:r>
          </w:p>
        </w:tc>
      </w:tr>
      <w:tr>
        <w:trPr/>
        <w:tc>
          <w:tcPr>
            <w:tcW w:w="1659" w:type="dxa"/>
            <w:vAlign w:val="center"/>
          </w:tcPr>
          <w:p>
            <w:pPr>
              <w:spacing w:before="20" w:after="20" w:line="252" w:lineRule="auto"/>
              <w:ind w:firstLine="0"/>
              <w:jc w:val="left"/>
            </w:pPr>
            <w:r>
              <w:rPr>
                <w:sz w:val="24"/>
              </w:rPr>
              <w:t xml:space="preserve">Quyết định 213, điểm b khoản 4 Điều 36, năm 2021</w:t>
            </w:r>
          </w:p>
        </w:tc>
        <w:tc>
          <w:tcPr>
            <w:tcW w:w="1880" w:type="dxa"/>
            <w:vAlign w:val="center"/>
          </w:tcPr>
          <w:p>
            <w:pPr>
              <w:spacing w:before="20" w:after="20" w:line="252" w:lineRule="auto"/>
              <w:ind w:firstLine="0"/>
              <w:jc w:val="left"/>
            </w:pPr>
            <w:r>
              <w:rPr>
                <w:sz w:val="24"/>
              </w:rPr>
              <w:t xml:space="preserve">Tài sản trí tuệ thuộc sở hữu của Trường: sáng chế, giải pháp hữu ích, quy trình công nghệ, giải pháp kỹ thuật</w:t>
            </w:r>
          </w:p>
        </w:tc>
        <w:tc>
          <w:tcPr>
            <w:tcW w:w="1880" w:type="dxa"/>
            <w:vAlign w:val="center"/>
          </w:tcPr>
          <w:p>
            <w:pPr>
              <w:spacing w:before="20" w:after="20" w:line="252" w:lineRule="auto"/>
              <w:ind w:firstLine="0"/>
              <w:jc w:val="left"/>
            </w:pPr>
            <w:r>
              <w:rPr>
                <w:sz w:val="24"/>
              </w:rPr>
              <w:t xml:space="preserve">Tác giả 30%, ghi là theo Luật Sở hữu trí tuệ; khoa, đơn vị có tác giả 20%; Quỹ nghiên cứu khoa học 50%</w:t>
            </w:r>
          </w:p>
        </w:tc>
        <w:tc>
          <w:tcPr>
            <w:tcW w:w="1769" w:type="dxa"/>
            <w:vAlign w:val="center"/>
          </w:tcPr>
          <w:p>
            <w:pPr>
              <w:spacing w:before="20" w:after="20" w:line="252" w:lineRule="auto"/>
              <w:ind w:firstLine="0"/>
              <w:jc w:val="left"/>
            </w:pPr>
            <w:r>
              <w:rPr>
                <w:sz w:val="24"/>
              </w:rPr>
              <w:t xml:space="preserve">Kinh phí chuyển giao sau khi trừ các khoản chi phí cần thiết, hợp lệ</w:t>
            </w:r>
          </w:p>
        </w:tc>
        <w:tc>
          <w:tcPr>
            <w:tcW w:w="1880" w:type="dxa"/>
            <w:vAlign w:val="center"/>
          </w:tcPr>
          <w:p>
            <w:pPr>
              <w:spacing w:before="20" w:after="20" w:line="252" w:lineRule="auto"/>
              <w:ind w:firstLine="0"/>
              <w:jc w:val="left"/>
            </w:pPr>
            <w:r>
              <w:rPr>
                <w:sz w:val="24"/>
              </w:rPr>
              <w:t xml:space="preserve">Không đặt trần</w:t>
            </w:r>
          </w:p>
        </w:tc>
      </w:tr>
      <w:tr>
        <w:trPr/>
        <w:tc>
          <w:tcPr>
            <w:tcW w:w="1659" w:type="dxa"/>
            <w:vAlign w:val="center"/>
          </w:tcPr>
          <w:p>
            <w:pPr>
              <w:spacing w:before="20" w:after="20" w:line="252" w:lineRule="auto"/>
              <w:ind w:firstLine="0"/>
              <w:jc w:val="left"/>
            </w:pPr>
            <w:r>
              <w:rPr>
                <w:sz w:val="24"/>
              </w:rPr>
              <w:t xml:space="preserve">Quyết định 217, Điều 13, năm 2024</w:t>
            </w:r>
          </w:p>
        </w:tc>
        <w:tc>
          <w:tcPr>
            <w:tcW w:w="1880" w:type="dxa"/>
            <w:vAlign w:val="center"/>
          </w:tcPr>
          <w:p>
            <w:pPr>
              <w:spacing w:before="20" w:after="20" w:line="252" w:lineRule="auto"/>
              <w:ind w:firstLine="0"/>
              <w:jc w:val="left"/>
            </w:pPr>
            <w:r>
              <w:rPr>
                <w:sz w:val="24"/>
              </w:rPr>
              <w:t xml:space="preserve">Tài sản trí tuệ của Trường; khoản 1 dẫn theo nguồn kinh phí hoặc thỏa thuận; khoản 2 nhuận bút sách, giáo trình theo Quy chế chi tiêu nội bộ</w:t>
            </w:r>
          </w:p>
        </w:tc>
        <w:tc>
          <w:tcPr>
            <w:tcW w:w="1880" w:type="dxa"/>
            <w:vAlign w:val="center"/>
          </w:tcPr>
          <w:p>
            <w:pPr>
              <w:spacing w:before="20" w:after="20" w:line="252" w:lineRule="auto"/>
              <w:ind w:firstLine="0"/>
              <w:jc w:val="left"/>
            </w:pPr>
            <w:r>
              <w:rPr>
                <w:sz w:val="24"/>
              </w:rPr>
              <w:t xml:space="preserve">Khoản 3: Hiệu trưởng quyết định tỷ lệ sau khi có tham mưu của Phòng Khoa học Công nghệ, Pháp chế, Tài chính - Kế toán</w:t>
            </w:r>
          </w:p>
        </w:tc>
        <w:tc>
          <w:tcPr>
            <w:tcW w:w="1769" w:type="dxa"/>
            <w:vAlign w:val="center"/>
          </w:tcPr>
          <w:p>
            <w:pPr>
              <w:spacing w:before="20" w:after="20" w:line="252" w:lineRule="auto"/>
              <w:ind w:firstLine="0"/>
              <w:jc w:val="left"/>
            </w:pPr>
            <w:r>
              <w:rPr>
                <w:sz w:val="24"/>
              </w:rPr>
              <w:t xml:space="preserve">Khoản thu sau khi trừ thuế, phí, lệ phí xác lập quyền, phần trích nộp cơ quan cấp kinh phí, quỹ phát triển khoa học công nghệ</w:t>
            </w:r>
          </w:p>
        </w:tc>
        <w:tc>
          <w:tcPr>
            <w:tcW w:w="1880" w:type="dxa"/>
            <w:vAlign w:val="center"/>
          </w:tcPr>
          <w:p>
            <w:pPr>
              <w:spacing w:before="20" w:after="20" w:line="252" w:lineRule="auto"/>
              <w:ind w:firstLine="0"/>
              <w:jc w:val="left"/>
            </w:pPr>
            <w:r>
              <w:rPr>
                <w:sz w:val="24"/>
              </w:rPr>
              <w:t xml:space="preserve">Khoản 3 chỉ áp dụng khi không có thỏa thuận, Quy chế chi tiêu nội bộ hoặc pháp luật không quy định</w:t>
            </w:r>
          </w:p>
        </w:tc>
      </w:tr>
      <w:tr>
        <w:trPr/>
        <w:tc>
          <w:tcPr>
            <w:tcW w:w="1659" w:type="dxa"/>
            <w:vAlign w:val="center"/>
          </w:tcPr>
          <w:p>
            <w:pPr>
              <w:spacing w:before="20" w:after="20" w:line="252" w:lineRule="auto"/>
              <w:ind w:firstLine="0"/>
              <w:jc w:val="left"/>
            </w:pPr>
            <w:r>
              <w:rPr>
                <w:sz w:val="24"/>
              </w:rPr>
              <w:t xml:space="preserve">Quy chế chi tiêu nội bộ, Bảng 7 mục 3, năm 2026</w:t>
            </w:r>
          </w:p>
        </w:tc>
        <w:tc>
          <w:tcPr>
            <w:tcW w:w="1880" w:type="dxa"/>
            <w:vAlign w:val="center"/>
          </w:tcPr>
          <w:p>
            <w:pPr>
              <w:spacing w:before="20" w:after="20" w:line="252" w:lineRule="auto"/>
              <w:ind w:firstLine="0"/>
              <w:jc w:val="left"/>
            </w:pPr>
            <w:r>
              <w:rPr>
                <w:sz w:val="24"/>
              </w:rPr>
              <w:t xml:space="preserve">Đề tài cấp cơ sở có đăng ký sở hữu trí tuệ</w:t>
            </w:r>
          </w:p>
        </w:tc>
        <w:tc>
          <w:tcPr>
            <w:tcW w:w="1880" w:type="dxa"/>
            <w:vAlign w:val="center"/>
          </w:tcPr>
          <w:p>
            <w:pPr>
              <w:spacing w:before="20" w:after="20" w:line="252" w:lineRule="auto"/>
              <w:ind w:firstLine="0"/>
              <w:jc w:val="left"/>
            </w:pPr>
            <w:r>
              <w:rPr>
                <w:sz w:val="24"/>
              </w:rPr>
              <w:t xml:space="preserve">Trích 50% kinh phí chuyển giao công nghệ về Nhà trường, nếu có; không nêu phần của tác giả</w:t>
            </w:r>
          </w:p>
        </w:tc>
        <w:tc>
          <w:tcPr>
            <w:tcW w:w="1769" w:type="dxa"/>
            <w:vAlign w:val="center"/>
          </w:tcPr>
          <w:p>
            <w:pPr>
              <w:spacing w:before="20" w:after="20" w:line="252" w:lineRule="auto"/>
              <w:ind w:firstLine="0"/>
              <w:jc w:val="left"/>
            </w:pPr>
            <w:r>
              <w:rPr>
                <w:sz w:val="24"/>
              </w:rPr>
              <w:t xml:space="preserve">Kinh phí chuyển giao công nghệ</w:t>
            </w:r>
          </w:p>
        </w:tc>
        <w:tc>
          <w:tcPr>
            <w:tcW w:w="1880" w:type="dxa"/>
            <w:vAlign w:val="center"/>
          </w:tcPr>
          <w:p>
            <w:pPr>
              <w:spacing w:before="20" w:after="20" w:line="252" w:lineRule="auto"/>
              <w:ind w:firstLine="0"/>
              <w:jc w:val="left"/>
            </w:pPr>
            <w:r>
              <w:rPr>
                <w:sz w:val="24"/>
              </w:rPr>
              <w:t xml:space="preserve">Áp dụng từ ngày 01 tháng 8 năm 2026; kinh phí đề tài không quá 50 triệu đồng; nghiệm thu phải có chứng nhận đăng ký sở hữu trí tuệ</w:t>
            </w:r>
          </w:p>
        </w:tc>
      </w:tr>
      <w:tr>
        <w:trPr/>
        <w:tc>
          <w:tcPr>
            <w:tcW w:w="1659" w:type="dxa"/>
            <w:vAlign w:val="center"/>
          </w:tcPr>
          <w:p>
            <w:pPr>
              <w:spacing w:before="20" w:after="20" w:line="252" w:lineRule="auto"/>
              <w:ind w:firstLine="0"/>
              <w:jc w:val="left"/>
            </w:pPr>
            <w:r>
              <w:rPr>
                <w:sz w:val="24"/>
              </w:rPr>
              <w:t xml:space="preserve">Điều lệ Quỹ Học bổng sau tiến sĩ Ngô Xuân Độ, Điều 9, năm 2025</w:t>
            </w:r>
          </w:p>
        </w:tc>
        <w:tc>
          <w:tcPr>
            <w:tcW w:w="1880" w:type="dxa"/>
            <w:vAlign w:val="center"/>
          </w:tcPr>
          <w:p>
            <w:pPr>
              <w:spacing w:before="20" w:after="20" w:line="252" w:lineRule="auto"/>
              <w:ind w:firstLine="0"/>
              <w:jc w:val="left"/>
            </w:pPr>
            <w:r>
              <w:rPr>
                <w:sz w:val="24"/>
              </w:rPr>
              <w:t xml:space="preserve">Sản phẩm hình thành từ kinh phí của Quỹ</w:t>
            </w:r>
          </w:p>
        </w:tc>
        <w:tc>
          <w:tcPr>
            <w:tcW w:w="1880"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769" w:type="dxa"/>
            <w:vAlign w:val="center"/>
          </w:tcPr>
          <w:p>
            <w:pPr>
              <w:spacing w:before="20" w:after="20" w:line="252" w:lineRule="auto"/>
              <w:ind w:firstLine="0"/>
              <w:jc w:val="left"/>
            </w:pPr>
            <w:r>
              <w:rPr>
                <w:sz w:val="24"/>
              </w:rPr>
              <w:t xml:space="preserve">Chưa đối chiếu được văn bản gốc</w:t>
            </w:r>
          </w:p>
        </w:tc>
        <w:tc>
          <w:tcPr>
            <w:tcW w:w="1880" w:type="dxa"/>
            <w:vAlign w:val="center"/>
          </w:tcPr>
          <w:p>
            <w:pPr>
              <w:spacing w:before="20" w:after="20" w:line="252" w:lineRule="auto"/>
              <w:ind w:firstLine="0"/>
              <w:jc w:val="left"/>
            </w:pPr>
            <w:r>
              <w:rPr>
                <w:sz w:val="24"/>
              </w:rPr>
              <w:t xml:space="preserve">Ghi theo thông tin được cung cấp, cần bổ sung văn bản</w:t>
            </w:r>
          </w:p>
        </w:tc>
      </w:tr>
      <w:tr>
        <w:trPr/>
        <w:tc>
          <w:tcPr>
            <w:tcW w:w="1659" w:type="dxa"/>
            <w:vAlign w:val="center"/>
          </w:tcPr>
          <w:p>
            <w:pPr>
              <w:spacing w:before="20" w:after="20" w:line="252" w:lineRule="auto"/>
              <w:ind w:firstLine="0"/>
              <w:jc w:val="left"/>
            </w:pPr>
            <w:r>
              <w:rPr>
                <w:sz w:val="24"/>
              </w:rPr>
              <w:t xml:space="preserve">Luật số 93/2025/QH15, khoản 2 Điều 28</w:t>
            </w:r>
          </w:p>
        </w:tc>
        <w:tc>
          <w:tcPr>
            <w:tcW w:w="1880" w:type="dxa"/>
            <w:vAlign w:val="center"/>
          </w:tcPr>
          <w:p>
            <w:pPr>
              <w:spacing w:before="20" w:after="20" w:line="252" w:lineRule="auto"/>
              <w:ind w:firstLine="0"/>
              <w:jc w:val="left"/>
            </w:pPr>
            <w:r>
              <w:rPr>
                <w:sz w:val="24"/>
              </w:rPr>
              <w:t xml:space="preserve">Phần kết quả không sử dụng ngân sách nhà nước</w:t>
            </w:r>
          </w:p>
        </w:tc>
        <w:tc>
          <w:tcPr>
            <w:tcW w:w="1880" w:type="dxa"/>
            <w:vAlign w:val="center"/>
          </w:tcPr>
          <w:p>
            <w:pPr>
              <w:spacing w:before="20" w:after="20" w:line="252" w:lineRule="auto"/>
              <w:ind w:firstLine="0"/>
              <w:jc w:val="left"/>
            </w:pPr>
            <w:r>
              <w:rPr>
                <w:sz w:val="24"/>
              </w:rPr>
              <w:t xml:space="preserve">Chủ sở hữu tự quyết định, kể cả thưởng cho tác giả</w:t>
            </w:r>
          </w:p>
        </w:tc>
        <w:tc>
          <w:tcPr>
            <w:tcW w:w="1769" w:type="dxa"/>
            <w:vAlign w:val="center"/>
          </w:tcPr>
          <w:p>
            <w:pPr>
              <w:spacing w:before="20" w:after="20" w:line="252" w:lineRule="auto"/>
              <w:ind w:firstLine="0"/>
              <w:jc w:val="left"/>
            </w:pPr>
            <w:r>
              <w:rPr>
                <w:sz w:val="24"/>
              </w:rPr>
              <w:t xml:space="preserve">Lợi nhuận thu được tương ứng phần kết quả</w:t>
            </w:r>
          </w:p>
        </w:tc>
        <w:tc>
          <w:tcPr>
            <w:tcW w:w="1880" w:type="dxa"/>
            <w:vAlign w:val="center"/>
          </w:tcPr>
          <w:p>
            <w:pPr>
              <w:spacing w:before="20" w:after="20" w:line="252" w:lineRule="auto"/>
              <w:ind w:firstLine="0"/>
              <w:jc w:val="left"/>
            </w:pPr>
            <w:r>
              <w:rPr>
                <w:sz w:val="24"/>
              </w:rPr>
              <w:t xml:space="preserve">Không quy định mức</w:t>
            </w:r>
          </w:p>
        </w:tc>
      </w:tr>
      <w:tr>
        <w:trPr/>
        <w:tc>
          <w:tcPr>
            <w:tcW w:w="1659" w:type="dxa"/>
            <w:vAlign w:val="center"/>
          </w:tcPr>
          <w:p>
            <w:pPr>
              <w:spacing w:before="20" w:after="20" w:line="252" w:lineRule="auto"/>
              <w:ind w:firstLine="0"/>
              <w:jc w:val="left"/>
            </w:pPr>
            <w:r>
              <w:rPr>
                <w:sz w:val="24"/>
              </w:rPr>
              <w:t xml:space="preserve">Luật số 93/2025/QH15, khoản 3, khoản 4 Điều 28</w:t>
            </w:r>
          </w:p>
        </w:tc>
        <w:tc>
          <w:tcPr>
            <w:tcW w:w="1880" w:type="dxa"/>
            <w:vAlign w:val="center"/>
          </w:tcPr>
          <w:p>
            <w:pPr>
              <w:spacing w:before="20" w:after="20" w:line="252" w:lineRule="auto"/>
              <w:ind w:firstLine="0"/>
              <w:jc w:val="left"/>
            </w:pPr>
            <w:r>
              <w:rPr>
                <w:sz w:val="24"/>
              </w:rPr>
              <w:t xml:space="preserve">Phần kết quả nhiệm vụ sử dụng ngân sách nhà nước</w:t>
            </w:r>
          </w:p>
        </w:tc>
        <w:tc>
          <w:tcPr>
            <w:tcW w:w="1880" w:type="dxa"/>
            <w:vAlign w:val="center"/>
          </w:tcPr>
          <w:p>
            <w:pPr>
              <w:spacing w:before="20" w:after="20" w:line="252" w:lineRule="auto"/>
              <w:ind w:firstLine="0"/>
              <w:jc w:val="left"/>
            </w:pPr>
            <w:r>
              <w:rPr>
                <w:sz w:val="24"/>
              </w:rPr>
              <w:t xml:space="preserve">Thưởng tác giả tối thiểu 30%; thưởng người tổ chức thương mại hóa; tái đầu tư; mục đích khác</w:t>
            </w:r>
          </w:p>
        </w:tc>
        <w:tc>
          <w:tcPr>
            <w:tcW w:w="1769" w:type="dxa"/>
            <w:vAlign w:val="center"/>
          </w:tcPr>
          <w:p>
            <w:pPr>
              <w:spacing w:before="20" w:after="20" w:line="252" w:lineRule="auto"/>
              <w:ind w:firstLine="0"/>
              <w:jc w:val="left"/>
            </w:pPr>
            <w:r>
              <w:rPr>
                <w:sz w:val="24"/>
              </w:rPr>
              <w:t xml:space="preserve">Lợi nhuận sau thuế; hoặc giá trị kết quả khi góp vốn, liên doanh, thành lập doanh nghiệp</w:t>
            </w:r>
          </w:p>
        </w:tc>
        <w:tc>
          <w:tcPr>
            <w:tcW w:w="1880" w:type="dxa"/>
            <w:vAlign w:val="center"/>
          </w:tcPr>
          <w:p>
            <w:pPr>
              <w:spacing w:before="20" w:after="20" w:line="252" w:lineRule="auto"/>
              <w:ind w:firstLine="0"/>
              <w:jc w:val="left"/>
            </w:pPr>
            <w:r>
              <w:rPr>
                <w:sz w:val="24"/>
              </w:rPr>
              <w:t xml:space="preserve">Nhiệm vụ giao từ ngày 01 tháng 10 năm 2025; nhiệm vụ giao từ ngày 01 tháng 01 năm 2023 nếu là sáng chế, kiểu dáng công nghiệp, thiết kế bố trí đã được cấp văn bằng, theo khoản 7 Điều 73</w:t>
            </w:r>
          </w:p>
        </w:tc>
      </w:tr>
      <w:tr>
        <w:trPr/>
        <w:tc>
          <w:tcPr>
            <w:tcW w:w="1659" w:type="dxa"/>
            <w:vAlign w:val="center"/>
          </w:tcPr>
          <w:p>
            <w:pPr>
              <w:spacing w:before="20" w:after="20" w:line="252" w:lineRule="auto"/>
              <w:ind w:firstLine="0"/>
              <w:jc w:val="left"/>
            </w:pPr>
            <w:r>
              <w:rPr>
                <w:sz w:val="24"/>
              </w:rPr>
              <w:t xml:space="preserve">Luật Sở hữu trí tuệ, khoản 1 Điều 135</w:t>
            </w:r>
          </w:p>
        </w:tc>
        <w:tc>
          <w:tcPr>
            <w:tcW w:w="1880" w:type="dxa"/>
            <w:vAlign w:val="center"/>
          </w:tcPr>
          <w:p>
            <w:pPr>
              <w:spacing w:before="20" w:after="20" w:line="252" w:lineRule="auto"/>
              <w:ind w:firstLine="0"/>
              <w:jc w:val="left"/>
            </w:pPr>
            <w:r>
              <w:rPr>
                <w:sz w:val="24"/>
              </w:rPr>
              <w:t xml:space="preserve">Sáng chế, kiểu dáng công nghiệp, thiết kế bố trí, không phân biệt nguồn kinh phí</w:t>
            </w:r>
          </w:p>
        </w:tc>
        <w:tc>
          <w:tcPr>
            <w:tcW w:w="1880" w:type="dxa"/>
            <w:vAlign w:val="center"/>
          </w:tcPr>
          <w:p>
            <w:pPr>
              <w:spacing w:before="20" w:after="20" w:line="252" w:lineRule="auto"/>
              <w:ind w:firstLine="0"/>
              <w:jc w:val="left"/>
            </w:pPr>
            <w:r>
              <w:rPr>
                <w:sz w:val="24"/>
              </w:rPr>
              <w:t xml:space="preserve">Thù lao cho tác giả theo thỏa thuận; mặc định 10% hoặc 15%</w:t>
            </w:r>
          </w:p>
        </w:tc>
        <w:tc>
          <w:tcPr>
            <w:tcW w:w="1769" w:type="dxa"/>
            <w:vAlign w:val="center"/>
          </w:tcPr>
          <w:p>
            <w:pPr>
              <w:spacing w:before="20" w:after="20" w:line="252" w:lineRule="auto"/>
              <w:ind w:firstLine="0"/>
              <w:jc w:val="left"/>
            </w:pPr>
            <w:r>
              <w:rPr>
                <w:sz w:val="24"/>
              </w:rPr>
              <w:t xml:space="preserve">10% lợi nhuận trước thuế khi tự sử dụng; 15% tổng số tiền nhận được mỗi lần trước thuế khi chuyển giao quyền sử dụng</w:t>
            </w:r>
          </w:p>
        </w:tc>
        <w:tc>
          <w:tcPr>
            <w:tcW w:w="1880" w:type="dxa"/>
            <w:vAlign w:val="center"/>
          </w:tcPr>
          <w:p>
            <w:pPr>
              <w:spacing w:before="20" w:after="20" w:line="252" w:lineRule="auto"/>
              <w:ind w:firstLine="0"/>
              <w:jc w:val="left"/>
            </w:pPr>
            <w:r>
              <w:rPr>
                <w:sz w:val="24"/>
              </w:rPr>
              <w:t xml:space="preserve">Mức mặc định chỉ áp dụng khi không có thỏa thuận; trả trong suốt thời hạn bảo hộ; 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14:paraId="48E95726" w14:textId="77777777" w:rsidR="005B561C" w:rsidRPr="000F7C87" w:rsidRDefault="00000000">
      <w:pPr>
        <w:rPr>
          <w:szCs w:val="26"/>
        </w:rPr>
      </w:pPr>
      <w:r w:rsidRPr="000F7C87">
        <w:rPr>
          <w:szCs w:val="26"/>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2.2. Mô phỏng phần dành cho tác giả theo điểm a và điểm b khoản 4 Điều 36 Quyết định 213 trên cùng cơ sở tính</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Mô phỏng phần dành cho tác giả theo điểm a và điểm b khoản 4 Điều 36 Quyết định 213 trên cùng cơ sở tính"/>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14:paraId="48E95726" w14:textId="77777777" w:rsidR="005B561C" w:rsidRPr="000F7C87" w:rsidRDefault="00000000">
      <w:pPr>
        <w:rPr>
          <w:szCs w:val="26"/>
        </w:rPr>
      </w:pPr>
      <w:r w:rsidRPr="000F7C87">
        <w:rPr>
          <w:szCs w:val="26"/>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tự nó chưa cho thấy xung đột giữa hai quy định mà thể hiện tác động của mức trần đối với đề tài sử dụng ngân sách nhà nước.</w:t>
      </w:r>
    </w:p>
    <w:p w14:paraId="48E95726" w14:textId="77777777" w:rsidR="005B561C" w:rsidRPr="000F7C87" w:rsidRDefault="00000000">
      <w:pPr>
        <w:rPr>
          <w:szCs w:val="26"/>
        </w:rPr>
      </w:pPr>
      <w:r w:rsidRPr="000F7C87">
        <w:rPr>
          <w:szCs w:val="26"/>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14:paraId="48E95726" w14:textId="77777777" w:rsidR="005B561C" w:rsidRPr="000F7C87" w:rsidRDefault="00000000">
      <w:pPr>
        <w:rPr>
          <w:szCs w:val="26"/>
        </w:rPr>
      </w:pPr>
      <w:r w:rsidRPr="000F7C87">
        <w:rPr>
          <w:szCs w:val="26"/>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3"/>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2.4. Ba kênh tài trợ nghiên cứu và cơ chế chi cho xác lập quyền</w:t>
      </w:r>
    </w:p>
    <w:tbl>
      <w:tblPr>
        <w:tblStyle w:val="TableGrid"/>
        <w:tblW w:w="0" w:type="auto"/>
        <w:jc w:val="center"/>
        <w:tblLook w:val="04A0" w:firstRow="1" w:lastRow="0" w:firstColumn="1" w:lastColumn="0" w:noHBand="0" w:noVBand="1"/>
      </w:tblPr>
      <w:tblGrid>
        <w:gridCol w:w="1976"/>
        <w:gridCol w:w="2674"/>
        <w:gridCol w:w="2441"/>
        <w:gridCol w:w="1976"/>
      </w:tblGrid>
      <w:tr>
        <w:trPr>
          <w:tblHeader/>
          <w:cantSplit/>
        </w:trPr>
        <w:tc>
          <w:tcPr>
            <w:tcW w:w="1976" w:type="dxa"/>
            <w:shd w:val="clear" w:color="auto" w:fill="DCE8F7"/>
            <w:vAlign w:val="center"/>
          </w:tcPr>
          <w:p>
            <w:pPr>
              <w:spacing w:before="20" w:after="20" w:line="252" w:lineRule="auto"/>
              <w:ind w:firstLine="0"/>
              <w:jc w:val="center"/>
            </w:pPr>
            <w:r>
              <w:rPr>
                <w:b/>
                <w:sz w:val="24"/>
              </w:rPr>
              <w:t xml:space="preserve">Kênh tài trợ</w:t>
            </w:r>
          </w:p>
        </w:tc>
        <w:tc>
          <w:tcPr>
            <w:tcW w:w="2674" w:type="dxa"/>
            <w:shd w:val="clear" w:color="auto" w:fill="DCE8F7"/>
            <w:vAlign w:val="center"/>
          </w:tcPr>
          <w:p>
            <w:pPr>
              <w:spacing w:before="20" w:after="20" w:line="252" w:lineRule="auto"/>
              <w:ind w:firstLine="0"/>
              <w:jc w:val="center"/>
            </w:pPr>
            <w:r>
              <w:rPr>
                <w:b/>
                <w:sz w:val="24"/>
              </w:rPr>
              <w:t xml:space="preserve">Quy mô</w:t>
            </w:r>
          </w:p>
        </w:tc>
        <w:tc>
          <w:tcPr>
            <w:tcW w:w="2441" w:type="dxa"/>
            <w:shd w:val="clear" w:color="auto" w:fill="DCE8F7"/>
            <w:vAlign w:val="center"/>
          </w:tcPr>
          <w:p>
            <w:pPr>
              <w:spacing w:before="20" w:after="20" w:line="252" w:lineRule="auto"/>
              <w:ind w:firstLine="0"/>
              <w:jc w:val="center"/>
            </w:pPr>
            <w:r>
              <w:rPr>
                <w:b/>
                <w:sz w:val="24"/>
              </w:rPr>
              <w:t xml:space="preserve">Cơ chế chi cho xác lập quyền</w:t>
            </w:r>
          </w:p>
        </w:tc>
        <w:tc>
          <w:tcPr>
            <w:tcW w:w="1976" w:type="dxa"/>
            <w:shd w:val="clear" w:color="auto" w:fill="DCE8F7"/>
            <w:vAlign w:val="center"/>
          </w:tcPr>
          <w:p>
            <w:pPr>
              <w:spacing w:before="20" w:after="20" w:line="252" w:lineRule="auto"/>
              <w:ind w:firstLine="0"/>
              <w:jc w:val="center"/>
            </w:pPr>
            <w:r>
              <w:rPr>
                <w:b/>
                <w:sz w:val="24"/>
              </w:rPr>
              <w:t xml:space="preserve">Kết quả tài sản trí tuệ trong kỳ</w:t>
            </w:r>
          </w:p>
        </w:tc>
      </w:tr>
      <w:tr>
        <w:trPr/>
        <w:tc>
          <w:tcPr>
            <w:tcW w:w="1976" w:type="dxa"/>
            <w:vAlign w:val="center"/>
          </w:tcPr>
          <w:p>
            <w:pPr>
              <w:spacing w:before="20" w:after="20" w:line="252" w:lineRule="auto"/>
              <w:ind w:firstLine="0"/>
              <w:jc w:val="left"/>
            </w:pPr>
            <w:r>
              <w:rPr>
                <w:sz w:val="24"/>
              </w:rPr>
              <w:t xml:space="preserve">Đề tài cấp cơ sở, ngân sách của Trường</w:t>
            </w:r>
          </w:p>
        </w:tc>
        <w:tc>
          <w:tcPr>
            <w:tcW w:w="2674"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2441" w:type="dxa"/>
            <w:vAlign w:val="center"/>
          </w:tcPr>
          <w:p>
            <w:pPr>
              <w:spacing w:before="20" w:after="20" w:line="252" w:lineRule="auto"/>
              <w:ind w:firstLine="0"/>
              <w:jc w:val="left"/>
            </w:pPr>
            <w:r>
              <w:rPr>
                <w:sz w:val="24"/>
              </w:rPr>
              <w:t xml:space="preserve">Điều 35 Quyết định 213 giao Phòng Khoa học Công nghệ nộp đơn, lệ phí; Điều 38 cho phép chi thuê ngoài, chi khác liên quan trực tiếp; chưa thấy dự toán riêng</w:t>
            </w:r>
          </w:p>
        </w:tc>
        <w:tc>
          <w:tcPr>
            <w:tcW w:w="1976" w:type="dxa"/>
            <w:vAlign w:val="center"/>
          </w:tcPr>
          <w:p>
            <w:pPr>
              <w:spacing w:before="20" w:after="20" w:line="252" w:lineRule="auto"/>
              <w:ind w:firstLine="0"/>
              <w:jc w:val="left"/>
            </w:pPr>
            <w:r>
              <w:rPr>
                <w:sz w:val="24"/>
              </w:rPr>
              <w:t xml:space="preserve">11 đề tài có sản phẩm tiềm năng, trong đó 9 thuộc sở hữu công nghiệp; 1 đơn sáng chế</w:t>
            </w:r>
          </w:p>
        </w:tc>
      </w:tr>
      <w:tr>
        <w:trPr/>
        <w:tc>
          <w:tcPr>
            <w:tcW w:w="1976" w:type="dxa"/>
            <w:vAlign w:val="center"/>
          </w:tcPr>
          <w:p>
            <w:pPr>
              <w:spacing w:before="20" w:after="20" w:line="252" w:lineRule="auto"/>
              <w:ind w:firstLine="0"/>
              <w:jc w:val="left"/>
            </w:pPr>
            <w:r>
              <w:rPr>
                <w:sz w:val="24"/>
              </w:rPr>
              <w:t xml:space="preserve">Quỹ Học bổng sau tiến sĩ Ngô Xuân Độ</w:t>
            </w:r>
          </w:p>
        </w:tc>
        <w:tc>
          <w:tcPr>
            <w:tcW w:w="2674"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2441" w:type="dxa"/>
            <w:vAlign w:val="center"/>
          </w:tcPr>
          <w:p>
            <w:pPr>
              <w:spacing w:before="20" w:after="20" w:line="252" w:lineRule="auto"/>
              <w:ind w:firstLine="0"/>
              <w:jc w:val="left"/>
            </w:pPr>
            <w:r>
              <w:rPr>
                <w:sz w:val="24"/>
              </w:rPr>
              <w:t xml:space="preserve">Khoản chi phí khác tối đa bằng 50% chi trực tiếp</w:t>
            </w:r>
          </w:p>
        </w:tc>
        <w:tc>
          <w:tcPr>
            <w:tcW w:w="1976" w:type="dxa"/>
            <w:vAlign w:val="center"/>
          </w:tcPr>
          <w:p>
            <w:pPr>
              <w:spacing w:before="20" w:after="20" w:line="252" w:lineRule="auto"/>
              <w:ind w:firstLine="0"/>
              <w:jc w:val="left"/>
            </w:pPr>
            <w:r>
              <w:rPr>
                <w:sz w:val="24"/>
              </w:rPr>
              <w:t xml:space="preserve">Quỹ hoạt động từ năm 2025, chưa có kết quả</w:t>
            </w:r>
          </w:p>
        </w:tc>
      </w:tr>
      <w:tr>
        <w:trPr/>
        <w:tc>
          <w:tcPr>
            <w:tcW w:w="1976"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674" w:type="dxa"/>
            <w:vAlign w:val="center"/>
          </w:tcPr>
          <w:p>
            <w:pPr>
              <w:spacing w:before="20" w:after="20" w:line="252" w:lineRule="auto"/>
              <w:ind w:firstLine="0"/>
              <w:jc w:val="left"/>
            </w:pPr>
            <w:r>
              <w:rPr>
                <w:sz w:val="24"/>
              </w:rPr>
              <w:t xml:space="preserve">3 đề tài, tổng 4,67 tỷ đồng, phê duyệt năm 2024 và 2025</w:t>
            </w:r>
          </w:p>
        </w:tc>
        <w:tc>
          <w:tcPr>
            <w:tcW w:w="2441" w:type="dxa"/>
            <w:vAlign w:val="center"/>
          </w:tcPr>
          <w:p>
            <w:pPr>
              <w:spacing w:before="20" w:after="20" w:line="252" w:lineRule="auto"/>
              <w:ind w:firstLine="0"/>
              <w:jc w:val="left"/>
            </w:pPr>
            <w:r>
              <w:rPr>
                <w:sz w:val="24"/>
              </w:rPr>
              <w:t xml:space="preserve">Theo quy định của cơ quan tài trợ</w:t>
            </w:r>
          </w:p>
        </w:tc>
        <w:tc>
          <w:tcPr>
            <w:tcW w:w="1976"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p w14:paraId="48E95726" w14:textId="77777777" w:rsidR="005B561C" w:rsidRPr="000F7C87" w:rsidRDefault="00000000">
      <w:pPr>
        <w:rPr>
          <w:szCs w:val="26"/>
        </w:rPr>
      </w:pPr>
      <w:r w:rsidRPr="000F7C87">
        <w:rPr>
          <w:szCs w:val="26"/>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p w14:paraId="48E95726" w14:textId="77777777" w:rsidR="005B561C" w:rsidRPr="000F7C87" w:rsidRDefault="00000000">
      <w:pPr>
        <w:rPr>
          <w:szCs w:val="26"/>
        </w:rPr>
      </w:pPr>
      <w:r w:rsidRPr="000F7C87">
        <w:rPr>
          <w:szCs w:val="26"/>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11"/>
        <w:gridCol w:w="2093"/>
        <w:gridCol w:w="1511"/>
        <w:gridCol w:w="2093"/>
        <w:gridCol w:w="1860"/>
      </w:tblGrid>
      <w:tr>
        <w:trPr>
          <w:tblHeader/>
          <w:cantSplit/>
        </w:trPr>
        <w:tc>
          <w:tcPr>
            <w:tcW w:w="1511" w:type="dxa"/>
            <w:shd w:val="clear" w:color="auto" w:fill="DCE8F7"/>
            <w:vAlign w:val="center"/>
          </w:tcPr>
          <w:p>
            <w:pPr>
              <w:spacing w:before="20" w:after="20" w:line="252" w:lineRule="auto"/>
              <w:ind w:firstLine="0"/>
              <w:jc w:val="center"/>
            </w:pPr>
            <w:r>
              <w:rPr>
                <w:b/>
                <w:sz w:val="24"/>
              </w:rPr>
              <w:t xml:space="preserve">Nhóm quyền</w:t>
            </w:r>
          </w:p>
        </w:tc>
        <w:tc>
          <w:tcPr>
            <w:tcW w:w="2093" w:type="dxa"/>
            <w:shd w:val="clear" w:color="auto" w:fill="DCE8F7"/>
            <w:vAlign w:val="center"/>
          </w:tcPr>
          <w:p>
            <w:pPr>
              <w:spacing w:before="20" w:after="20" w:line="252" w:lineRule="auto"/>
              <w:ind w:firstLine="0"/>
              <w:jc w:val="center"/>
            </w:pPr>
            <w:r>
              <w:rPr>
                <w:b/>
                <w:sz w:val="24"/>
              </w:rPr>
              <w:t xml:space="preserve">Đối tượng</w:t>
            </w:r>
          </w:p>
        </w:tc>
        <w:tc>
          <w:tcPr>
            <w:tcW w:w="1511" w:type="dxa"/>
            <w:shd w:val="clear" w:color="auto" w:fill="DCE8F7"/>
            <w:vAlign w:val="center"/>
          </w:tcPr>
          <w:p>
            <w:pPr>
              <w:spacing w:before="20" w:after="20" w:line="252" w:lineRule="auto"/>
              <w:ind w:firstLine="0"/>
              <w:jc w:val="center"/>
            </w:pPr>
            <w:r>
              <w:rPr>
                <w:b/>
                <w:sz w:val="24"/>
              </w:rPr>
              <w:t xml:space="preserve">Quy chế có liệt kê</w:t>
            </w:r>
          </w:p>
        </w:tc>
        <w:tc>
          <w:tcPr>
            <w:tcW w:w="2093" w:type="dxa"/>
            <w:shd w:val="clear" w:color="auto" w:fill="DCE8F7"/>
            <w:vAlign w:val="center"/>
          </w:tcPr>
          <w:p>
            <w:pPr>
              <w:spacing w:before="20" w:after="20" w:line="252" w:lineRule="auto"/>
              <w:ind w:firstLine="0"/>
              <w:jc w:val="center"/>
            </w:pPr>
            <w:r>
              <w:rPr>
                <w:b/>
                <w:sz w:val="24"/>
              </w:rPr>
              <w:t xml:space="preserve">Thực tế phát sinh</w:t>
            </w:r>
          </w:p>
        </w:tc>
        <w:tc>
          <w:tcPr>
            <w:tcW w:w="1860" w:type="dxa"/>
            <w:shd w:val="clear" w:color="auto" w:fill="DCE8F7"/>
            <w:vAlign w:val="center"/>
          </w:tcPr>
          <w:p>
            <w:pPr>
              <w:spacing w:before="20" w:after="20" w:line="252" w:lineRule="auto"/>
              <w:ind w:firstLine="0"/>
              <w:jc w:val="center"/>
            </w:pPr>
            <w:r>
              <w:rPr>
                <w:b/>
                <w:sz w:val="24"/>
              </w:rPr>
              <w:t xml:space="preserve">Tình trạng xác lập,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Bài báo, sách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405 bài báo, 12 sách</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Giáo trình, tài liệu giảng dạy</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87 tài liệu</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Chương trình đào tạo, ngân hàng đề thi, phần mềm</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Chưa thống kê</w:t>
            </w:r>
          </w:p>
        </w:tc>
        <w:tc>
          <w:tcPr>
            <w:tcW w:w="1860" w:type="dxa"/>
            <w:vAlign w:val="center"/>
          </w:tcPr>
          <w:p>
            <w:pPr>
              <w:spacing w:before="20" w:after="20" w:line="252" w:lineRule="auto"/>
              <w:ind w:firstLine="0"/>
              <w:jc w:val="left"/>
            </w:pPr>
            <w:r>
              <w:rPr>
                <w:sz w:val="24"/>
              </w:rPr>
              <w:t xml:space="preserve">Chưa thống kê</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Sưu tập dữ liệu</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Bộ mẫu cây thuốc, bộ tiêu bản</w:t>
            </w:r>
          </w:p>
        </w:tc>
        <w:tc>
          <w:tcPr>
            <w:tcW w:w="1860" w:type="dxa"/>
            <w:vAlign w:val="center"/>
          </w:tcPr>
          <w:p>
            <w:pPr>
              <w:spacing w:before="20" w:after="20" w:line="252" w:lineRule="auto"/>
              <w:ind w:firstLine="0"/>
              <w:jc w:val="left"/>
            </w:pPr>
            <w:r>
              <w:rPr>
                <w:sz w:val="24"/>
              </w:rPr>
              <w:t xml:space="preserve">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Logo, bộ nhận diện</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giấy chứng nhận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Sáng chế</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1 đơn năm 2025; 1 đơn năm 2026</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Giải pháp hữu ích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Công thức, quy trình từ đề tài</w:t>
            </w:r>
          </w:p>
        </w:tc>
        <w:tc>
          <w:tcPr>
            <w:tcW w:w="1860" w:type="dxa"/>
            <w:vAlign w:val="center"/>
          </w:tcPr>
          <w:p>
            <w:pPr>
              <w:spacing w:before="20" w:after="20" w:line="252" w:lineRule="auto"/>
              <w:ind w:firstLine="0"/>
              <w:jc w:val="left"/>
            </w:pPr>
            <w:r>
              <w:rPr>
                <w:sz w:val="24"/>
              </w:rPr>
              <w:t xml:space="preserve">Chưa có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Kiểu dáng công nghiệp</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5 hồ sơ có số hiệu văn bằng, trạng thái chưa xác minh</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Nhãn hiệu</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văn bằng, 1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Bí mật kinh doanh</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Công thức chưa công bố</w:t>
            </w:r>
          </w:p>
        </w:tc>
        <w:tc>
          <w:tcPr>
            <w:tcW w:w="1860"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 và đang xử lý</w:t>
      </w:r>
    </w:p>
    <w:p w14:paraId="48E95726" w14:textId="77777777" w:rsidR="005B561C" w:rsidRPr="000F7C87" w:rsidRDefault="00000000">
      <w:pPr>
        <w:rPr>
          <w:szCs w:val="26"/>
        </w:rPr>
      </w:pPr>
      <w:r w:rsidRPr="000F7C87">
        <w:rPr>
          <w:szCs w:val="26"/>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2.6. Hồ sơ tài sản trí tuệ thuộc sở hữu hoặc đồng sở hữu của Trường Đại học Thành Đô</w:t>
      </w:r>
    </w:p>
    <w:tbl>
      <w:tblPr>
        <w:tblStyle w:val="TableGrid"/>
        <w:tblW w:w="0" w:type="auto"/>
        <w:jc w:val="center"/>
        <w:tblLook w:val="04A0" w:firstRow="1" w:lastRow="0" w:firstColumn="1" w:lastColumn="0" w:noHBand="0" w:noVBand="1"/>
      </w:tblPr>
      <w:tblGrid>
        <w:gridCol w:w="507"/>
        <w:gridCol w:w="1239"/>
        <w:gridCol w:w="2253"/>
        <w:gridCol w:w="1915"/>
        <w:gridCol w:w="676"/>
        <w:gridCol w:w="1352"/>
        <w:gridCol w:w="1126"/>
      </w:tblGrid>
      <w:tr>
        <w:trPr>
          <w:tblHeader/>
          <w:cantSplit/>
        </w:trPr>
        <w:tc>
          <w:tcPr>
            <w:tcW w:w="507" w:type="dxa"/>
            <w:shd w:val="clear" w:color="auto" w:fill="DCE8F7"/>
            <w:vAlign w:val="center"/>
          </w:tcPr>
          <w:p>
            <w:pPr>
              <w:spacing w:before="20" w:after="20" w:line="252" w:lineRule="auto"/>
              <w:ind w:firstLine="0"/>
              <w:jc w:val="center"/>
            </w:pPr>
            <w:r>
              <w:rPr>
                <w:b/>
                <w:sz w:val="24"/>
              </w:rPr>
              <w:t xml:space="preserve">TT</w:t>
            </w:r>
          </w:p>
        </w:tc>
        <w:tc>
          <w:tcPr>
            <w:tcW w:w="1239" w:type="dxa"/>
            <w:shd w:val="clear" w:color="auto" w:fill="DCE8F7"/>
            <w:vAlign w:val="center"/>
          </w:tcPr>
          <w:p>
            <w:pPr>
              <w:spacing w:before="20" w:after="20" w:line="252" w:lineRule="auto"/>
              <w:ind w:firstLine="0"/>
              <w:jc w:val="center"/>
            </w:pPr>
            <w:r>
              <w:rPr>
                <w:b/>
                <w:sz w:val="24"/>
              </w:rPr>
              <w:t xml:space="preserve">Loại hình</w:t>
            </w:r>
          </w:p>
        </w:tc>
        <w:tc>
          <w:tcPr>
            <w:tcW w:w="2253" w:type="dxa"/>
            <w:shd w:val="clear" w:color="auto" w:fill="DCE8F7"/>
            <w:vAlign w:val="center"/>
          </w:tcPr>
          <w:p>
            <w:pPr>
              <w:spacing w:before="20" w:after="20" w:line="252" w:lineRule="auto"/>
              <w:ind w:firstLine="0"/>
              <w:jc w:val="center"/>
            </w:pPr>
            <w:r>
              <w:rPr>
                <w:b/>
                <w:sz w:val="24"/>
              </w:rPr>
              <w:t xml:space="preserve">Tên tài sản</w:t>
            </w:r>
          </w:p>
        </w:tc>
        <w:tc>
          <w:tcPr>
            <w:tcW w:w="1915" w:type="dxa"/>
            <w:shd w:val="clear" w:color="auto" w:fill="DCE8F7"/>
            <w:vAlign w:val="center"/>
          </w:tcPr>
          <w:p>
            <w:pPr>
              <w:spacing w:before="20" w:after="20" w:line="252" w:lineRule="auto"/>
              <w:ind w:firstLine="0"/>
              <w:jc w:val="center"/>
            </w:pPr>
            <w:r>
              <w:rPr>
                <w:b/>
                <w:sz w:val="24"/>
              </w:rPr>
              <w:t xml:space="preserve">Số đơn, số hiệu</w:t>
            </w:r>
          </w:p>
        </w:tc>
        <w:tc>
          <w:tcPr>
            <w:tcW w:w="676" w:type="dxa"/>
            <w:shd w:val="clear" w:color="auto" w:fill="DCE8F7"/>
            <w:vAlign w:val="center"/>
          </w:tcPr>
          <w:p>
            <w:pPr>
              <w:spacing w:before="20" w:after="20" w:line="252" w:lineRule="auto"/>
              <w:ind w:firstLine="0"/>
              <w:jc w:val="center"/>
            </w:pPr>
            <w:r>
              <w:rPr>
                <w:b/>
                <w:sz w:val="24"/>
              </w:rPr>
              <w:t xml:space="preserve">Năm</w:t>
            </w:r>
          </w:p>
        </w:tc>
        <w:tc>
          <w:tcPr>
            <w:tcW w:w="1352" w:type="dxa"/>
            <w:shd w:val="clear" w:color="auto" w:fill="DCE8F7"/>
            <w:vAlign w:val="center"/>
          </w:tcPr>
          <w:p>
            <w:pPr>
              <w:spacing w:before="20" w:after="20" w:line="252" w:lineRule="auto"/>
              <w:ind w:firstLine="0"/>
              <w:jc w:val="center"/>
            </w:pPr>
            <w:r>
              <w:rPr>
                <w:b/>
                <w:sz w:val="24"/>
              </w:rPr>
              <w:t xml:space="preserve">Trạng thái</w:t>
            </w:r>
          </w:p>
        </w:tc>
        <w:tc>
          <w:tcPr>
            <w:tcW w:w="1126" w:type="dxa"/>
            <w:shd w:val="clear" w:color="auto" w:fill="DCE8F7"/>
            <w:vAlign w:val="center"/>
          </w:tcPr>
          <w:p>
            <w:pPr>
              <w:spacing w:before="20" w:after="20" w:line="252" w:lineRule="auto"/>
              <w:ind w:firstLine="0"/>
              <w:jc w:val="center"/>
            </w:pPr>
            <w:r>
              <w:rPr>
                <w:b/>
                <w:sz w:val="24"/>
              </w:rPr>
              <w:t xml:space="preserve">Chủ sở hữu</w:t>
            </w:r>
          </w:p>
        </w:tc>
      </w:tr>
      <w:tr>
        <w:trPr/>
        <w:tc>
          <w:tcPr>
            <w:tcW w:w="507" w:type="dxa"/>
            <w:vAlign w:val="center"/>
          </w:tcPr>
          <w:p>
            <w:pPr>
              <w:spacing w:before="20" w:after="20" w:line="252" w:lineRule="auto"/>
              <w:ind w:firstLine="0"/>
              <w:jc w:val="center"/>
            </w:pPr>
            <w:r>
              <w:rPr>
                <w:sz w:val="24"/>
              </w:rPr>
              <w:t xml:space="preserve">1</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Trường Đại học Thành Đô</w:t>
            </w:r>
          </w:p>
        </w:tc>
        <w:tc>
          <w:tcPr>
            <w:tcW w:w="1915" w:type="dxa"/>
            <w:vAlign w:val="center"/>
          </w:tcPr>
          <w:p>
            <w:pPr>
              <w:spacing w:before="20" w:after="20" w:line="252" w:lineRule="auto"/>
              <w:ind w:firstLine="0"/>
              <w:jc w:val="left"/>
            </w:pPr>
            <w:r>
              <w:rPr>
                <w:sz w:val="24"/>
              </w:rPr>
              <w:t xml:space="preserve">Giấy chứng nhận 6534/2021/QTG</w:t>
            </w:r>
          </w:p>
        </w:tc>
        <w:tc>
          <w:tcPr>
            <w:tcW w:w="676" w:type="dxa"/>
            <w:vAlign w:val="center"/>
          </w:tcPr>
          <w:p>
            <w:pPr>
              <w:spacing w:before="20" w:after="20" w:line="252" w:lineRule="auto"/>
              <w:ind w:firstLine="0"/>
              <w:jc w:val="center"/>
            </w:pPr>
            <w:r>
              <w:rPr>
                <w:sz w:val="24"/>
              </w:rPr>
              <w:t xml:space="preserve">2021</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2</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Hệ sinh thái giáo dục Trường Đại học Thành Đô</w:t>
            </w:r>
          </w:p>
        </w:tc>
        <w:tc>
          <w:tcPr>
            <w:tcW w:w="1915" w:type="dxa"/>
            <w:vAlign w:val="center"/>
          </w:tcPr>
          <w:p>
            <w:pPr>
              <w:spacing w:before="20" w:after="20" w:line="252" w:lineRule="auto"/>
              <w:ind w:firstLine="0"/>
              <w:jc w:val="left"/>
            </w:pPr>
            <w:r>
              <w:rPr>
                <w:sz w:val="24"/>
              </w:rPr>
              <w:t xml:space="preserve">Giấy chứng nhận 5790/2023/QTG</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3</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Thanh do University</w:t>
            </w:r>
          </w:p>
        </w:tc>
        <w:tc>
          <w:tcPr>
            <w:tcW w:w="1915" w:type="dxa"/>
            <w:vAlign w:val="center"/>
          </w:tcPr>
          <w:p>
            <w:pPr>
              <w:spacing w:before="20" w:after="20" w:line="252" w:lineRule="auto"/>
              <w:ind w:firstLine="0"/>
              <w:jc w:val="left"/>
            </w:pPr>
            <w:r>
              <w:rPr>
                <w:sz w:val="24"/>
              </w:rPr>
              <w:t xml:space="preserve">Đơn 4-2021-34771; văn bằng 468353</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4</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Thado Edupark</w:t>
            </w:r>
          </w:p>
        </w:tc>
        <w:tc>
          <w:tcPr>
            <w:tcW w:w="1915" w:type="dxa"/>
            <w:vAlign w:val="center"/>
          </w:tcPr>
          <w:p>
            <w:pPr>
              <w:spacing w:before="20" w:after="20" w:line="252" w:lineRule="auto"/>
              <w:ind w:firstLine="0"/>
              <w:jc w:val="left"/>
            </w:pPr>
            <w:r>
              <w:rPr>
                <w:sz w:val="24"/>
              </w:rPr>
              <w:t xml:space="preserve">Đơn 4-2023-22141; văn bằng 545780</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5</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Double2n</w:t>
            </w:r>
          </w:p>
        </w:tc>
        <w:tc>
          <w:tcPr>
            <w:tcW w:w="1915" w:type="dxa"/>
            <w:vAlign w:val="center"/>
          </w:tcPr>
          <w:p>
            <w:pPr>
              <w:spacing w:before="20" w:after="20" w:line="252" w:lineRule="auto"/>
              <w:ind w:firstLine="0"/>
              <w:jc w:val="left"/>
            </w:pPr>
            <w:r>
              <w:rPr>
                <w:sz w:val="24"/>
              </w:rPr>
              <w:t xml:space="preserve">Đơn 4-2023-42540</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6</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Dung dịch vệ sinh phụ nữ</w:t>
            </w:r>
          </w:p>
        </w:tc>
        <w:tc>
          <w:tcPr>
            <w:tcW w:w="1915" w:type="dxa"/>
            <w:vAlign w:val="center"/>
          </w:tcPr>
          <w:p>
            <w:pPr>
              <w:spacing w:before="20" w:after="20" w:line="252" w:lineRule="auto"/>
              <w:ind w:firstLine="0"/>
              <w:jc w:val="left"/>
            </w:pPr>
            <w:r>
              <w:rPr>
                <w:sz w:val="24"/>
              </w:rPr>
              <w:t xml:space="preserve">Đơn 3-2023-02841; số hiệu 3-0039693-000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7</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Tinh dầu vỏ bưởi đào</w:t>
            </w:r>
          </w:p>
        </w:tc>
        <w:tc>
          <w:tcPr>
            <w:tcW w:w="1915" w:type="dxa"/>
            <w:vAlign w:val="center"/>
          </w:tcPr>
          <w:p>
            <w:pPr>
              <w:spacing w:before="20" w:after="20" w:line="252" w:lineRule="auto"/>
              <w:ind w:firstLine="0"/>
              <w:jc w:val="left"/>
            </w:pPr>
            <w:r>
              <w:rPr>
                <w:sz w:val="24"/>
              </w:rPr>
              <w:t xml:space="preserve">Đơn 3-2023-02842; số hiệu 3-0039694-000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8</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Xịt miệng - họng thảo dược</w:t>
            </w:r>
          </w:p>
        </w:tc>
        <w:tc>
          <w:tcPr>
            <w:tcW w:w="1915" w:type="dxa"/>
            <w:vAlign w:val="center"/>
          </w:tcPr>
          <w:p>
            <w:pPr>
              <w:spacing w:before="20" w:after="20" w:line="252" w:lineRule="auto"/>
              <w:ind w:firstLine="0"/>
              <w:jc w:val="left"/>
            </w:pPr>
            <w:r>
              <w:rPr>
                <w:sz w:val="24"/>
              </w:rPr>
              <w:t xml:space="preserve">Đơn 3-2023-02843; số hiệu 3-0039902-000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9</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Dầu gội nha đam - bưởi đào</w:t>
            </w:r>
          </w:p>
        </w:tc>
        <w:tc>
          <w:tcPr>
            <w:tcW w:w="1915" w:type="dxa"/>
            <w:vAlign w:val="center"/>
          </w:tcPr>
          <w:p>
            <w:pPr>
              <w:spacing w:before="20" w:after="20" w:line="252" w:lineRule="auto"/>
              <w:ind w:firstLine="0"/>
              <w:jc w:val="left"/>
            </w:pPr>
            <w:r>
              <w:rPr>
                <w:sz w:val="24"/>
              </w:rPr>
              <w:t xml:space="preserve">Đơn 3-2023-02844; số hiệu 3-0039695-000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10</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Kem ủ xả tóc chiết xuất từ Bưởi - Bơ - Dừa</w:t>
            </w:r>
          </w:p>
        </w:tc>
        <w:tc>
          <w:tcPr>
            <w:tcW w:w="1915" w:type="dxa"/>
            <w:vAlign w:val="center"/>
          </w:tcPr>
          <w:p>
            <w:pPr>
              <w:spacing w:before="20" w:after="20" w:line="252" w:lineRule="auto"/>
              <w:ind w:firstLine="0"/>
              <w:jc w:val="left"/>
            </w:pPr>
            <w:r>
              <w:rPr>
                <w:sz w:val="24"/>
              </w:rPr>
              <w:t xml:space="preserve">Đơn 3-2023-02845; số hiệu 3-0039696-000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11</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Hợp chất furofuran lignan glucoside và phương pháp chiết từ lá cây quế hoa</w:t>
            </w:r>
          </w:p>
        </w:tc>
        <w:tc>
          <w:tcPr>
            <w:tcW w:w="1915" w:type="dxa"/>
            <w:vAlign w:val="center"/>
          </w:tcPr>
          <w:p>
            <w:pPr>
              <w:spacing w:before="20" w:after="20" w:line="252" w:lineRule="auto"/>
              <w:ind w:firstLine="0"/>
              <w:jc w:val="left"/>
            </w:pPr>
            <w:r>
              <w:rPr>
                <w:sz w:val="24"/>
              </w:rPr>
              <w:t xml:space="preserve">Đơn 1-2025-07378</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12</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Phương pháp chiết tách và phân lập hợp chất Isoembigenin từ cây Piper aduncum L</w:t>
            </w:r>
          </w:p>
        </w:tc>
        <w:tc>
          <w:tcPr>
            <w:tcW w:w="1915" w:type="dxa"/>
            <w:vAlign w:val="center"/>
          </w:tcPr>
          <w:p>
            <w:pPr>
              <w:spacing w:before="20" w:after="20" w:line="252" w:lineRule="auto"/>
              <w:ind w:firstLine="0"/>
              <w:jc w:val="left"/>
            </w:pPr>
            <w:r>
              <w:rPr>
                <w:sz w:val="24"/>
              </w:rPr>
              <w:t xml:space="preserve">Đơn 1-2026-07185</w:t>
            </w:r>
          </w:p>
        </w:tc>
        <w:tc>
          <w:tcPr>
            <w:tcW w:w="676" w:type="dxa"/>
            <w:vAlign w:val="center"/>
          </w:tcPr>
          <w:p>
            <w:pPr>
              <w:spacing w:before="20" w:after="20" w:line="252" w:lineRule="auto"/>
              <w:ind w:firstLine="0"/>
              <w:jc w:val="center"/>
            </w:pPr>
            <w:r>
              <w:rPr>
                <w:sz w:val="24"/>
              </w:rPr>
              <w:t xml:space="preserve">2026</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bl>
    <w:p w14:paraId="645FDCAF" w14:textId="77777777" w:rsidR="005B561C" w:rsidRPr="000F7C87" w:rsidRDefault="00000000">
      <w:pPr>
        <w:spacing w:after="160"/>
        <w:ind w:firstLine="0"/>
        <w:rPr>
          <w:szCs w:val="26"/>
        </w:rPr>
      </w:pPr>
      <w:r w:rsidRPr="000F7C87">
        <w:rPr>
          <w:i/>
          <w:szCs w:val="26"/>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2.7. Hồ sơ tài sản trí tuệ của Nhà trường trong kỳ 2021 - 2025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015999"/>
            <wp:effectExtent l="0" t="0" r="0" b="0"/>
            <wp:docPr id="506" name="Biểu đồ 506" descr="Hình 2.7. Hồ sơ tài sản trí tuệ của Nhà trường trong kỳ 2021 - 2025 theo loại hình và tình trạng pháp lý"/>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p w14:paraId="48E95726" w14:textId="77777777" w:rsidR="005B561C" w:rsidRPr="000F7C87" w:rsidRDefault="00000000">
      <w:pPr>
        <w:rPr>
          <w:szCs w:val="26"/>
        </w:rPr>
      </w:pPr>
      <w:r w:rsidRPr="000F7C87">
        <w:rPr>
          <w:szCs w:val="26"/>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p w14:paraId="48E95726" w14:textId="77777777" w:rsidR="005B561C" w:rsidRPr="000F7C87" w:rsidRDefault="00000000">
      <w:pPr>
        <w:rPr>
          <w:szCs w:val="26"/>
        </w:rPr>
      </w:pPr>
      <w:r w:rsidRPr="000F7C87">
        <w:rPr>
          <w:szCs w:val="26"/>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có tiềm năng tạo lập tài sản trí tuệ</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2.7. Đề tài cấp cơ sở có sản phẩm tiềm năng tạo lập tài sản trí tuệ, giai đoạn 2021 - 2025</w:t>
      </w:r>
    </w:p>
    <w:tbl>
      <w:tblPr>
        <w:tblStyle w:val="TableGrid"/>
        <w:tblW w:w="0" w:type="auto"/>
        <w:jc w:val="center"/>
        <w:tblLook w:val="04A0" w:firstRow="1" w:lastRow="0" w:firstColumn="1" w:lastColumn="0" w:noHBand="0" w:noVBand="1"/>
      </w:tblPr>
      <w:tblGrid>
        <w:gridCol w:w="808"/>
        <w:gridCol w:w="1617"/>
        <w:gridCol w:w="2657"/>
        <w:gridCol w:w="1848"/>
        <w:gridCol w:w="1039"/>
        <w:gridCol w:w="1097"/>
      </w:tblGrid>
      <w:tr>
        <w:trPr>
          <w:tblHeader/>
          <w:cantSplit/>
        </w:trPr>
        <w:tc>
          <w:tcPr>
            <w:tcW w:w="808" w:type="dxa"/>
            <w:shd w:val="clear" w:color="auto" w:fill="DCE8F7"/>
            <w:vAlign w:val="center"/>
          </w:tcPr>
          <w:p>
            <w:pPr>
              <w:spacing w:before="20" w:after="20" w:line="252" w:lineRule="auto"/>
              <w:ind w:firstLine="0"/>
              <w:jc w:val="center"/>
            </w:pPr>
            <w:r>
              <w:rPr>
                <w:b/>
                <w:sz w:val="24"/>
              </w:rPr>
              <w:t xml:space="preserve">Mã số</w:t>
            </w:r>
          </w:p>
        </w:tc>
        <w:tc>
          <w:tcPr>
            <w:tcW w:w="1617" w:type="dxa"/>
            <w:shd w:val="clear" w:color="auto" w:fill="DCE8F7"/>
            <w:vAlign w:val="center"/>
          </w:tcPr>
          <w:p>
            <w:pPr>
              <w:spacing w:before="20" w:after="20" w:line="252" w:lineRule="auto"/>
              <w:ind w:firstLine="0"/>
              <w:jc w:val="center"/>
            </w:pPr>
            <w:r>
              <w:rPr>
                <w:b/>
                <w:sz w:val="24"/>
              </w:rPr>
              <w:t xml:space="preserve">Đơn vị chủ trì</w:t>
            </w:r>
          </w:p>
        </w:tc>
        <w:tc>
          <w:tcPr>
            <w:tcW w:w="2657" w:type="dxa"/>
            <w:shd w:val="clear" w:color="auto" w:fill="DCE8F7"/>
            <w:vAlign w:val="center"/>
          </w:tcPr>
          <w:p>
            <w:pPr>
              <w:spacing w:before="20" w:after="20" w:line="252" w:lineRule="auto"/>
              <w:ind w:firstLine="0"/>
              <w:jc w:val="center"/>
            </w:pPr>
            <w:r>
              <w:rPr>
                <w:b/>
                <w:sz w:val="24"/>
              </w:rPr>
              <w:t xml:space="preserve">Sản phẩm nghiệm thu</w:t>
            </w:r>
          </w:p>
        </w:tc>
        <w:tc>
          <w:tcPr>
            <w:tcW w:w="1848" w:type="dxa"/>
            <w:shd w:val="clear" w:color="auto" w:fill="DCE8F7"/>
            <w:vAlign w:val="center"/>
          </w:tcPr>
          <w:p>
            <w:pPr>
              <w:spacing w:before="20" w:after="20" w:line="252" w:lineRule="auto"/>
              <w:ind w:firstLine="0"/>
              <w:jc w:val="center"/>
            </w:pPr>
            <w:r>
              <w:rPr>
                <w:b/>
                <w:sz w:val="24"/>
              </w:rPr>
              <w:t xml:space="preserve">Nhóm quyền dự kiến</w:t>
            </w:r>
          </w:p>
        </w:tc>
        <w:tc>
          <w:tcPr>
            <w:tcW w:w="1039" w:type="dxa"/>
            <w:shd w:val="clear" w:color="auto" w:fill="DCE8F7"/>
            <w:vAlign w:val="center"/>
          </w:tcPr>
          <w:p>
            <w:pPr>
              <w:spacing w:before="20" w:after="20" w:line="252" w:lineRule="auto"/>
              <w:ind w:firstLine="0"/>
              <w:jc w:val="center"/>
            </w:pPr>
            <w:r>
              <w:rPr>
                <w:b/>
                <w:sz w:val="24"/>
              </w:rPr>
              <w:t xml:space="preserve">Nghiệm thu</w:t>
            </w:r>
          </w:p>
        </w:tc>
        <w:tc>
          <w:tcPr>
            <w:tcW w:w="1097" w:type="dxa"/>
            <w:shd w:val="clear" w:color="auto" w:fill="DCE8F7"/>
            <w:vAlign w:val="center"/>
          </w:tcPr>
          <w:p>
            <w:pPr>
              <w:spacing w:before="20" w:after="20" w:line="252" w:lineRule="auto"/>
              <w:ind w:firstLine="0"/>
              <w:jc w:val="center"/>
            </w:pPr>
            <w:r>
              <w:rPr>
                <w:b/>
                <w:sz w:val="24"/>
              </w:rPr>
              <w:t xml:space="preserve">Tình trạng</w:t>
            </w:r>
          </w:p>
        </w:tc>
      </w:tr>
      <w:tr>
        <w:trPr/>
        <w:tc>
          <w:tcPr>
            <w:tcW w:w="808" w:type="dxa"/>
            <w:vAlign w:val="center"/>
          </w:tcPr>
          <w:p>
            <w:pPr>
              <w:spacing w:before="20" w:after="20" w:line="252" w:lineRule="auto"/>
              <w:ind w:firstLine="0"/>
              <w:jc w:val="center"/>
            </w:pPr>
            <w:r>
              <w:rPr>
                <w:sz w:val="24"/>
              </w:rPr>
              <w:t xml:space="preserve">37-2022</w:t>
            </w:r>
          </w:p>
        </w:tc>
        <w:tc>
          <w:tcPr>
            <w:tcW w:w="1617" w:type="dxa"/>
            <w:vAlign w:val="center"/>
          </w:tcPr>
          <w:p>
            <w:pPr>
              <w:spacing w:before="20" w:after="20" w:line="252" w:lineRule="auto"/>
              <w:ind w:firstLine="0"/>
              <w:jc w:val="left"/>
            </w:pPr>
            <w:r>
              <w:rPr>
                <w:sz w:val="24"/>
              </w:rPr>
              <w:t xml:space="preserve">Khoa Công nghệ kỹ thuật Ô tô</w:t>
            </w:r>
          </w:p>
        </w:tc>
        <w:tc>
          <w:tcPr>
            <w:tcW w:w="2657"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848" w:type="dxa"/>
            <w:vAlign w:val="center"/>
          </w:tcPr>
          <w:p>
            <w:pPr>
              <w:spacing w:before="20" w:after="20" w:line="252" w:lineRule="auto"/>
              <w:ind w:firstLine="0"/>
              <w:jc w:val="left"/>
            </w:pPr>
            <w:r>
              <w:rPr>
                <w:sz w:val="24"/>
              </w:rPr>
              <w:t xml:space="preserve">Kiểu dáng công nghiệp hoặc giải pháp hữu ích</w:t>
            </w:r>
          </w:p>
        </w:tc>
        <w:tc>
          <w:tcPr>
            <w:tcW w:w="1039" w:type="dxa"/>
            <w:vAlign w:val="center"/>
          </w:tcPr>
          <w:p>
            <w:pPr>
              <w:spacing w:before="20" w:after="20" w:line="252" w:lineRule="auto"/>
              <w:ind w:firstLine="0"/>
              <w:jc w:val="center"/>
            </w:pPr>
            <w:r>
              <w:rPr>
                <w:sz w:val="24"/>
              </w:rPr>
              <w:t xml:space="preserve">09/11/2022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39-2022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Sản phẩm cầm máu dạng màng</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40-2022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Bộ mẫu cây thuốc</w:t>
            </w:r>
          </w:p>
        </w:tc>
        <w:tc>
          <w:tcPr>
            <w:tcW w:w="1848" w:type="dxa"/>
            <w:vAlign w:val="center"/>
          </w:tcPr>
          <w:p>
            <w:pPr>
              <w:spacing w:before="20" w:after="20" w:line="252" w:lineRule="auto"/>
              <w:ind w:firstLine="0"/>
              <w:jc w:val="left"/>
            </w:pPr>
            <w:r>
              <w:rPr>
                <w:sz w:val="24"/>
              </w:rPr>
              <w:t xml:space="preserve">Quyền tác giả, sưu tập dữ liệu; cần đánh giá thêm</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08-2023</w:t>
            </w:r>
          </w:p>
        </w:tc>
        <w:tc>
          <w:tcPr>
            <w:tcW w:w="1617" w:type="dxa"/>
            <w:vAlign w:val="center"/>
          </w:tcPr>
          <w:p>
            <w:pPr>
              <w:spacing w:before="20" w:after="20" w:line="252" w:lineRule="auto"/>
              <w:ind w:firstLine="0"/>
              <w:jc w:val="left"/>
            </w:pPr>
            <w:r>
              <w:rPr>
                <w:sz w:val="24"/>
              </w:rPr>
              <w:t xml:space="preserve">Viện Nghiên cứu giáo dục và Chuyển giao tri thức</w:t>
            </w:r>
          </w:p>
        </w:tc>
        <w:tc>
          <w:tcPr>
            <w:tcW w:w="2657"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13/11/2023</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Xà phòng hữu cơ tảo biển kèm quy trình và công thức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100 tiêu bản hiển vi và cẩm nang phát hiện giun sán</w:t>
            </w:r>
          </w:p>
        </w:tc>
        <w:tc>
          <w:tcPr>
            <w:tcW w:w="1848" w:type="dxa"/>
            <w:vAlign w:val="center"/>
          </w:tcPr>
          <w:p>
            <w:pPr>
              <w:spacing w:before="20" w:after="20" w:line="252" w:lineRule="auto"/>
              <w:ind w:firstLine="0"/>
              <w:jc w:val="left"/>
            </w:pPr>
            <w:r>
              <w:rPr>
                <w:sz w:val="24"/>
              </w:rPr>
              <w:t xml:space="preserve">Quyền tác giả, sưu tập dữ liệu</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Rutin độ tinh khiết 90% kèm quy trình chiết xuất, tinh chế</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Thang thuốc 100 ml kèm công thức và quy trình sắc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Chiết xuất lá Quế hoa, hồ sơ ghi giai đoạn 2 là sáng chế</w:t>
            </w:r>
          </w:p>
        </w:tc>
        <w:tc>
          <w:tcPr>
            <w:tcW w:w="1848" w:type="dxa"/>
            <w:vAlign w:val="center"/>
          </w:tcPr>
          <w:p>
            <w:pPr>
              <w:spacing w:before="20" w:after="20" w:line="252" w:lineRule="auto"/>
              <w:ind w:firstLine="0"/>
              <w:jc w:val="left"/>
            </w:pPr>
            <w:r>
              <w:rPr>
                <w:sz w:val="24"/>
              </w:rPr>
              <w:t xml:space="preserve">Sáng chế</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2.8. Sản phẩm đề tài cấp cơ sở có tiềm năng tạo lập tài sản trí tuệ theo nhóm quyền dự kiến</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có tiềm năng tạo lập tài sản trí tuệ theo nhóm quyền dự kiến"/>
            <wp:cNvGraphicFramePr/>
            <a:graphic>
              <a:graphicData uri="http://schemas.openxmlformats.org/drawingml/2006/chart">
                <c:chart r:id="rId18"/>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p w14:paraId="48E95726" w14:textId="77777777" w:rsidR="005B561C" w:rsidRPr="000F7C87" w:rsidRDefault="00000000">
      <w:pPr>
        <w:rPr>
          <w:szCs w:val="26"/>
        </w:rPr>
      </w:pPr>
      <w:r w:rsidRPr="000F7C87">
        <w:rPr>
          <w:szCs w:val="26"/>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p w14:paraId="48E95726" w14:textId="77777777" w:rsidR="005B561C" w:rsidRPr="000F7C87" w:rsidRDefault="00000000">
      <w:pPr>
        <w:rPr>
          <w:szCs w:val="26"/>
        </w:rPr>
      </w:pPr>
      <w:r w:rsidRPr="000F7C87">
        <w:rPr>
          <w:szCs w:val="26"/>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p w14:paraId="48E95726" w14:textId="77777777" w:rsidR="005B561C" w:rsidRPr="000F7C87" w:rsidRDefault="00000000">
      <w:pPr>
        <w:rPr>
          <w:szCs w:val="26"/>
        </w:rPr>
      </w:pPr>
      <w:r w:rsidRPr="000F7C87">
        <w:rPr>
          <w:szCs w:val="26"/>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4464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2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p w14:paraId="48E95726" w14:textId="77777777" w:rsidR="005B561C" w:rsidRPr="000F7C87" w:rsidRDefault="00000000">
      <w:pPr>
        <w:rPr>
          <w:szCs w:val="26"/>
        </w:rPr>
      </w:pPr>
      <w:r w:rsidRPr="000F7C87">
        <w:rPr>
          <w:szCs w:val="26"/>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tương đương 1,11 bài năm 2025 trên một giảng viên nếu tính theo danh sách giảng viên năm 2026; 6 trên 9 chỉ tiêu khoa học công nghệ xác định được của Kế hoạch 07/KH-ĐHTĐ đạt hoặc vượt; ba đề tài cấp quốc gia với tổng kinh phí 4,67 tỷ đồng được phê duyệt.</w:t>
      </w:r>
    </w:p>
    <w:p w14:paraId="48E95726" w14:textId="77777777" w:rsidR="005B561C" w:rsidRPr="000F7C87" w:rsidRDefault="00000000">
      <w:pPr>
        <w:rPr>
          <w:szCs w:val="26"/>
        </w:rPr>
      </w:pPr>
      <w:r w:rsidRPr="000F7C87">
        <w:rPr>
          <w:szCs w:val="26"/>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p w14:paraId="48E95726" w14:textId="77777777" w:rsidR="005B561C" w:rsidRPr="000F7C87" w:rsidRDefault="00000000">
      <w:pPr>
        <w:rPr>
          <w:szCs w:val="26"/>
        </w:rPr>
      </w:pPr>
      <w:r w:rsidRPr="000F7C87">
        <w:rPr>
          <w:szCs w:val="26"/>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p w14:paraId="48E95726" w14:textId="77777777" w:rsidR="005B561C" w:rsidRPr="000F7C87" w:rsidRDefault="00000000">
      <w:pPr>
        <w:rPr>
          <w:szCs w:val="26"/>
        </w:rPr>
      </w:pPr>
      <w:r w:rsidRPr="000F7C87">
        <w:rPr>
          <w:szCs w:val="26"/>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giấy chứng nhận hiện có chưa ghi nhận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6 đề tài mã số 2021 - 2024 có sản phẩm tiềm năng sở hữu công nghiệp chưa có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Các nguyên nhân chủ quan dưới đây là nhận định rút ra từ hồ sơ hiện có, cần được kiểm chứng thêm bằng hồ sơ thực hiện quy chế và ý kiến của chủ nhiệm đề tài.</w:t>
      </w:r>
    </w:p>
    <w:p w14:paraId="48E95726" w14:textId="77777777" w:rsidR="005B561C" w:rsidRPr="000F7C87" w:rsidRDefault="00000000">
      <w:pPr>
        <w:rPr>
          <w:szCs w:val="26"/>
        </w:rPr>
      </w:pPr>
      <w:r w:rsidRPr="000F7C87">
        <w:rPr>
          <w:szCs w:val="26"/>
        </w:rPr>
        <w:t>Về quy trình, trong hồ sơ được tiếp cận chưa thấy biểu mẫu rà soát khả năng bảo hộ tại thời điểm nghiệm thu, và đây có thể là một yếu tố cản trở.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xác định rõ phạm vi và thứ tự áp dụng giữa các quy định về lợi ích của tác giả.</w:t>
      </w:r>
    </w:p>
    <w:p w14:paraId="48E95726" w14:textId="77777777" w:rsidR="005B561C" w:rsidRPr="000F7C87" w:rsidRDefault="00000000">
      <w:pPr>
        <w:rPr>
          <w:szCs w:val="26"/>
        </w:rPr>
      </w:pPr>
      <w:r w:rsidRPr="000F7C87">
        <w:rPr>
          <w:szCs w:val="26"/>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liên kết với danh mục đề tài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phân tích thăm dò trên danh sách nhân sự năm 2026 cho thấy hoạt động công bố tập trung ở một nhóm tương đối nhỏ; hồ sơ chưa ghi nhận chương trình bồi dưỡng chuyên sâu về nhận diện, bảo hộ tài sản trí tuệ.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2.11. Giả thuyết về chuỗi nguyên nhân dẫn đến việc sản phẩm có tiềm năng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21"/>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 Các mắt xích là giả thuyết cần được kiểm chứng.</w:t>
      </w:r>
    </w:p>
    <w:p w14:paraId="48E95726" w14:textId="77777777" w:rsidR="005B561C" w:rsidRPr="000F7C87" w:rsidRDefault="00000000">
      <w:pPr>
        <w:rPr>
          <w:szCs w:val="26"/>
        </w:rPr>
      </w:pPr>
      <w:r w:rsidRPr="000F7C87">
        <w:rPr>
          <w:szCs w:val="26"/>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p w14:paraId="48E95726" w14:textId="77777777" w:rsidR="005B561C" w:rsidRPr="000F7C87" w:rsidRDefault="00000000">
      <w:pPr>
        <w:rPr>
          <w:szCs w:val="26"/>
        </w:rPr>
      </w:pPr>
      <w:r w:rsidRPr="000F7C87">
        <w:rPr>
          <w:szCs w:val="26"/>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nêu giả thuyết rằng một số yếu tố có thể đang cản trở việc chuyển kết quả thành đơn: trong hồ sơ được tiếp cận chưa thấy biểu mẫu rà soát khả năng bảo hộ tại thời điểm nghiệm thu và chưa thấy dự toán riêng cho bước đăng ký; cách hiểu và thứ tự áp dụng các quy định về lợi ích của tác giả chưa được thống nhất; dữ liệu chưa liên thông. Hồ sơ hiện có chưa đủ để xác định yếu tố nào là nguyên nhân chính; các giả thuyết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 Nghị định số 267/2025/NĐ-CP, có hiệu lực từ ngày 14 tháng 10 năm 2025, quy định chi tiết các nội dung này: khoản 2 Điều 32 giao tự động quyền sở hữu phần kết quả tương ứng với kinh phí ngân sách nhà nước cho tổ chức chủ trì không phải là đơn vị công lập, như Nhà trường, và yêu cầu theo dõi riêng thông tin về kết quả; Điều 34 yêu cầu phân chia lợi nhuận công khai, minh bạch, quy định tổ chức trung gian, môi giới hưởng tối thiểu 10% lợi nhuận khi các bên không có thỏa thuận khác, và phần thưởng giữa các đồng tác giả được chia theo thỏa thuận của họ.</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đã quy định công bố, bảo mật, phân công đầu mối và hành vi xâm phạm quyền tác giả.</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6 trên 9 chỉ tiêu xác định được của Kế hoạch 07/KH-ĐHTĐ đạt hoặc vượt.</w:t>
            </w:r>
          </w:p>
          <w:p>
            <w:pPr>
              <w:spacing w:before="20" w:after="20" w:line="252" w:lineRule="auto"/>
              <w:ind w:firstLine="0"/>
              <w:jc w:val="left"/>
            </w:pPr>
            <w:r>
              <w:rPr>
                <w:b/>
                <w:sz w:val="24"/>
              </w:rPr>
              <w:t xml:space="preserve">3. Đã có sản phẩm tiềm năng bảo hộ:</w:t>
            </w:r>
            <w:r>
              <w:rPr>
                <w:sz w:val="24"/>
              </w:rPr>
              <w:t xml:space="preserve"> 11 trên 38 đề tài cấp cơ sở, trong đó 9 thuộc sở hữu công nghiệp và 8 có thể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có kết quả:</w:t>
            </w:r>
            <w:r>
              <w:rPr>
                <w:sz w:val="24"/>
              </w:rPr>
              <w:t xml:space="preserve"> 1 đơn sáng chế từ đề tài năm 2025 và 1 đơn năm 2026; 4 văn bằng, giấy chứng nhận đã cấp; 5 kiểu dáng công nghiệp và 1 đơn nhãn hiệu từ chiến lược hợp tác doanh nghiệp mà Ban Giám hiệu đã dày công kết nối.</w:t>
            </w:r>
          </w:p>
          <w:p>
            <w:pPr>
              <w:spacing w:before="20" w:after="20" w:line="252" w:lineRule="auto"/>
              <w:ind w:firstLine="0"/>
              <w:jc w:val="left"/>
            </w:pPr>
            <w:r>
              <w:rPr>
                <w:b/>
                <w:sz w:val="24"/>
              </w:rPr>
              <w:t xml:space="preserve">5. Quy chế và biểu mẫu đã có nền tảng:</w:t>
            </w:r>
            <w:r>
              <w:rPr>
                <w:sz w:val="24"/>
              </w:rPr>
              <w:t xml:space="preserve">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9 đề tài có sản phẩm tiềm năng sở hữu công nghiệp có đơn; 6 đề tài mã số 2021 - 2024 có sản phẩm tiềm năng sở hữu công nghiệp chưa có đơn.</w:t>
            </w:r>
          </w:p>
          <w:p>
            <w:pPr>
              <w:spacing w:before="20" w:after="20" w:line="252" w:lineRule="auto"/>
              <w:ind w:firstLine="0"/>
              <w:jc w:val="left"/>
            </w:pPr>
            <w:r>
              <w:rPr>
                <w:b/>
                <w:sz w:val="24"/>
              </w:rPr>
              <w:t xml:space="preserve">2. Quy định chưa làm rõ phạm vi áp dụng sau thay đổi pháp luật:</w:t>
            </w:r>
            <w:r>
              <w:rPr>
                <w:sz w:val="24"/>
              </w:rPr>
              <w:t xml:space="preserve">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Kinh phí cho bước đăng ký chưa được dự toán riêng:</w:t>
            </w:r>
            <w:r>
              <w:rPr>
                <w:sz w:val="24"/>
              </w:rPr>
              <w:t xml:space="preserve"> quy chế có căn cứ chi nhưng chưa thấy dự toán, cách tạm ứng và người đề xuất chi; theo Quy chế chi tiêu nội bộ năm 2026, văn bằng chưa có tiền thưởng và chỉ được ghi nhận khi được cấp.</w:t>
            </w:r>
          </w:p>
          <w:p>
            <w:pPr>
              <w:spacing w:before="20" w:after="20" w:line="252" w:lineRule="auto"/>
              <w:ind w:firstLine="0"/>
              <w:jc w:val="left"/>
            </w:pPr>
            <w:r>
              <w:rPr>
                <w:b/>
                <w:sz w:val="24"/>
              </w:rPr>
              <w:t xml:space="preserve">5. Dữ liệu và khai thác yếu:</w:t>
            </w:r>
            <w:r>
              <w:rPr>
                <w:sz w:val="24"/>
              </w:rPr>
              <w:t xml:space="preserve"> chưa có danh mục tài sản trí tuệ trong hệ thống thống kê, trạng thái 5 kiểu dáng chưa thống nhất,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có 6 hồ sơ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nếu tính trên danh sách giảng viên năm 2026, chỉ số năm 2025 của Nhà trường ước khoảng 0,31, sát ngưỡng,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cần đối chiếu liên văn bản:</w:t>
            </w:r>
            <w:r>
              <w:rPr>
                <w:sz w:val="24"/>
              </w:rPr>
              <w:t xml:space="preserve"> nhiều luật, nghị định, thông tư mới được ban hành trong giai đoạn 2025 - 2026, trong đó Nghị định số 267/2025/NĐ-CP đã quy định chi tiết việc giao quyền, thương mại hóa và phân chia lợi nhuận; quy chế nội bộ phải được đối chiếu đồng thời với các văn bản này.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để quản lý nội bộ, có phân quyền truy cập, và trích dữ liệu được phép công bố cho báo cáo trên HEMIS, Nền tảng số quốc gia; lập dự toán phí xác lập quyền và giao đầu mối;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gợi ý điểm nghẽn nằm ở khâu nối giữa kết quả nghiên cứu và đăng ký: 9 trên 38 đề tài có sản phẩm tiềm năng sở hữu công nghiệp nhưng chỉ 1 đề tài có đơn, trong khi phân tích thăm dò trên danh sách nhân sự năm 2026 cho thấy hoạt động công bố tập trung ở một nhóm tương đối nhỏ. Điểm nghẽn này có thể liên quan đồng thời đến quy chế, quy trình, cơ chế tài chính, năng lực đầu mối và dữ liệu; mức độ tác động của từng yếu tố cần được kiểm chứng trong quá trình triển khai.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Qua đối chiếu theo từng tình huống, Đề tài chưa xác định được trường hợp các quy định này áp dụng không tương thích cho cùng một tài sản; tuy vậy, các quy định chưa làm rõ phạm vi và thứ tự áp dụng, chưa phân biệt thưởng, thù lao, nhuận bút và phần chia nguồn thu, và điểm a khoản 4 Điều 36 Quyết định 213 cần được rà soát theo Điều 28, Điều 73 Luật số 93/2025/QH15 và Điều 34 Nghị định số 267/2025/NĐ-CP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lợi ích của tác giả và phân chia nguồn thu:</w:t>
      </w:r>
      <w:r w:rsidRPr="000F7C87">
        <w:rPr>
          <w:szCs w:val="26"/>
        </w:rPr>
        <w:t xml:space="preserve">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 Quy chế cần kèm mẫu thỏa thuận phân chia phần thưởng giữa các đồng tác giả, vì theo khoản 5 Điều 28 Luật số 93/2025/QH15 và khoản 3 Điều 34 Nghị định số 267/2025/NĐ-CP, phần thưởng là mức dành chung cho các đồng tác giả và được chia theo thỏa thuận giữa họ; mẫu này dùng chung với văn bản xác định mức độ đóng góp lập tại Khâu 5 của Giải pháp 3.</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511" name="Picture 511"/>
            <wp:cNvGraphicFramePr>
              <a:graphicFrameLocks noChangeAspect="1"/>
            </wp:cNvGraphicFramePr>
            <a:graphic>
              <a:graphicData uri="http://schemas.openxmlformats.org/drawingml/2006/picture">
                <pic:pic>
                  <pic:nvPicPr>
                    <pic:cNvPr id="0" name="phoi_hop.png"/>
                    <pic:cNvPicPr/>
                  </pic:nvPicPr>
                  <pic:blipFill>
                    <a:blip r:embed="rId22"/>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9 đề tài có sản phẩm tiềm năng sở hữu công nghiệp nhưng mới 1 đề tài có đơn, ứng với hạn chế thứ nhất và thứ bảy tại Mục 2.5.2, và Đề tài nêu giả thuyết rằng việc thiếu bước sàng lọc trước khi công bố và tại nghiệm thu có thể là một yếu tố cản trở.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 Kết quả cần được bảo vệ trước khi công bố phải được quyết định đăng ký và cấp kinh phí ngay trong quá trình nghiên cứu, không chờ đến nghiệm thu.</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 Quy trình có hai luồng. Luồng sớm áp dụng cho kết quả đã được sàng lọc và đánh giá tại Khâu 2, Khâu 3 và cần nộp đơn trước khi công bố hoặc trình diễn: hồ sơ được chuyển thẳng sang Khâu 6 để quyết định đăng ký, cấp kinh phí và nộp đơn, kể cả khi đề tài đang thực hiện. Luồng thường áp dụng cho các kết quả còn lại và đi qua Khâu 5. Nghiệm thu là bước kiểm tra, cập nhật tình trạng quyền, không phải điều kiện để quyết định đăng ký. Cách làm này phù hợp Điều 35 Quyết định 213, vốn không đặt điều kiện đã nghiệm thu đối với việc tác giả nộp đơn tại Phòng Khoa học Công nghệ.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3.2. Quy trình 8 khâu quản lý tài sản trí tuệ từ khai báo đến khai thác, kèm luồng nộp đơn sớm và phân nhánh theo loại đối tượng</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464000"/>
            <wp:docPr id="512" name="Picture 512"/>
            <wp:cNvGraphicFramePr>
              <a:graphicFrameLocks noChangeAspect="1"/>
            </wp:cNvGraphicFramePr>
            <a:graphic>
              <a:graphicData uri="http://schemas.openxmlformats.org/drawingml/2006/picture">
                <pic:pic>
                  <pic:nvPicPr>
                    <pic:cNvPr id="0" name="tam_khau.png"/>
                    <pic:cNvPicPr/>
                  </pic:nvPicPr>
                  <pic:blipFill>
                    <a:blip r:embed="rId23"/>
                    <a:stretch>
                      <a:fillRect/>
                    </a:stretch>
                  </pic:blipFill>
                  <pic:spPr>
                    <a:xfrm>
                      <a:off x="0" y="0"/>
                      <a:ext cx="5580000" cy="44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2:</w:t>
      </w:r>
      <w:r w:rsidRPr="000F7C87">
        <w:rPr>
          <w:szCs w:val="26"/>
        </w:rPr>
        <w:t xml:space="preserve">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p w14:paraId="48E95726" w14:textId="77777777" w:rsidR="005B561C" w:rsidRPr="000F7C87" w:rsidRDefault="00000000">
      <w:pPr>
        <w:rPr>
          <w:szCs w:val="26"/>
        </w:rPr>
      </w:pPr>
      <w:r w:rsidRPr="000F7C87">
        <w:rPr>
          <w:szCs w:val="26"/>
          <w:b/>
        </w:rPr>
        <w:t xml:space="preserve">Khâu 4:</w:t>
      </w:r>
      <w:r w:rsidRPr="000F7C87">
        <w:rPr>
          <w:szCs w:val="26"/>
        </w:rPr>
        <w:t xml:space="preserve">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yêu cầu nộp đơn trước, Phòng chuyển hồ sơ đã có kết quả đánh giá tại Khâu 3 sang Khâu 6 theo luồng sớm, và việc công bố chỉ được thực hiện sau khi đã có ngày nộp đơn.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5:</w:t>
      </w:r>
      <w:r w:rsidRPr="000F7C87">
        <w:rPr>
          <w:szCs w:val="26"/>
        </w:rPr>
        <w:t xml:space="preserve"> Kiểm tra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tình trạng quyền của các kết quả đã đi theo luồng sớm như đã nộp đơn, đã có số đơn, đã chấp nhận đơn hợp lệ, và đề xuất hướng xử lý. Nghiệm thu không phải điều kiện để quyết định đăng ký hay cấp kinh phí: Hội đồng nghiệm thu kiểm tra việc khai báo đã đầy đủ chưa, phát hiện kết quả chưa được khai báo, xác nhận tình trạng quyền và mức độ đóng góp của các thành viên. Đối với nhiệm vụ sử dụng ngân sách nhà nước, hồ sơ đánh giá cuối kỳ có văn bản xác định mức độ đóng góp của thành viên, có xác nhận của các thành viên, để làm căn cứ phân chia lợi nhuận theo điểm g khoản 2 Điều 17 Nghị định số 267/2025/NĐ-CP; đề tài cấp cơ sở áp dụng cùng cách làm. Kết quả chưa được xử lý trong quá trình nghiên cứu và được đề xuất đăng ký được chuyển sang Khâu 6 theo luồng thường.</w:t>
      </w:r>
    </w:p>
    <w:p w14:paraId="48E95726" w14:textId="77777777" w:rsidR="005B561C" w:rsidRPr="000F7C87" w:rsidRDefault="00000000">
      <w:pPr>
        <w:rPr>
          <w:szCs w:val="26"/>
        </w:rPr>
      </w:pPr>
      <w:r w:rsidRPr="000F7C87">
        <w:rPr>
          <w:szCs w:val="26"/>
          <w:b/>
        </w:rPr>
        <w:t xml:space="preserve">Khâu 6:</w:t>
      </w:r>
      <w:r w:rsidRPr="000F7C87">
        <w:rPr>
          <w:szCs w:val="26"/>
        </w:rPr>
        <w:t xml:space="preserve"> Quyết định xác lập quyền và cấp kinh phí. Khâu này nhận hồ sơ từ hai luồng: luồng sớm, gồm kết quả đã được đánh giá khả năng bảo hộ tại Khâu 3 và cần nộp đơn trước khi công bố, trình diễn, kể cả khi đề tài đang thực hiện; luồng thường, gồm kết quả được đề xuất tại Khâu 5.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kết quả đánh giá tại Khâu 3 đối với luồng sớm, hoặc từ khi có phiếu rà soát đối với luồng thường, đến khi có quyết định không quá 15 ngày làm việc; với luồng sớm, quyết định phải được ban hành và đơn phải được nộp trước ngày công bố dự kiến.</w:t>
      </w:r>
    </w:p>
    <w:p w14:paraId="48E95726" w14:textId="77777777" w:rsidR="005B561C" w:rsidRPr="000F7C87" w:rsidRDefault="00000000">
      <w:pPr>
        <w:rPr>
          <w:szCs w:val="26"/>
        </w:rPr>
      </w:pPr>
      <w:r w:rsidRPr="000F7C87">
        <w:rPr>
          <w:szCs w:val="26"/>
          <w:b/>
        </w:rPr>
        <w:t xml:space="preserve">Khâu 7:</w:t>
      </w:r>
      <w:r w:rsidRPr="000F7C87">
        <w:rPr>
          <w:szCs w:val="26"/>
        </w:rPr>
        <w:t xml:space="preserve">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có phân quyền truy cập: hồ sơ chưa nộp đơn, bí mật kinh doanh và thông tin bị ràng buộc bởi hợp đồng chỉ người được giao xử lý mới truy cập được; danh mục theo dõi riêng kết quả hình thành từ ngân sách nhà nước theo khoản 2 Điều 32 Nghị định số 267/2025/NĐ-CP; nhân sự đầu mối theo Giải pháp 2.</w:t>
      </w:r>
    </w:p>
    <w:p w14:paraId="0DE297E1" w14:textId="77777777" w:rsidR="005B561C" w:rsidRPr="000F7C87" w:rsidRDefault="00000000">
      <w:pPr>
        <w:keepNext/>
        <w:spacing w:before="200" w:after="100"/>
        <w:ind w:firstLine="0"/>
        <w:outlineLvl w:val="2"/>
        <w:rPr>
          <w:szCs w:val="26"/>
        </w:rPr>
      </w:pPr>
      <w:r w:rsidRPr="000F7C87">
        <w:rPr>
          <w:b/>
          <w:szCs w:val="26"/>
        </w:rPr>
        <w:t xml:space="preserve">3.2.4. Giải pháp 4: Hoàn thiện cơ chế tài chính cho bước xác lập quyền và phương án tổ chức khai thác tài sản trí tuệ theo giai đoạn</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cho thấy quy chế đã có căn cứ chi cho bước xác lập quyền tại Điều 35, Điều 38 Quyết định 213 và Điều 13 Quyết định 217, nhưng chưa thấy dự toán riêng, cách tạm ứng, thanh toán khi đơn được nộp trước hoặc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được đánh giá khả năng bảo hộ tại Khâu 3 và có quyết định tại Khâu 6, trong thời gian thực hiện đề tài hoặc sau nghiệm thu, kể cả khi đề tài đã quyết toán; khoản chi cho đơn nộp trước nghiệm thu được chi từ dòng dự toán này, không trừ vào kinh phí của đề tài; quy định rõ người đề xuất chi là Phòng Khoa học Công nghệ, thời hạn đề xuất trong 15 ngày làm việc kể từ khi có kết quả đánh giá tại Khâu 3 đối với luồng sớm, hoặc từ khi có phiếu rà soát đối với luồng thường,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được đánh giá tại Khâu 3, không phân biệt đã nghiệm thu hay chưa.</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hợp đồng với tổ chức trung gian, môi giới cần thỏa thuận rõ mức hưởng, vì khi không có thỏa thuận, khoản 2 Điều 34 Nghị định số 267/2025/NĐ-CP dành cho tổ chức này tối thiểu 10% lợi nhuận thu được.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Dòng dự toán phí xác lập quyền được lập từ năm 2027 căn cứ số hồ sơ dự kiến; nguồn bổ sung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giới thiệu tài sản trí tuệ trên cổng thông tin điện tử của Nhà trường để tôn vinh tác giả và giới thiệu tài sản sẵn sàng chuyển giao; chuyên trang chỉ đăng thông tin đã được phép công bố, tách khỏi danh mục số dùng cho quản lý nội bộ tại Giải pháp 3. Dữ liệu được phép công bố được trích từ danh mục số để kết nối với Nền tảng số quốc gia theo điểm đ khoản 3 Điều 28 Luật Giáo dục đại học số 125/2025/QH15 và cung cấp cho báo cáo trên HEMIS.</w:t>
      </w:r>
    </w:p>
    <w:p w14:paraId="48E95726" w14:textId="77777777" w:rsidR="005B561C" w:rsidRPr="000F7C87" w:rsidRDefault="00000000">
      <w:pPr>
        <w:rPr>
          <w:szCs w:val="26"/>
        </w:rPr>
      </w:pPr>
      <w:r w:rsidRPr="000F7C87">
        <w:rPr>
          <w:szCs w:val="26"/>
          <w:b/>
        </w:rPr>
        <w:t xml:space="preserve">Nội dung 5:</w:t>
      </w:r>
      <w:r w:rsidRPr="000F7C87">
        <w:rPr>
          <w:szCs w:val="26"/>
        </w:rPr>
        <w:t xml:space="preserve">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0DE297E1" w14:textId="77777777" w:rsidR="005B561C" w:rsidRPr="000F7C87" w:rsidRDefault="00000000">
      <w:pPr>
        <w:keepNext/>
        <w:spacing w:before="200" w:after="100"/>
        <w:ind w:firstLine="0"/>
        <w:outlineLvl w:val="2"/>
        <w:rPr>
          <w:szCs w:val="26"/>
        </w:rPr>
      </w:pPr>
      <w:r w:rsidRPr="000F7C87">
        <w:rPr>
          <w:b/>
          <w:szCs w:val="26"/>
        </w:rPr>
        <w:t>3.2.6. Tổ chức thực hiện các giải pháp</w:t>
      </w:r>
    </w:p>
    <w:p w14:paraId="48E95726" w14:textId="77777777" w:rsidR="005B561C" w:rsidRPr="000F7C87" w:rsidRDefault="00000000">
      <w:pPr>
        <w:rPr>
          <w:szCs w:val="26"/>
        </w:rPr>
      </w:pPr>
      <w:r w:rsidRPr="000F7C87">
        <w:rPr>
          <w:szCs w:val="26"/>
        </w:rPr>
        <w:t xml:space="preserve">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3.3. Tổ chức thực hiện các giải pháp theo hạn chế được xử lý</w:t>
      </w:r>
    </w:p>
    <w:tbl>
      <w:tblPr>
        <w:tblStyle w:val="TableGrid"/>
        <w:tblW w:w="0" w:type="auto"/>
        <w:jc w:val="center"/>
        <w:tblLook w:val="04A0" w:firstRow="1" w:lastRow="0" w:firstColumn="1" w:lastColumn="0" w:noHBand="0" w:noVBand="1"/>
      </w:tblPr>
      <w:tblGrid>
        <w:gridCol w:w="1915"/>
        <w:gridCol w:w="1577"/>
        <w:gridCol w:w="1408"/>
        <w:gridCol w:w="1126"/>
        <w:gridCol w:w="1577"/>
        <w:gridCol w:w="1464"/>
      </w:tblGrid>
      <w:tr>
        <w:trPr>
          <w:tblHeader/>
          <w:cantSplit/>
        </w:trPr>
        <w:tc>
          <w:tcPr>
            <w:tcW w:w="1915" w:type="dxa"/>
            <w:shd w:val="clear" w:color="auto" w:fill="DCE8F7"/>
            <w:vAlign w:val="center"/>
          </w:tcPr>
          <w:p>
            <w:pPr>
              <w:spacing w:before="20" w:after="20" w:line="252" w:lineRule="auto"/>
              <w:ind w:firstLine="0"/>
              <w:jc w:val="center"/>
            </w:pPr>
            <w:r>
              <w:rPr>
                <w:b/>
                <w:sz w:val="24"/>
              </w:rPr>
              <w:t xml:space="preserve">Giải pháp và hạn chế được xử lý</w:t>
            </w:r>
          </w:p>
        </w:tc>
        <w:tc>
          <w:tcPr>
            <w:tcW w:w="1577" w:type="dxa"/>
            <w:shd w:val="clear" w:color="auto" w:fill="DCE8F7"/>
            <w:vAlign w:val="center"/>
          </w:tcPr>
          <w:p>
            <w:pPr>
              <w:spacing w:before="20" w:after="20" w:line="252" w:lineRule="auto"/>
              <w:ind w:firstLine="0"/>
              <w:jc w:val="center"/>
            </w:pPr>
            <w:r>
              <w:rPr>
                <w:b/>
                <w:sz w:val="24"/>
              </w:rPr>
              <w:t xml:space="preserve">Chủ trì; phối hợp</w:t>
            </w:r>
          </w:p>
        </w:tc>
        <w:tc>
          <w:tcPr>
            <w:tcW w:w="1408" w:type="dxa"/>
            <w:shd w:val="clear" w:color="auto" w:fill="DCE8F7"/>
            <w:vAlign w:val="center"/>
          </w:tcPr>
          <w:p>
            <w:pPr>
              <w:spacing w:before="20" w:after="20" w:line="252" w:lineRule="auto"/>
              <w:ind w:firstLine="0"/>
              <w:jc w:val="center"/>
            </w:pPr>
            <w:r>
              <w:rPr>
                <w:b/>
                <w:sz w:val="24"/>
              </w:rPr>
              <w:t xml:space="preserve">Nguồn lực</w:t>
            </w:r>
          </w:p>
        </w:tc>
        <w:tc>
          <w:tcPr>
            <w:tcW w:w="1126" w:type="dxa"/>
            <w:shd w:val="clear" w:color="auto" w:fill="DCE8F7"/>
            <w:vAlign w:val="center"/>
          </w:tcPr>
          <w:p>
            <w:pPr>
              <w:spacing w:before="20" w:after="20" w:line="252" w:lineRule="auto"/>
              <w:ind w:firstLine="0"/>
              <w:jc w:val="center"/>
            </w:pPr>
            <w:r>
              <w:rPr>
                <w:b/>
                <w:sz w:val="24"/>
              </w:rPr>
              <w:t xml:space="preserve">Thời gian</w:t>
            </w:r>
          </w:p>
        </w:tc>
        <w:tc>
          <w:tcPr>
            <w:tcW w:w="1577" w:type="dxa"/>
            <w:shd w:val="clear" w:color="auto" w:fill="DCE8F7"/>
            <w:vAlign w:val="center"/>
          </w:tcPr>
          <w:p>
            <w:pPr>
              <w:spacing w:before="20" w:after="20" w:line="252" w:lineRule="auto"/>
              <w:ind w:firstLine="0"/>
              <w:jc w:val="center"/>
            </w:pPr>
            <w:r>
              <w:rPr>
                <w:b/>
                <w:sz w:val="24"/>
              </w:rPr>
              <w:t xml:space="preserve">Sản phẩm đầu ra</w:t>
            </w:r>
          </w:p>
        </w:tc>
        <w:tc>
          <w:tcPr>
            <w:tcW w:w="1464" w:type="dxa"/>
            <w:shd w:val="clear" w:color="auto" w:fill="DCE8F7"/>
            <w:vAlign w:val="center"/>
          </w:tcPr>
          <w:p>
            <w:pPr>
              <w:spacing w:before="20" w:after="20" w:line="252" w:lineRule="auto"/>
              <w:ind w:firstLine="0"/>
              <w:jc w:val="center"/>
            </w:pPr>
            <w:r>
              <w:rPr>
                <w:b/>
                <w:sz w:val="24"/>
              </w:rPr>
              <w:t xml:space="preserve">Cách đánh giá</w:t>
            </w:r>
          </w:p>
        </w:tc>
      </w:tr>
      <w:tr>
        <w:trPr/>
        <w:tc>
          <w:tcPr>
            <w:tcW w:w="1915" w:type="dxa"/>
            <w:vAlign w:val="center"/>
          </w:tcPr>
          <w:p>
            <w:pPr>
              <w:spacing w:before="20" w:after="20" w:line="252" w:lineRule="auto"/>
              <w:ind w:firstLine="0"/>
              <w:jc w:val="left"/>
            </w:pPr>
            <w:r>
              <w:rPr>
                <w:b/>
                <w:sz w:val="24"/>
              </w:rPr>
              <w:t xml:space="preserve">Giải pháp 1.</w:t>
            </w:r>
            <w:r>
              <w:rPr>
                <w:sz w:val="24"/>
              </w:rPr>
              <w:t xml:space="preserve"> Hạn chế thứ hai: chưa rõ phạm vi, thứ tự áp dụng quy định về lợi ích của tác giả</w:t>
            </w:r>
          </w:p>
        </w:tc>
        <w:tc>
          <w:tcPr>
            <w:tcW w:w="1577" w:type="dxa"/>
            <w:vAlign w:val="center"/>
          </w:tcPr>
          <w:p>
            <w:pPr>
              <w:spacing w:before="20" w:after="20" w:line="252" w:lineRule="auto"/>
              <w:ind w:firstLine="0"/>
              <w:jc w:val="left"/>
            </w:pPr>
            <w:r>
              <w:rPr>
                <w:sz w:val="24"/>
              </w:rPr>
              <w:t xml:space="preserve">Bộ phận Pháp chế; Phòng Khoa học Công nghệ, Phòng Tài chính - Kế toán</w:t>
            </w:r>
          </w:p>
        </w:tc>
        <w:tc>
          <w:tcPr>
            <w:tcW w:w="1408" w:type="dxa"/>
            <w:vAlign w:val="center"/>
          </w:tcPr>
          <w:p>
            <w:pPr>
              <w:spacing w:before="20" w:after="20" w:line="252" w:lineRule="auto"/>
              <w:ind w:firstLine="0"/>
              <w:jc w:val="left"/>
            </w:pPr>
            <w:r>
              <w:rPr>
                <w:sz w:val="24"/>
              </w:rPr>
              <w:t xml:space="preserve">Ngân sách thường xuyên; chuyên gia rà soát dự thảo</w:t>
            </w:r>
          </w:p>
        </w:tc>
        <w:tc>
          <w:tcPr>
            <w:tcW w:w="1126" w:type="dxa"/>
            <w:vAlign w:val="center"/>
          </w:tcPr>
          <w:p>
            <w:pPr>
              <w:spacing w:before="20" w:after="20" w:line="252" w:lineRule="auto"/>
              <w:ind w:firstLine="0"/>
              <w:jc w:val="left"/>
            </w:pPr>
            <w:r>
              <w:rPr>
                <w:sz w:val="24"/>
              </w:rPr>
              <w:t xml:space="preserve">Quý IV/2026 đến 31/5/2027</w:t>
            </w:r>
          </w:p>
        </w:tc>
        <w:tc>
          <w:tcPr>
            <w:tcW w:w="1577" w:type="dxa"/>
            <w:vAlign w:val="center"/>
          </w:tcPr>
          <w:p>
            <w:pPr>
              <w:spacing w:before="20" w:after="20" w:line="252" w:lineRule="auto"/>
              <w:ind w:firstLine="0"/>
              <w:jc w:val="left"/>
            </w:pPr>
            <w:r>
              <w:rPr>
                <w:sz w:val="24"/>
              </w:rPr>
              <w:t xml:space="preserve">Quy chế sửa đổi; bảng phạm vi và thứ tự áp dụng; bảng mô phỏng tỷ lệ</w:t>
            </w:r>
          </w:p>
        </w:tc>
        <w:tc>
          <w:tcPr>
            <w:tcW w:w="1464" w:type="dxa"/>
            <w:vAlign w:val="center"/>
          </w:tcPr>
          <w:p>
            <w:pPr>
              <w:spacing w:before="20" w:after="20" w:line="252" w:lineRule="auto"/>
              <w:ind w:firstLine="0"/>
              <w:jc w:val="left"/>
            </w:pPr>
            <w:r>
              <w:rPr>
                <w:sz w:val="24"/>
              </w:rPr>
              <w:t xml:space="preserve">Ban hành đúng hạn; mỗi tình huống chuyển giao xác định được quy định áp dụng</w:t>
            </w:r>
          </w:p>
        </w:tc>
      </w:tr>
      <w:tr>
        <w:trPr/>
        <w:tc>
          <w:tcPr>
            <w:tcW w:w="1915" w:type="dxa"/>
            <w:vAlign w:val="center"/>
          </w:tcPr>
          <w:p>
            <w:pPr>
              <w:spacing w:before="20" w:after="20" w:line="252" w:lineRule="auto"/>
              <w:ind w:firstLine="0"/>
              <w:jc w:val="left"/>
            </w:pPr>
            <w:r>
              <w:rPr>
                <w:b/>
                <w:sz w:val="24"/>
              </w:rPr>
              <w:t xml:space="preserve">Giải pháp 2.</w:t>
            </w:r>
            <w:r>
              <w:rPr>
                <w:sz w:val="24"/>
              </w:rPr>
              <w:t xml:space="preserve"> Hạn chế thứ ba: phối hợp chưa liên thông, chưa có chuyên trách</w:t>
            </w:r>
          </w:p>
        </w:tc>
        <w:tc>
          <w:tcPr>
            <w:tcW w:w="1577" w:type="dxa"/>
            <w:vAlign w:val="center"/>
          </w:tcPr>
          <w:p>
            <w:pPr>
              <w:spacing w:before="20" w:after="20" w:line="252" w:lineRule="auto"/>
              <w:ind w:firstLine="0"/>
              <w:jc w:val="left"/>
            </w:pPr>
            <w:r>
              <w:rPr>
                <w:sz w:val="24"/>
              </w:rPr>
              <w:t xml:space="preserve">Ban Giám hiệu; Phòng Khoa học Công nghệ, Bộ phận Pháp chế</w:t>
            </w:r>
          </w:p>
        </w:tc>
        <w:tc>
          <w:tcPr>
            <w:tcW w:w="1408" w:type="dxa"/>
            <w:vAlign w:val="center"/>
          </w:tcPr>
          <w:p>
            <w:pPr>
              <w:spacing w:before="20" w:after="20" w:line="252" w:lineRule="auto"/>
              <w:ind w:firstLine="0"/>
              <w:jc w:val="left"/>
            </w:pPr>
            <w:r>
              <w:rPr>
                <w:sz w:val="24"/>
              </w:rPr>
              <w:t xml:space="preserve">Nhân sự hiện có kiêm nhiệm; kinh phí tập huấn</w:t>
            </w:r>
          </w:p>
        </w:tc>
        <w:tc>
          <w:tcPr>
            <w:tcW w:w="1126" w:type="dxa"/>
            <w:vAlign w:val="center"/>
          </w:tcPr>
          <w:p>
            <w:pPr>
              <w:spacing w:before="20" w:after="20" w:line="252" w:lineRule="auto"/>
              <w:ind w:firstLine="0"/>
              <w:jc w:val="left"/>
            </w:pPr>
            <w:r>
              <w:rPr>
                <w:sz w:val="24"/>
              </w:rPr>
              <w:t xml:space="preserve">Từ quý IV/2026; xem xét chuyên trách từ năm 2028</w:t>
            </w:r>
          </w:p>
        </w:tc>
        <w:tc>
          <w:tcPr>
            <w:tcW w:w="1577" w:type="dxa"/>
            <w:vAlign w:val="center"/>
          </w:tcPr>
          <w:p>
            <w:pPr>
              <w:spacing w:before="20" w:after="20" w:line="252" w:lineRule="auto"/>
              <w:ind w:firstLine="0"/>
              <w:jc w:val="left"/>
            </w:pPr>
            <w:r>
              <w:rPr>
                <w:sz w:val="24"/>
              </w:rPr>
              <w:t xml:space="preserve">Quyết định giao đầu mối; quy chế phối hợp; báo cáo khối lượng hồ sơ</w:t>
            </w:r>
          </w:p>
        </w:tc>
        <w:tc>
          <w:tcPr>
            <w:tcW w:w="1464" w:type="dxa"/>
            <w:vAlign w:val="center"/>
          </w:tcPr>
          <w:p>
            <w:pPr>
              <w:spacing w:before="20" w:after="20" w:line="252" w:lineRule="auto"/>
              <w:ind w:firstLine="0"/>
              <w:jc w:val="left"/>
            </w:pPr>
            <w:r>
              <w:rPr>
                <w:sz w:val="24"/>
              </w:rPr>
              <w:t xml:space="preserve">Số hồ sơ xử lý đúng hạn; quyết định nhân sự dựa trên ngưỡng</w:t>
            </w:r>
          </w:p>
        </w:tc>
      </w:tr>
      <w:tr>
        <w:trPr/>
        <w:tc>
          <w:tcPr>
            <w:tcW w:w="1915" w:type="dxa"/>
            <w:vAlign w:val="center"/>
          </w:tcPr>
          <w:p>
            <w:pPr>
              <w:spacing w:before="20" w:after="20" w:line="252" w:lineRule="auto"/>
              <w:ind w:firstLine="0"/>
              <w:jc w:val="left"/>
            </w:pPr>
            <w:r>
              <w:rPr>
                <w:b/>
                <w:sz w:val="24"/>
              </w:rPr>
              <w:t xml:space="preserve">Giải pháp 3.</w:t>
            </w:r>
            <w:r>
              <w:rPr>
                <w:sz w:val="24"/>
              </w:rPr>
              <w:t xml:space="preserve"> Hạn chế thứ nhất, thứ tư, thứ năm, thứ bảy: chuyển hóa thấp, thiếu sàng lọc, dữ liệu rời rạc</w:t>
            </w:r>
          </w:p>
        </w:tc>
        <w:tc>
          <w:tcPr>
            <w:tcW w:w="1577" w:type="dxa"/>
            <w:vAlign w:val="center"/>
          </w:tcPr>
          <w:p>
            <w:pPr>
              <w:spacing w:before="20" w:after="20" w:line="252" w:lineRule="auto"/>
              <w:ind w:firstLine="0"/>
              <w:jc w:val="left"/>
            </w:pPr>
            <w:r>
              <w:rPr>
                <w:sz w:val="24"/>
              </w:rPr>
              <w:t xml:space="preserve">Phòng Khoa học Công nghệ; Bộ phận Pháp chế, Hội đồng nghiệm thu, các viện</w:t>
            </w:r>
          </w:p>
        </w:tc>
        <w:tc>
          <w:tcPr>
            <w:tcW w:w="1408" w:type="dxa"/>
            <w:vAlign w:val="center"/>
          </w:tcPr>
          <w:p>
            <w:pPr>
              <w:spacing w:before="20" w:after="20" w:line="252" w:lineRule="auto"/>
              <w:ind w:firstLine="0"/>
              <w:jc w:val="left"/>
            </w:pPr>
            <w:r>
              <w:rPr>
                <w:sz w:val="24"/>
              </w:rPr>
              <w:t xml:space="preserve">Biểu mẫu hiện có được hoàn thiện; công cụ tra cứu; danh mục số</w:t>
            </w:r>
          </w:p>
        </w:tc>
        <w:tc>
          <w:tcPr>
            <w:tcW w:w="1126" w:type="dxa"/>
            <w:vAlign w:val="center"/>
          </w:tcPr>
          <w:p>
            <w:pPr>
              <w:spacing w:before="20" w:after="20" w:line="252" w:lineRule="auto"/>
              <w:ind w:firstLine="0"/>
              <w:jc w:val="left"/>
            </w:pPr>
            <w:r>
              <w:rPr>
                <w:sz w:val="24"/>
              </w:rPr>
              <w:t xml:space="preserve">Thí điểm quý IV/2026 - quý II/2027; toàn trường từ quý III/2027</w:t>
            </w:r>
          </w:p>
        </w:tc>
        <w:tc>
          <w:tcPr>
            <w:tcW w:w="1577" w:type="dxa"/>
            <w:vAlign w:val="center"/>
          </w:tcPr>
          <w:p>
            <w:pPr>
              <w:spacing w:before="20" w:after="20" w:line="252" w:lineRule="auto"/>
              <w:ind w:firstLine="0"/>
              <w:jc w:val="left"/>
            </w:pPr>
            <w:r>
              <w:rPr>
                <w:sz w:val="24"/>
              </w:rPr>
              <w:t xml:space="preserve">Phiếu khai báo, phiếu rà soát; quy trình 8 khâu; danh mục số</w:t>
            </w:r>
          </w:p>
        </w:tc>
        <w:tc>
          <w:tcPr>
            <w:tcW w:w="1464" w:type="dxa"/>
            <w:vAlign w:val="center"/>
          </w:tcPr>
          <w:p>
            <w:pPr>
              <w:spacing w:before="20" w:after="20" w:line="252" w:lineRule="auto"/>
              <w:ind w:firstLine="0"/>
              <w:jc w:val="left"/>
            </w:pPr>
            <w:r>
              <w:rPr>
                <w:sz w:val="24"/>
              </w:rPr>
              <w:t xml:space="preserve">Chỉ số 4 đến 8 và 11 tại Bảng 3.4</w:t>
            </w:r>
          </w:p>
        </w:tc>
      </w:tr>
      <w:tr>
        <w:trPr/>
        <w:tc>
          <w:tcPr>
            <w:tcW w:w="1915" w:type="dxa"/>
            <w:vAlign w:val="center"/>
          </w:tcPr>
          <w:p>
            <w:pPr>
              <w:spacing w:before="20" w:after="20" w:line="252" w:lineRule="auto"/>
              <w:ind w:firstLine="0"/>
              <w:jc w:val="left"/>
            </w:pPr>
            <w:r>
              <w:rPr>
                <w:b/>
                <w:sz w:val="24"/>
              </w:rPr>
              <w:t xml:space="preserve">Giải pháp 4.</w:t>
            </w:r>
            <w:r>
              <w:rPr>
                <w:sz w:val="24"/>
              </w:rPr>
              <w:t xml:space="preserve"> Nguyên nhân về nguồn lực, động lực; hạn chế thứ sáu: khai thác nhỏ</w:t>
            </w:r>
          </w:p>
        </w:tc>
        <w:tc>
          <w:tcPr>
            <w:tcW w:w="1577" w:type="dxa"/>
            <w:vAlign w:val="center"/>
          </w:tcPr>
          <w:p>
            <w:pPr>
              <w:spacing w:before="20" w:after="20" w:line="252" w:lineRule="auto"/>
              <w:ind w:firstLine="0"/>
              <w:jc w:val="left"/>
            </w:pPr>
            <w:r>
              <w:rPr>
                <w:sz w:val="24"/>
              </w:rPr>
              <w:t xml:space="preserve">Phòng Tài chính - Kế toán; Phòng Khoa học Công nghệ, Bộ phận Pháp chế, Viện Nghiên cứu giáo dục và Chuyển giao tri thức</w:t>
            </w:r>
          </w:p>
        </w:tc>
        <w:tc>
          <w:tcPr>
            <w:tcW w:w="1408" w:type="dxa"/>
            <w:vAlign w:val="center"/>
          </w:tcPr>
          <w:p>
            <w:pPr>
              <w:spacing w:before="20" w:after="20" w:line="252" w:lineRule="auto"/>
              <w:ind w:firstLine="0"/>
              <w:jc w:val="left"/>
            </w:pPr>
            <w:r>
              <w:rPr>
                <w:sz w:val="24"/>
              </w:rPr>
              <w:t xml:space="preserve">Quỹ nghiên cứu khoa học; nguồn thu dịch vụ khoa học công nghệ</w:t>
            </w:r>
          </w:p>
        </w:tc>
        <w:tc>
          <w:tcPr>
            <w:tcW w:w="1126" w:type="dxa"/>
            <w:vAlign w:val="center"/>
          </w:tcPr>
          <w:p>
            <w:pPr>
              <w:spacing w:before="20" w:after="20" w:line="252" w:lineRule="auto"/>
              <w:ind w:firstLine="0"/>
              <w:jc w:val="left"/>
            </w:pPr>
            <w:r>
              <w:rPr>
                <w:sz w:val="24"/>
              </w:rPr>
              <w:t xml:space="preserve">Dự toán từ năm 2027; phương án khai thác ở giai đoạn 2</w:t>
            </w:r>
          </w:p>
        </w:tc>
        <w:tc>
          <w:tcPr>
            <w:tcW w:w="1577" w:type="dxa"/>
            <w:vAlign w:val="center"/>
          </w:tcPr>
          <w:p>
            <w:pPr>
              <w:spacing w:before="20" w:after="20" w:line="252" w:lineRule="auto"/>
              <w:ind w:firstLine="0"/>
              <w:jc w:val="left"/>
            </w:pPr>
            <w:r>
              <w:rPr>
                <w:sz w:val="24"/>
              </w:rPr>
              <w:t xml:space="preserve">Dòng dự toán, quy định tạm ứng; đề xuất sửa Quy chế chi tiêu; phương án tổ chức khai thác</w:t>
            </w:r>
          </w:p>
        </w:tc>
        <w:tc>
          <w:tcPr>
            <w:tcW w:w="1464" w:type="dxa"/>
            <w:vAlign w:val="center"/>
          </w:tcPr>
          <w:p>
            <w:pPr>
              <w:spacing w:before="20" w:after="20" w:line="252" w:lineRule="auto"/>
              <w:ind w:firstLine="0"/>
              <w:jc w:val="left"/>
            </w:pPr>
            <w:r>
              <w:rPr>
                <w:sz w:val="24"/>
              </w:rPr>
              <w:t xml:space="preserve">Thời gian từ kết quả Khâu 3 đến nộp đơn, kể cả đơn nộp trước nghiệm thu; chỉ số 12, 13 tại Bảng 3.4; điều kiện chuyển bước</w:t>
            </w:r>
          </w:p>
        </w:tc>
      </w:tr>
      <w:tr>
        <w:trPr/>
        <w:tc>
          <w:tcPr>
            <w:tcW w:w="1915" w:type="dxa"/>
            <w:vAlign w:val="center"/>
          </w:tcPr>
          <w:p>
            <w:pPr>
              <w:spacing w:before="20" w:after="20" w:line="252" w:lineRule="auto"/>
              <w:ind w:firstLine="0"/>
              <w:jc w:val="left"/>
            </w:pPr>
            <w:r>
              <w:rPr>
                <w:b/>
                <w:sz w:val="24"/>
              </w:rPr>
              <w:t xml:space="preserve">Giải pháp 5.</w:t>
            </w:r>
            <w:r>
              <w:rPr>
                <w:sz w:val="24"/>
              </w:rPr>
              <w:t xml:space="preserve"> Hạn chế thứ nhất về kỹ năng nhận diện; giáo trình chưa đăng ký</w:t>
            </w:r>
          </w:p>
        </w:tc>
        <w:tc>
          <w:tcPr>
            <w:tcW w:w="1577" w:type="dxa"/>
            <w:vAlign w:val="center"/>
          </w:tcPr>
          <w:p>
            <w:pPr>
              <w:spacing w:before="20" w:after="20" w:line="252" w:lineRule="auto"/>
              <w:ind w:firstLine="0"/>
              <w:jc w:val="left"/>
            </w:pPr>
            <w:r>
              <w:rPr>
                <w:sz w:val="24"/>
              </w:rPr>
              <w:t xml:space="preserve">Phòng Khoa học Công nghệ; Phòng Đào tạo, Viện Nghiên cứu giáo dục và Chuyển giao tri thức</w:t>
            </w:r>
          </w:p>
        </w:tc>
        <w:tc>
          <w:tcPr>
            <w:tcW w:w="1408" w:type="dxa"/>
            <w:vAlign w:val="center"/>
          </w:tcPr>
          <w:p>
            <w:pPr>
              <w:spacing w:before="20" w:after="20" w:line="252" w:lineRule="auto"/>
              <w:ind w:firstLine="0"/>
              <w:jc w:val="left"/>
            </w:pPr>
            <w:r>
              <w:rPr>
                <w:sz w:val="24"/>
              </w:rPr>
              <w:t xml:space="preserve">Kinh phí đào tạo thường xuyên; chuyên gia bên ngoài</w:t>
            </w:r>
          </w:p>
        </w:tc>
        <w:tc>
          <w:tcPr>
            <w:tcW w:w="1126" w:type="dxa"/>
            <w:vAlign w:val="center"/>
          </w:tcPr>
          <w:p>
            <w:pPr>
              <w:spacing w:before="20" w:after="20" w:line="252" w:lineRule="auto"/>
              <w:ind w:firstLine="0"/>
              <w:jc w:val="left"/>
            </w:pPr>
            <w:r>
              <w:rPr>
                <w:sz w:val="24"/>
              </w:rPr>
              <w:t xml:space="preserve">Từ năm 2027; học phần từ năm học 2027 - 2028</w:t>
            </w:r>
          </w:p>
        </w:tc>
        <w:tc>
          <w:tcPr>
            <w:tcW w:w="1577" w:type="dxa"/>
            <w:vAlign w:val="center"/>
          </w:tcPr>
          <w:p>
            <w:pPr>
              <w:spacing w:before="20" w:after="20" w:line="252" w:lineRule="auto"/>
              <w:ind w:firstLine="0"/>
              <w:jc w:val="left"/>
            </w:pPr>
            <w:r>
              <w:rPr>
                <w:sz w:val="24"/>
              </w:rPr>
              <w:t xml:space="preserve">Chương trình tập huấn; cẩm nang; danh mục giáo trình cần đăng ký</w:t>
            </w:r>
          </w:p>
        </w:tc>
        <w:tc>
          <w:tcPr>
            <w:tcW w:w="1464" w:type="dxa"/>
            <w:vAlign w:val="center"/>
          </w:tcPr>
          <w:p>
            <w:pPr>
              <w:spacing w:before="20" w:after="20" w:line="252" w:lineRule="auto"/>
              <w:ind w:firstLine="0"/>
              <w:jc w:val="left"/>
            </w:pPr>
            <w:r>
              <w:rPr>
                <w:sz w:val="24"/>
              </w:rPr>
              <w:t xml:space="preserve">Chỉ số 3 và 9 tại Bảng 3.4; số giáo trình được rà soát</w:t>
            </w:r>
          </w:p>
        </w:tc>
      </w:tr>
    </w:tbl>
    <w:p w14:paraId="645FDCAF" w14:textId="77777777" w:rsidR="005B561C" w:rsidRPr="000F7C87" w:rsidRDefault="00000000">
      <w:pPr>
        <w:spacing w:after="160"/>
        <w:ind w:firstLine="0"/>
        <w:rPr>
          <w:szCs w:val="26"/>
        </w:rPr>
      </w:pPr>
      <w:r w:rsidRPr="000F7C87">
        <w:rPr>
          <w:i/>
          <w:szCs w:val="26"/>
        </w:rPr>
        <w:t>Nguồn: Nhóm nghiên cứu đề xuất trên cơ sở Mục 2.5.2 và Mục 2.5.3.</w:t>
      </w:r>
    </w:p>
    <w:p w14:paraId="48E95726" w14:textId="77777777" w:rsidR="005B561C" w:rsidRPr="000F7C87" w:rsidRDefault="00000000">
      <w:pPr>
        <w:rPr>
          <w:szCs w:val="26"/>
        </w:rPr>
      </w:pPr>
      <w:r w:rsidRPr="000F7C87">
        <w:rPr>
          <w:szCs w:val="26"/>
        </w:rPr>
        <w:t xml:space="preserve">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14:paraId="6067EC56" w14:textId="77777777" w:rsidR="005B561C" w:rsidRPr="000F7C87" w:rsidRDefault="00000000">
      <w:pPr>
        <w:keepNext/>
        <w:spacing w:before="280" w:after="160"/>
        <w:ind w:firstLine="0"/>
        <w:outlineLvl w:val="1"/>
        <w:rPr>
          <w:szCs w:val="26"/>
        </w:rPr>
      </w:pPr>
      <w:r w:rsidRPr="000F7C87">
        <w:rPr>
          <w:b/>
          <w:szCs w:val="26"/>
        </w:rPr>
        <w:t xml:space="preserve">3.3. Kế hoạch thí điểm mô hình sàng lọc tại nghiệm thu</w:t>
      </w:r>
    </w:p>
    <w:p w14:paraId="0DE297E1" w14:textId="77777777" w:rsidR="005B561C" w:rsidRPr="000F7C87" w:rsidRDefault="00000000">
      <w:pPr>
        <w:keepNext/>
        <w:spacing w:before="200" w:after="100"/>
        <w:ind w:firstLine="0"/>
        <w:outlineLvl w:val="2"/>
        <w:rPr>
          <w:szCs w:val="26"/>
        </w:rPr>
      </w:pPr>
      <w:r w:rsidRPr="000F7C87">
        <w:rPr>
          <w:b/>
          <w:szCs w:val="26"/>
        </w:rPr>
        <w:t xml:space="preserve">3.3.1. Mục đích và phạm vi thí điểm dự kiến</w:t>
      </w:r>
    </w:p>
    <w:p w14:paraId="48E95726" w14:textId="77777777" w:rsidR="005B561C" w:rsidRPr="000F7C87" w:rsidRDefault="00000000">
      <w:pPr>
        <w:rPr>
          <w:szCs w:val="26"/>
        </w:rPr>
      </w:pPr>
      <w:r w:rsidRPr="000F7C87">
        <w:rPr>
          <w:szCs w:val="26"/>
        </w:rPr>
        <w:t xml:space="preserve">Thí điểm dưới đây là kế hoạch, chưa được triển khai. Để bảo đảm tính khả thi và giảm rủi ro khi áp dụng toàn trường, Đề tài đề xuất thí điểm Khâu 1, Khâu 4, Khâu 5 và luồng sớm từ Khâu 3 sang Khâu 6 của quy trình, gồm phiếu khai báo, xem xét bảo mật trước khi công bố, quyết định đăng ký và cấp kinh phí trước nghiệm thu khi cần,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theo từng luồng và thời gian xử lý của mỗi luồng.</w:t>
      </w:r>
    </w:p>
    <w:p w14:paraId="0DE297E1" w14:textId="77777777" w:rsidR="005B561C" w:rsidRPr="000F7C87" w:rsidRDefault="00000000">
      <w:pPr>
        <w:keepNext/>
        <w:spacing w:before="200" w:after="100"/>
        <w:ind w:firstLine="0"/>
        <w:outlineLvl w:val="2"/>
        <w:rPr>
          <w:szCs w:val="26"/>
        </w:rPr>
      </w:pPr>
      <w:r w:rsidRPr="000F7C87">
        <w:rPr>
          <w:b/>
          <w:szCs w:val="26"/>
        </w:rPr>
        <w:t xml:space="preserve">3.3.2. Kịch bản thí điểm và các giả định cần kiểm chứng</w:t>
      </w:r>
    </w:p>
    <w:p w14:paraId="48E95726" w14:textId="77777777" w:rsidR="005B561C" w:rsidRPr="000F7C87" w:rsidRDefault="00000000">
      <w:pPr>
        <w:rPr>
          <w:szCs w:val="26"/>
        </w:rPr>
      </w:pPr>
      <w:r w:rsidRPr="000F7C87">
        <w:rPr>
          <w:szCs w:val="26"/>
        </w:rPr>
        <w:t xml:space="preserve">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14:paraId="48E95726" w14:textId="77777777" w:rsidR="005B561C" w:rsidRPr="000F7C87" w:rsidRDefault="00000000">
      <w:pPr>
        <w:rPr>
          <w:szCs w:val="26"/>
        </w:rPr>
      </w:pPr>
      <w:r w:rsidRPr="000F7C87">
        <w:rPr>
          <w:szCs w:val="26"/>
        </w:rPr>
        <w:t xml:space="preserve">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513" name="Picture 513"/>
            <wp:cNvGraphicFramePr>
              <a:graphicFrameLocks noChangeAspect="1"/>
            </wp:cNvGraphicFramePr>
            <a:graphic>
              <a:graphicData uri="http://schemas.openxmlformats.org/drawingml/2006/picture">
                <pic:pic>
                  <pic:nvPicPr>
                    <pic:cNvPr id="0" name="lo_trinh.png"/>
                    <pic:cNvPicPr/>
                  </pic:nvPicPr>
                  <pic:blipFill>
                    <a:blip r:embed="rId24"/>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Hoàn thiện thể chế và khởi động quy trình</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trị tài sản trí tuệ sửa đổi trước ngày 31 tháng 5 năm 2027, trong đó xác định phạm vi và thứ tự áp dụng các quy định về lợi ích của tác giả theo Điều 28, Điều 73 Luật số 93/2025/QH15, Điều 32, Điều 34 Nghị định số 267/2025/NĐ-CP và Điều 135 Luật Sở hữu trí tuệ, hoàn thiện nội dung liêm chính khoa học, liêm chính học thuật.</w:t>
      </w:r>
    </w:p>
    <w:p w14:paraId="48E95726" w14:textId="77777777" w:rsidR="005B561C" w:rsidRPr="000F7C87" w:rsidRDefault="00000000">
      <w:pPr>
        <w:rPr>
          <w:szCs w:val="26"/>
        </w:rPr>
      </w:pPr>
      <w:r w:rsidRPr="000F7C87">
        <w:rPr>
          <w:szCs w:val="26"/>
        </w:rPr>
        <w:t xml:space="preserve">- Giao đầu mối kiêm nhiệm tại Phòng Khoa học Công nghệ và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Hoàn thiện biểu mẫu đề xuất, thuyết minh, hợp đồng, nghiệm thu với phiếu khai báo và phiếu rà soát; ban hành quy trình 8 khâu.</w:t>
      </w:r>
    </w:p>
    <w:p w14:paraId="48E95726" w14:textId="77777777" w:rsidR="005B561C" w:rsidRPr="000F7C87" w:rsidRDefault="00000000">
      <w:pPr>
        <w:rPr>
          <w:szCs w:val="26"/>
        </w:rPr>
      </w:pPr>
      <w:r w:rsidRPr="000F7C87">
        <w:rPr>
          <w:szCs w:val="26"/>
        </w:rPr>
        <w:t xml:space="preserve">- Lập dòng dự toán phí xác lập quyền cho năm 2027.</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Triển khai kế hoạch thí điểm tại Viện Y - Dược và đánh giá kết quả.</w:t>
      </w:r>
    </w:p>
    <w:p w14:paraId="48E95726" w14:textId="77777777" w:rsidR="005B561C" w:rsidRPr="000F7C87" w:rsidRDefault="00000000">
      <w:pPr>
        <w:rPr>
          <w:szCs w:val="26"/>
        </w:rPr>
      </w:pPr>
      <w:r w:rsidRPr="000F7C87">
        <w:rPr>
          <w:szCs w:val="26"/>
          <w:b/>
        </w:rPr>
        <w:t xml:space="preserve">Giai đoạn 2, từ quý III năm 2027 đến hết năm 2028: Áp dụng toàn trường và chuẩn bị khai thác</w:t>
      </w:r>
    </w:p>
    <w:p w14:paraId="48E95726" w14:textId="77777777" w:rsidR="005B561C" w:rsidRPr="000F7C87" w:rsidRDefault="00000000">
      <w:pPr>
        <w:rPr>
          <w:szCs w:val="26"/>
        </w:rPr>
      </w:pPr>
      <w:r w:rsidRPr="000F7C87">
        <w:rPr>
          <w:szCs w:val="26"/>
        </w:rPr>
        <w:t xml:space="preserve">Trên nền tảng thể chế đã được hoàn thiện, giai đoạn này tập trung áp dụng quy trình toàn trường và chuẩn bị điều kiện khai thác:</w:t>
      </w:r>
    </w:p>
    <w:p w14:paraId="48E95726" w14:textId="77777777" w:rsidR="005B561C" w:rsidRPr="000F7C87" w:rsidRDefault="00000000">
      <w:pPr>
        <w:rPr>
          <w:szCs w:val="26"/>
        </w:rPr>
      </w:pPr>
      <w:r w:rsidRPr="000F7C87">
        <w:rPr>
          <w:szCs w:val="26"/>
        </w:rPr>
        <w:t xml:space="preserve">- Áp dụng quy trình 8 khâu cho toàn bộ đề tài cấp cơ sở và nhiệm vụ cấp quốc gia; xem xét bố trí vị trí chuyên trách khi khối lượng hồ sơ đạt ngưỡng.</w:t>
      </w:r>
    </w:p>
    <w:p w14:paraId="48E95726" w14:textId="77777777" w:rsidR="005B561C" w:rsidRPr="000F7C87" w:rsidRDefault="00000000">
      <w:pPr>
        <w:rPr>
          <w:szCs w:val="26"/>
        </w:rPr>
      </w:pPr>
      <w:r w:rsidRPr="000F7C87">
        <w:rPr>
          <w:szCs w:val="26"/>
        </w:rPr>
        <w:t xml:space="preserve">- Đánh giá điều kiện chuyển bước; xây dựng phương án trung tâm tư vấn, định giá hoặc doanh nghiệp quản lý tài sản trí tuệ khi đạt điều kiện tại Giải pháp 4.</w:t>
      </w:r>
    </w:p>
    <w:p w14:paraId="48E95726" w14:textId="77777777" w:rsidR="005B561C" w:rsidRPr="000F7C87" w:rsidRDefault="00000000">
      <w:pPr>
        <w:rPr>
          <w:szCs w:val="26"/>
        </w:rPr>
      </w:pPr>
      <w:r w:rsidRPr="000F7C87">
        <w:rPr>
          <w:szCs w:val="26"/>
        </w:rPr>
        <w:t xml:space="preserve">- Hoàn thiện danh mục số tài sản trí tuệ có phân quyền truy cập; chuẩn bị trích xuất dữ liệu được phép công bố để kết nối với Nền tảng số quốc gia và báo cáo trên HEMIS.</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Phấn đấu ký ít nhất 01 hợp đồng chuyển giao công nghệ hoặc cấp phép sử dụng mỗi năm, đáp ứng mục 1.12 Kế hoạch 07/KH-ĐHTĐ.</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doanh nghiệp quản lý tài sản trí tuệ nếu đã đủ điều kiện thành lập; định giá, góp vốn khi có tài sản phù hợp.</w:t>
      </w:r>
    </w:p>
    <w:p w14:paraId="48E95726" w14:textId="77777777" w:rsidR="005B561C" w:rsidRPr="000F7C87" w:rsidRDefault="00000000">
      <w:pPr>
        <w:rPr>
          <w:szCs w:val="26"/>
        </w:rPr>
      </w:pPr>
      <w:r w:rsidRPr="000F7C87">
        <w:rPr>
          <w:szCs w:val="26"/>
        </w:rPr>
        <w:t xml:space="preserve">- Khai thác các mạng lưới hỗ trợ công nghệ và đổi mới sáng tạo mà Nhà trường tham gia.</w:t>
      </w:r>
    </w:p>
    <w:p w14:paraId="48E95726" w14:textId="77777777" w:rsidR="005B561C" w:rsidRPr="000F7C87" w:rsidRDefault="00000000">
      <w:pPr>
        <w:rPr>
          <w:szCs w:val="26"/>
        </w:rPr>
      </w:pPr>
      <w:r w:rsidRPr="000F7C87">
        <w:rPr>
          <w:szCs w:val="26"/>
        </w:rPr>
        <w:t xml:space="preserve">- Theo dõi nguồn thu từ khai thác tài sản trí tuệ, khoản chi trả cho tác giả và phần trích vào quỹ phát triển khoa học công nghệ.</w:t>
      </w:r>
    </w:p>
    <w:p w14:paraId="48E95726" w14:textId="77777777" w:rsidR="005B561C" w:rsidRPr="000F7C87" w:rsidRDefault="00000000">
      <w:pPr>
        <w:rPr>
          <w:szCs w:val="26"/>
        </w:rPr>
      </w:pPr>
      <w:r w:rsidRPr="000F7C87">
        <w:rPr>
          <w:szCs w:val="26"/>
        </w:rPr>
        <w:t xml:space="preserve">- Số hóa đầy đủ dữ liệu tài sản trí tuệ để quản lý nội bộ; hằng năm chỉ công khai dữ liệu được phép công bố, gồm văn bằng đã cấp, đơn đã được công bố chính thức và số liệu tổng hợp; hồ sơ chưa nộp đơn, bí mật kinh doanh và thông tin bị ràng buộc bởi hợp đồng được giới hạn quyền truy cập.</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3.4. Bộ chỉ số theo dõi đánh giá hiệu quả triển khai hệ thống giải pháp, phân tầng theo chuỗi kết quả</w:t>
      </w:r>
    </w:p>
    <w:tbl>
      <w:tblPr>
        <w:tblStyle w:val="TableGrid"/>
        <w:tblW w:w="0" w:type="auto"/>
        <w:jc w:val="center"/>
        <w:tblLook w:val="04A0" w:firstRow="1" w:lastRow="0" w:firstColumn="1" w:lastColumn="0" w:noHBand="0" w:noVBand="1"/>
      </w:tblPr>
      <w:tblGrid>
        <w:gridCol w:w="1343"/>
        <w:gridCol w:w="3583"/>
        <w:gridCol w:w="1903"/>
        <w:gridCol w:w="2239"/>
      </w:tblGrid>
      <w:tr>
        <w:trPr>
          <w:tblHeader/>
          <w:cantSplit/>
        </w:trPr>
        <w:tc>
          <w:tcPr>
            <w:tcW w:w="1343" w:type="dxa"/>
            <w:shd w:val="clear" w:color="auto" w:fill="DCE8F7"/>
            <w:vAlign w:val="center"/>
          </w:tcPr>
          <w:p>
            <w:pPr>
              <w:spacing w:before="20" w:after="20" w:line="252" w:lineRule="auto"/>
              <w:ind w:firstLine="0"/>
              <w:jc w:val="center"/>
            </w:pPr>
            <w:r>
              <w:rPr>
                <w:b/>
                <w:sz w:val="24"/>
              </w:rPr>
              <w:t xml:space="preserve">Tầng</w:t>
            </w:r>
          </w:p>
        </w:tc>
        <w:tc>
          <w:tcPr>
            <w:tcW w:w="3583" w:type="dxa"/>
            <w:shd w:val="clear" w:color="auto" w:fill="DCE8F7"/>
            <w:vAlign w:val="center"/>
          </w:tcPr>
          <w:p>
            <w:pPr>
              <w:spacing w:before="20" w:after="20" w:line="252" w:lineRule="auto"/>
              <w:ind w:firstLine="0"/>
              <w:jc w:val="center"/>
            </w:pPr>
            <w:r>
              <w:rPr>
                <w:b/>
                <w:sz w:val="24"/>
              </w:rPr>
              <w:t xml:space="preserve">Chỉ số theo dõi</w:t>
            </w:r>
          </w:p>
        </w:tc>
        <w:tc>
          <w:tcPr>
            <w:tcW w:w="1903" w:type="dxa"/>
            <w:shd w:val="clear" w:color="auto" w:fill="DCE8F7"/>
            <w:vAlign w:val="center"/>
          </w:tcPr>
          <w:p>
            <w:pPr>
              <w:spacing w:before="20" w:after="20" w:line="252" w:lineRule="auto"/>
              <w:ind w:firstLine="0"/>
              <w:jc w:val="center"/>
            </w:pPr>
            <w:r>
              <w:rPr>
                <w:b/>
                <w:sz w:val="24"/>
              </w:rPr>
              <w:t xml:space="preserve">Nguồn dữ liệu</w:t>
            </w:r>
          </w:p>
        </w:tc>
        <w:tc>
          <w:tcPr>
            <w:tcW w:w="2239"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1343" w:type="dxa"/>
            <w:vAlign w:val="center"/>
          </w:tcPr>
          <w:p>
            <w:pPr>
              <w:spacing w:before="20" w:after="20" w:line="252" w:lineRule="auto"/>
              <w:ind w:firstLine="0"/>
              <w:jc w:val="left"/>
            </w:pPr>
            <w:r>
              <w:rPr>
                <w:sz w:val="24"/>
              </w:rPr>
              <w:t xml:space="preserve">Thể chế và tổ chức</w:t>
            </w:r>
          </w:p>
        </w:tc>
        <w:tc>
          <w:tcPr>
            <w:tcW w:w="3583" w:type="dxa"/>
            <w:vAlign w:val="center"/>
          </w:tcPr>
          <w:p>
            <w:pPr>
              <w:spacing w:before="20" w:after="20" w:line="252" w:lineRule="auto"/>
              <w:ind w:firstLine="0"/>
              <w:jc w:val="left"/>
            </w:pPr>
            <w:r>
              <w:rPr>
                <w:sz w:val="24"/>
              </w:rPr>
              <w:t xml:space="preserve">1. Quy chế quản trị tài sản trí tuệ sửa đổi được ban hành</w:t>
            </w:r>
          </w:p>
          <w:p>
            <w:pPr>
              <w:spacing w:before="20" w:after="20" w:line="252" w:lineRule="auto"/>
              <w:ind w:firstLine="0"/>
              <w:jc w:val="left"/>
            </w:pPr>
            <w:r>
              <w:rPr>
                <w:sz w:val="24"/>
              </w:rPr>
              <w:t xml:space="preserve">2. Đầu mối sở hữu trí tuệ được giao và số cuộc giao ban liên phòng ban mỗi năm</w:t>
            </w:r>
          </w:p>
          <w:p>
            <w:pPr>
              <w:spacing w:before="20" w:after="20" w:line="252" w:lineRule="auto"/>
              <w:ind w:firstLine="0"/>
              <w:jc w:val="left"/>
            </w:pPr>
            <w:r>
              <w:rPr>
                <w:sz w:val="24"/>
              </w:rPr>
              <w:t xml:space="preserve">3. Tỷ lệ giảng viên mới hoàn thành tập huấn</w:t>
            </w:r>
          </w:p>
        </w:tc>
        <w:tc>
          <w:tcPr>
            <w:tcW w:w="1903" w:type="dxa"/>
            <w:vAlign w:val="center"/>
          </w:tcPr>
          <w:p>
            <w:pPr>
              <w:spacing w:before="20" w:after="20" w:line="252" w:lineRule="auto"/>
              <w:ind w:firstLine="0"/>
              <w:jc w:val="left"/>
            </w:pPr>
            <w:r>
              <w:rPr>
                <w:sz w:val="24"/>
              </w:rPr>
              <w:t xml:space="preserve">Quyết định ban hành; biên bản giao ban; danh sách tập huấn</w:t>
            </w:r>
          </w:p>
        </w:tc>
        <w:tc>
          <w:tcPr>
            <w:tcW w:w="2239" w:type="dxa"/>
            <w:vAlign w:val="center"/>
          </w:tcPr>
          <w:p>
            <w:pPr>
              <w:spacing w:before="20" w:after="20" w:line="252" w:lineRule="auto"/>
              <w:ind w:firstLine="0"/>
              <w:jc w:val="left"/>
            </w:pPr>
            <w:r>
              <w:rPr>
                <w:sz w:val="24"/>
              </w:rPr>
              <w:t xml:space="preserve">Trước ngày 31/5/2027</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100% giảng viên mới</w:t>
            </w:r>
          </w:p>
        </w:tc>
      </w:tr>
      <w:tr>
        <w:trPr/>
        <w:tc>
          <w:tcPr>
            <w:tcW w:w="1343" w:type="dxa"/>
            <w:vAlign w:val="center"/>
          </w:tcPr>
          <w:p>
            <w:pPr>
              <w:spacing w:before="20" w:after="20" w:line="252" w:lineRule="auto"/>
              <w:ind w:firstLine="0"/>
              <w:jc w:val="left"/>
            </w:pPr>
            <w:r>
              <w:rPr>
                <w:sz w:val="24"/>
              </w:rPr>
              <w:t xml:space="preserve">Sàng lọc</w:t>
            </w:r>
          </w:p>
        </w:tc>
        <w:tc>
          <w:tcPr>
            <w:tcW w:w="3583" w:type="dxa"/>
            <w:vAlign w:val="center"/>
          </w:tcPr>
          <w:p>
            <w:pPr>
              <w:spacing w:before="20" w:after="20" w:line="252" w:lineRule="auto"/>
              <w:ind w:firstLine="0"/>
              <w:jc w:val="left"/>
            </w:pPr>
            <w:r>
              <w:rPr>
                <w:sz w:val="24"/>
              </w:rPr>
              <w:t xml:space="preserve">4. Tỷ lệ đề tài nghiệm thu có phiếu rà soát</w:t>
            </w:r>
          </w:p>
          <w:p>
            <w:pPr>
              <w:spacing w:before="20" w:after="20" w:line="252" w:lineRule="auto"/>
              <w:ind w:firstLine="0"/>
              <w:jc w:val="left"/>
            </w:pPr>
            <w:r>
              <w:rPr>
                <w:sz w:val="24"/>
              </w:rPr>
              <w:t xml:space="preserve">5. Số kết quả được khai báo và sàng lọc mỗi năm</w:t>
            </w:r>
          </w:p>
          <w:p>
            <w:pPr>
              <w:spacing w:before="20" w:after="20" w:line="252" w:lineRule="auto"/>
              <w:ind w:firstLine="0"/>
              <w:jc w:val="left"/>
            </w:pPr>
            <w:r>
              <w:rPr>
                <w:sz w:val="24"/>
              </w:rPr>
              <w:t xml:space="preserve">6. Tỷ lệ kết quả thuộc nhánh sáng chế, giải pháp hữu ích, kiểu dáng được xem xét bảo mật trước khi công bố</w:t>
            </w:r>
          </w:p>
          <w:p>
            <w:pPr>
              <w:spacing w:before="20" w:after="20" w:line="252" w:lineRule="auto"/>
              <w:ind w:firstLine="0"/>
              <w:jc w:val="left"/>
            </w:pPr>
            <w:r>
              <w:rPr>
                <w:sz w:val="24"/>
              </w:rPr>
              <w:t xml:space="preserve">7. Thời gian từ khi có kết quả đánh giá tại Khâu 3 đến quyết định xác lập quyền, tách theo luồng sớm và luồng thường</w:t>
            </w:r>
          </w:p>
        </w:tc>
        <w:tc>
          <w:tcPr>
            <w:tcW w:w="1903" w:type="dxa"/>
            <w:vAlign w:val="center"/>
          </w:tcPr>
          <w:p>
            <w:pPr>
              <w:spacing w:before="20" w:after="20" w:line="252" w:lineRule="auto"/>
              <w:ind w:firstLine="0"/>
              <w:jc w:val="left"/>
            </w:pPr>
            <w:r>
              <w:rPr>
                <w:sz w:val="24"/>
              </w:rPr>
              <w:t xml:space="preserve">Phiếu khai báo, phiếu rà soát; danh mục số tài sản trí tuệ</w:t>
            </w:r>
          </w:p>
        </w:tc>
        <w:tc>
          <w:tcPr>
            <w:tcW w:w="2239" w:type="dxa"/>
            <w:vAlign w:val="center"/>
          </w:tcPr>
          <w:p>
            <w:pPr>
              <w:spacing w:before="20" w:after="20" w:line="252" w:lineRule="auto"/>
              <w:ind w:firstLine="0"/>
              <w:jc w:val="left"/>
            </w:pPr>
            <w:r>
              <w:rPr>
                <w:sz w:val="24"/>
              </w:rPr>
              <w:t xml:space="preserve">100% từ năm 2027</w:t>
            </w:r>
          </w:p>
          <w:p>
            <w:pPr>
              <w:spacing w:before="20" w:after="20" w:line="252" w:lineRule="auto"/>
              <w:ind w:firstLine="0"/>
              <w:jc w:val="left"/>
            </w:pPr>
            <w:r>
              <w:rPr>
                <w:sz w:val="24"/>
              </w:rPr>
              <w:t xml:space="preserve">Theo dõi, làm căn cứ quyết định nhân sự</w:t>
            </w:r>
          </w:p>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Không quá 15 ngày làm việc</w:t>
            </w:r>
          </w:p>
        </w:tc>
      </w:tr>
      <w:tr>
        <w:trPr/>
        <w:tc>
          <w:tcPr>
            <w:tcW w:w="1343" w:type="dxa"/>
            <w:vAlign w:val="center"/>
          </w:tcPr>
          <w:p>
            <w:pPr>
              <w:spacing w:before="20" w:after="20" w:line="252" w:lineRule="auto"/>
              <w:ind w:firstLine="0"/>
              <w:jc w:val="left"/>
            </w:pPr>
            <w:r>
              <w:rPr>
                <w:sz w:val="24"/>
              </w:rPr>
              <w:t xml:space="preserve">Đơn nộp</w:t>
            </w:r>
          </w:p>
        </w:tc>
        <w:tc>
          <w:tcPr>
            <w:tcW w:w="3583" w:type="dxa"/>
            <w:vAlign w:val="center"/>
          </w:tcPr>
          <w:p>
            <w:pPr>
              <w:spacing w:before="20" w:after="20" w:line="252" w:lineRule="auto"/>
              <w:ind w:firstLine="0"/>
              <w:jc w:val="left"/>
            </w:pPr>
            <w:r>
              <w:rPr>
                <w:sz w:val="24"/>
              </w:rPr>
              <w:t xml:space="preserve">8. Số đơn sở hữu công nghiệp nộp mới từ kết quả nghiên cứu</w:t>
            </w:r>
          </w:p>
          <w:p>
            <w:pPr>
              <w:spacing w:before="20" w:after="20" w:line="252" w:lineRule="auto"/>
              <w:ind w:firstLine="0"/>
              <w:jc w:val="left"/>
            </w:pPr>
            <w:r>
              <w:rPr>
                <w:sz w:val="24"/>
              </w:rPr>
              <w:t xml:space="preserve">9. Số đăng ký quyền tác giả cho giáo trình, phần mềm có nhu cầu khai thác</w:t>
            </w:r>
          </w:p>
        </w:tc>
        <w:tc>
          <w:tcPr>
            <w:tcW w:w="1903" w:type="dxa"/>
            <w:vAlign w:val="center"/>
          </w:tcPr>
          <w:p>
            <w:pPr>
              <w:spacing w:before="20" w:after="20" w:line="252" w:lineRule="auto"/>
              <w:ind w:firstLine="0"/>
              <w:jc w:val="left"/>
            </w:pPr>
            <w:r>
              <w:rPr>
                <w:sz w:val="24"/>
              </w:rPr>
              <w:t xml:space="preserve">Danh mục số, nhóm trạng thái đã nộp đơn</w:t>
            </w:r>
          </w:p>
        </w:tc>
        <w:tc>
          <w:tcPr>
            <w:tcW w:w="2239" w:type="dxa"/>
            <w:vAlign w:val="center"/>
          </w:tcPr>
          <w:p>
            <w:pPr>
              <w:spacing w:before="20" w:after="20" w:line="252" w:lineRule="auto"/>
              <w:ind w:firstLine="0"/>
              <w:jc w:val="left"/>
            </w:pPr>
            <w:r>
              <w:rPr>
                <w:sz w:val="24"/>
              </w:rPr>
              <w:t xml:space="preserve">Từ 02 đơn năm 2027, 03 đến 05 đơn mỗi năm từ năm 2028, điều chỉnh sau thí điểm</w:t>
            </w:r>
          </w:p>
          <w:p>
            <w:pPr>
              <w:spacing w:before="20" w:after="20" w:line="252" w:lineRule="auto"/>
              <w:ind w:firstLine="0"/>
              <w:jc w:val="left"/>
            </w:pPr>
            <w:r>
              <w:rPr>
                <w:sz w:val="24"/>
              </w:rPr>
              <w:t xml:space="preserve">Theo nhu cầu đã rà soát</w:t>
            </w:r>
          </w:p>
        </w:tc>
      </w:tr>
      <w:tr>
        <w:trPr/>
        <w:tc>
          <w:tcPr>
            <w:tcW w:w="1343" w:type="dxa"/>
            <w:vAlign w:val="center"/>
          </w:tcPr>
          <w:p>
            <w:pPr>
              <w:spacing w:before="20" w:after="20" w:line="252" w:lineRule="auto"/>
              <w:ind w:firstLine="0"/>
              <w:jc w:val="left"/>
            </w:pPr>
            <w:r>
              <w:rPr>
                <w:sz w:val="24"/>
              </w:rPr>
              <w:t xml:space="preserve">Văn bằng</w:t>
            </w:r>
          </w:p>
        </w:tc>
        <w:tc>
          <w:tcPr>
            <w:tcW w:w="3583" w:type="dxa"/>
            <w:vAlign w:val="center"/>
          </w:tcPr>
          <w:p>
            <w:pPr>
              <w:spacing w:before="20" w:after="20" w:line="252" w:lineRule="auto"/>
              <w:ind w:firstLine="0"/>
              <w:jc w:val="left"/>
            </w:pPr>
            <w:r>
              <w:rPr>
                <w:sz w:val="24"/>
              </w:rPr>
              <w:t xml:space="preserve">10. Số văn bằng, giấy chứng nhận được cấp, tách theo nguồn: nghiên cứu, thương hiệu, hợp tác doanh nghiệp</w:t>
            </w:r>
          </w:p>
          <w:p>
            <w:pPr>
              <w:spacing w:before="20" w:after="20" w:line="252" w:lineRule="auto"/>
              <w:ind w:firstLine="0"/>
              <w:jc w:val="left"/>
            </w:pPr>
            <w:r>
              <w:rPr>
                <w:sz w:val="24"/>
              </w:rPr>
              <w:t xml:space="preserve">11. Tỷ lệ hồ sơ trong danh mục có trạng thái đã xác minh</w:t>
            </w:r>
          </w:p>
        </w:tc>
        <w:tc>
          <w:tcPr>
            <w:tcW w:w="1903" w:type="dxa"/>
            <w:vAlign w:val="center"/>
          </w:tcPr>
          <w:p>
            <w:pPr>
              <w:spacing w:before="20" w:after="20" w:line="252" w:lineRule="auto"/>
              <w:ind w:firstLine="0"/>
              <w:jc w:val="left"/>
            </w:pPr>
            <w:r>
              <w:rPr>
                <w:sz w:val="24"/>
              </w:rPr>
              <w:t xml:space="preserve">Danh mục số, nhóm trạng thái đã cấp; văn bằng gốc</w:t>
            </w:r>
          </w:p>
        </w:tc>
        <w:tc>
          <w:tcPr>
            <w:tcW w:w="2239" w:type="dxa"/>
            <w:vAlign w:val="center"/>
          </w:tcPr>
          <w:p>
            <w:pPr>
              <w:spacing w:before="20" w:after="20" w:line="252" w:lineRule="auto"/>
              <w:ind w:firstLine="0"/>
              <w:jc w:val="left"/>
            </w:pPr>
            <w:r>
              <w:rPr>
                <w:sz w:val="24"/>
              </w:rPr>
              <w:t xml:space="preserve">Từ 03 văn bằng mỗi năm theo mục 1.11 Kế hoạch 07/KH-ĐHTĐ, không gồm nhãn hiệu; văn bằng từ kết quả nghiên cứu theo dõi riêng</w:t>
            </w:r>
          </w:p>
          <w:p>
            <w:pPr>
              <w:spacing w:before="20" w:after="20" w:line="252" w:lineRule="auto"/>
              <w:ind w:firstLine="0"/>
              <w:jc w:val="left"/>
            </w:pPr>
            <w:r>
              <w:rPr>
                <w:sz w:val="24"/>
              </w:rPr>
              <w:t xml:space="preserve">100%</w:t>
            </w:r>
          </w:p>
        </w:tc>
      </w:tr>
      <w:tr>
        <w:trPr/>
        <w:tc>
          <w:tcPr>
            <w:tcW w:w="1343" w:type="dxa"/>
            <w:vAlign w:val="center"/>
          </w:tcPr>
          <w:p>
            <w:pPr>
              <w:spacing w:before="20" w:after="20" w:line="252" w:lineRule="auto"/>
              <w:ind w:firstLine="0"/>
              <w:jc w:val="left"/>
            </w:pPr>
            <w:r>
              <w:rPr>
                <w:sz w:val="24"/>
              </w:rPr>
              <w:t xml:space="preserve">Khai thác</w:t>
            </w:r>
          </w:p>
        </w:tc>
        <w:tc>
          <w:tcPr>
            <w:tcW w:w="3583" w:type="dxa"/>
            <w:vAlign w:val="center"/>
          </w:tcPr>
          <w:p>
            <w:pPr>
              <w:spacing w:before="20" w:after="20" w:line="252" w:lineRule="auto"/>
              <w:ind w:firstLine="0"/>
              <w:jc w:val="left"/>
            </w:pPr>
            <w:r>
              <w:rPr>
                <w:sz w:val="24"/>
              </w:rPr>
              <w:t xml:space="preserve">12. Số hợp đồng chuyển giao, cấp phép</w:t>
            </w:r>
          </w:p>
          <w:p>
            <w:pPr>
              <w:spacing w:before="20" w:after="20" w:line="252" w:lineRule="auto"/>
              <w:ind w:firstLine="0"/>
              <w:jc w:val="left"/>
            </w:pPr>
            <w:r>
              <w:rPr>
                <w:sz w:val="24"/>
              </w:rPr>
              <w:t xml:space="preserve">13. Nguồn thu từ khai thác và khoản chi trả cho tác giả, tách theo thưởng, thù lao, nhuận bút</w:t>
            </w:r>
          </w:p>
        </w:tc>
        <w:tc>
          <w:tcPr>
            <w:tcW w:w="1903" w:type="dxa"/>
            <w:vAlign w:val="center"/>
          </w:tcPr>
          <w:p>
            <w:pPr>
              <w:spacing w:before="20" w:after="20" w:line="252" w:lineRule="auto"/>
              <w:ind w:firstLine="0"/>
              <w:jc w:val="left"/>
            </w:pPr>
            <w:r>
              <w:rPr>
                <w:sz w:val="24"/>
              </w:rPr>
              <w:t xml:space="preserve">Hợp đồng; sổ kế toán</w:t>
            </w:r>
          </w:p>
        </w:tc>
        <w:tc>
          <w:tcPr>
            <w:tcW w:w="2239" w:type="dxa"/>
            <w:vAlign w:val="center"/>
          </w:tcPr>
          <w:p>
            <w:pPr>
              <w:spacing w:before="20" w:after="20" w:line="252" w:lineRule="auto"/>
              <w:ind w:firstLine="0"/>
              <w:jc w:val="left"/>
            </w:pPr>
            <w:r>
              <w:rPr>
                <w:sz w:val="24"/>
              </w:rPr>
              <w:t xml:space="preserve">Từ 01 hợp đồng mỗi năm theo mục 1.12 Kế hoạch 07/KH-ĐHTĐ</w:t>
            </w:r>
          </w:p>
          <w:p>
            <w:pPr>
              <w:spacing w:before="20" w:after="20" w:line="252" w:lineRule="auto"/>
              <w:ind w:firstLine="0"/>
              <w:jc w:val="left"/>
            </w:pPr>
            <w:r>
              <w:rPr>
                <w:sz w:val="24"/>
              </w:rPr>
              <w:t xml:space="preserve">Theo dõi hằng năm; công khai số liệu tổng hợp</w:t>
            </w:r>
          </w:p>
        </w:tc>
      </w:tr>
    </w:tbl>
    <w:p w14:paraId="645FDCAF" w14:textId="77777777" w:rsidR="005B561C" w:rsidRPr="000F7C87" w:rsidRDefault="00000000">
      <w:pPr>
        <w:spacing w:after="160"/>
        <w:ind w:firstLine="0"/>
        <w:rPr>
          <w:szCs w:val="26"/>
        </w:rPr>
      </w:pPr>
      <w:r w:rsidRPr="000F7C87">
        <w:rPr>
          <w:i/>
          <w:szCs w:val="26"/>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KẾT LUẬN VÀ KIẾN NGHỊ</w:t>
      </w:r>
    </w:p>
    <w:p w14:paraId="6067EC56" w14:textId="77777777" w:rsidR="005B561C" w:rsidRPr="000F7C87" w:rsidRDefault="00000000">
      <w:pPr>
        <w:spacing w:before="280" w:after="160"/>
        <w:ind w:firstLine="0"/>
        <w:outlineLvl w:val="1"/>
        <w:rPr>
          <w:szCs w:val="26"/>
        </w:rPr>
      </w:pPr>
      <w:r w:rsidRPr="000F7C87">
        <w:rPr>
          <w:b/>
          <w:szCs w:val="26"/>
        </w:rPr>
        <w:t>1. Kết luận</w:t>
      </w:r>
    </w:p>
    <w:p w14:paraId="48E95726" w14:textId="77777777" w:rsidR="005B561C" w:rsidRPr="000F7C87" w:rsidRDefault="00000000">
      <w:pPr>
        <w:rPr>
          <w:szCs w:val="26"/>
        </w:rPr>
      </w:pPr>
      <w:r w:rsidRPr="000F7C87">
        <w:rPr>
          <w:szCs w:val="26"/>
        </w:rPr>
        <w:t xml:space="preserve">Đề tài đã hoàn thành ba mục tiêu cụ thể đặt ra. Về lý luận và pháp lý, Đề tài đã hệ thống hóa khái niệm, đặc điểm của tài sản trí tuệ trong trường đại học, xây dựng chu trình quản lý bốn giai đoạn, bộ tiêu chí đánh giá theo chuỗi và khung phân tích; đồng thời làm rõ những thay đổi căn bản của Luật số 93/2025/QH15 và Luật số 131/2025/QH15, trong đó có cơ chế tự động giao quyền, quyền tự quyết về thương mại hóa của tổ chức chủ trì và mức thưởng tối thiểu 30% cho tác giả đối với kết quả sử dụng ngân sách nhà nước.</w:t>
      </w:r>
    </w:p>
    <w:p w14:paraId="48E95726" w14:textId="77777777" w:rsidR="005B561C" w:rsidRPr="000F7C87" w:rsidRDefault="00000000">
      <w:pPr>
        <w:rPr>
          <w:szCs w:val="26"/>
        </w:rPr>
      </w:pPr>
      <w:r w:rsidRPr="000F7C87">
        <w:rPr>
          <w:szCs w:val="26"/>
        </w:rPr>
        <w:t xml:space="preserve">Về thực trạng, Trường Đại học Thành Đô có tầm nhìn thể chế sớm, năng lực công bố tăng nhanh, 11 hồ sơ tài sản trí tuệ trong kỳ 2021 - 2025, trong đó 4 tài sản đã được cấp văn bằng, giấy chứng nhận và 5 kiểu dáng công nghiệp cần xác nhận trạng thái, và chiến lược hợp tác đại học với doanh nghiệp mà Ban Giám hiệu đã dày công kết nối đã mang lại thành công nổi bật. Tiềm năng tài sản trí tuệ là rõ ràng, đặc biệt ở khối ngành Y - Dược, với 11 trên 38 đề tài có sản phẩm tiềm năng, trong đó 9 thuộc sở hữu công nghiệp nhưng mới 1 đề tài có đơn. Độ trễ thể chế trước sự thay đổi dồn dập của pháp luật quốc gia giai đoạn 2025 - 2026 làm phát sinh nhu cầu rà soát phạm vi áp dụng của quy chế từ cuối năm 2025. Đối với kết quả của kỳ đánh giá, hồ sơ hiện có chưa đủ để xác định nguyên nhân chính; Đề tài nêu các yếu tố có thể đang cản trở và cần được kiểm chứng: trong hồ sơ được tiếp cận chưa thấy biểu mẫu rà soát khả năng bảo hộ tại nghiệm thu và chưa thấy dự toán riêng cho bước đăng ký; cách hiểu và thứ tự áp dụng các quy định về lợi ích của tác giả chưa được thống nhất. Qua đối chiếu theo từng tình huống, Đề tài chưa xác định được trường hợp các quy định nội bộ áp dụng không tương thích cho cùng một tài sản, nhưng phạm vi và thứ tự áp dụng chưa được làm rõ; mức trần 100 triệu đồng tại Quyết định 213 cần được rà soát đối với các trường hợp thuộc phạm vi Điều 28 Luật số 93/2025/QH15 và Điều 34 Nghị định số 267/2025/NĐ-CP.</w:t>
      </w:r>
    </w:p>
    <w:p w14:paraId="48E95726" w14:textId="77777777" w:rsidR="005B561C" w:rsidRPr="000F7C87" w:rsidRDefault="00000000">
      <w:pPr>
        <w:rPr>
          <w:szCs w:val="26"/>
        </w:rPr>
      </w:pPr>
      <w:r w:rsidRPr="000F7C87">
        <w:rPr>
          <w:szCs w:val="26"/>
        </w:rPr>
        <w:t xml:space="preserve">Về giải pháp, Đề tài đề xuất năm nhóm giải pháp đồng bộ: hoàn thiện quy chế với cơ chế lợi ích của tác giả theo nguồn hình thành tài sản, thời điểm giao nhiệm vụ và loại đối tượng; giao đầu mối, cơ chế phối hợp và bố trí nhân sự theo giai đoạn; chuẩn hóa quy trình 8 khâu với khai báo, sàng lọc, xem xét bảo mật trước khi công bố, luồng nộp đơn sớm không chờ nghiệm thu và bước kiểm tra tại nghiệm thu; lập dòng dự toán cho bước xác lập quyền và chuẩn bị phương án khai thác theo điều kiện chuyển bước; phát triển đào tạo và văn hóa sở hữu trí tuệ. Các giải pháp đi kèm kế hoạch thí điểm tại Viện Y - Dược, lộ trình ba giai đoạn đến năm 2030 và bộ chỉ số phân tầng từ sàng lọc, đơn nộp, văn bằng đến khai thác.</w:t>
      </w:r>
    </w:p>
    <w:p w14:paraId="6067EC56" w14:textId="77777777" w:rsidR="005B561C" w:rsidRPr="000F7C87" w:rsidRDefault="00000000">
      <w:pPr>
        <w:spacing w:before="280" w:after="160"/>
        <w:ind w:firstLine="0"/>
        <w:outlineLvl w:val="1"/>
        <w:rPr>
          <w:szCs w:val="26"/>
        </w:rPr>
      </w:pPr>
      <w:r w:rsidRPr="000F7C87">
        <w:rPr>
          <w:b/>
          <w:szCs w:val="26"/>
        </w:rPr>
        <w:t>2. Kiến nghị với cơ quan quản lý nhà nước</w:t>
      </w:r>
    </w:p>
    <w:p w14:paraId="48E95726" w14:textId="77777777" w:rsidR="005B561C" w:rsidRPr="000F7C87" w:rsidRDefault="00000000">
      <w:pPr>
        <w:rPr>
          <w:szCs w:val="26"/>
        </w:rPr>
      </w:pPr>
      <w:r w:rsidRPr="000F7C87">
        <w:rPr>
          <w:szCs w:val="26"/>
        </w:rPr>
        <w:t xml:space="preserve">Nghị định số 267/2025/NĐ-CP đã quy định chi tiết việc giao quyền, thương mại hóa và phân chia lợi nhuận đối với kết quả nhiệm vụ sử dụng ngân sách nhà nước, kể cả với tổ chức chủ trì ngoài công lập. Trên cơ sở đối chiếu, Đề tài kiến nghị Bộ Khoa học và Công nghệ hướng dẫn bổ sung hai vấn đề mà quy định hiện hành chưa nêu rõ cho trường hợp của đề tài: một là, phương pháp xác định lợi nhuận sau thuế tương ứng với một kết quả cụ thể, làm căn cứ thưởng tác giả theo khoản 3 Điều 28 Luật số 93/2025/QH15, khi kết quả được hình thành từ cả kinh phí ngân sách nhà nước và kinh phí đối ứng của tổ chức chủ trì; hai là, cơ sở tính mức tối thiểu 10% cho tổ chức trung gian, môi giới tại khoản 2 Điều 34 Nghị định, vì quy định vừa nêu lợi nhuận thu được vừa nêu giá trị của hợp đồng.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p w14:paraId="6067EC56" w14:textId="77777777" w:rsidR="005B561C" w:rsidRPr="000F7C87" w:rsidRDefault="00000000">
      <w:pPr>
        <w:spacing w:before="280" w:after="160"/>
        <w:ind w:firstLine="0"/>
        <w:outlineLvl w:val="1"/>
        <w:rPr>
          <w:szCs w:val="26"/>
        </w:rPr>
      </w:pPr>
      <w:r w:rsidRPr="000F7C87">
        <w:rPr>
          <w:b/>
          <w:szCs w:val="26"/>
        </w:rPr>
        <w:t>3. Kiến nghị với Hội đồng trường và Ban Giám hiệu Trường Đại học Thành Đô</w:t>
      </w:r>
    </w:p>
    <w:p w14:paraId="48E95726" w14:textId="77777777" w:rsidR="005B561C" w:rsidRPr="000F7C87" w:rsidRDefault="00000000">
      <w:pPr>
        <w:rPr>
          <w:szCs w:val="26"/>
        </w:rPr>
      </w:pPr>
      <w:r w:rsidRPr="000F7C87">
        <w:rPr>
          <w:szCs w:val="26"/>
        </w:rPr>
        <w:t xml:space="preserve">Thứ nhất, chỉ đạo hoàn thiện Quy chế quản trị tài sản trí tuệ trên nền Quyết định 217, hợp nhất các quy định về sở hữu trí tuệ của Quyết định 213 và thống nhất với Quy chế chi tiêu nội bộ, trong đó xác định phạm vi và thứ tự áp dụng các quy định về lợi ích của tác giả, phân biệt thưởng, thù lao, nhuận bút, bảo đảm mức tối thiểu theo Điều 28 Luật số 93/2025/QH15 cho các trường hợp thuộc phạm vi áp dụng của Luật, và quy định cách xác định lợi nhuận, mẫu thỏa thuận chia thưởng giữa các đồng tác giả theo Điều 34 Nghị định số 267/2025/NĐ-CP.</w:t>
      </w:r>
    </w:p>
    <w:p w14:paraId="48E95726" w14:textId="77777777" w:rsidR="005B561C" w:rsidRPr="000F7C87" w:rsidRDefault="00000000">
      <w:pPr>
        <w:rPr>
          <w:szCs w:val="26"/>
        </w:rPr>
      </w:pPr>
      <w:r w:rsidRPr="000F7C87">
        <w:rPr>
          <w:szCs w:val="26"/>
        </w:rPr>
        <w:t xml:space="preserve">Thứ hai, bổ sung phiếu khai báo và phiếu rà soát vào các biểu mẫu đề xuất, thuyết minh, hợp đồng, nghiệm thu hiện có; cho phép quyết định đăng ký và cấp kinh phí ngay trong quá trình nghiên cứu khi kết quả cần được bảo vệ trước khi công bố; quản lý danh mục số tài sản trí tuệ có phân quyền và chỉ công khai dữ liệu được phép công bố; rà soát tình trạng bộc lộ của 6 đề tài mã số 2021 - 2024 có sản phẩm tiềm năng sở hữu công nghiệp và xác nhận trạng thái pháp lý của 5 kiểu dáng công nghiệp.</w:t>
      </w:r>
    </w:p>
    <w:p w14:paraId="48E95726" w14:textId="77777777" w:rsidR="005B561C" w:rsidRPr="000F7C87" w:rsidRDefault="00000000">
      <w:pPr>
        <w:rPr>
          <w:szCs w:val="26"/>
        </w:rPr>
      </w:pPr>
      <w:r w:rsidRPr="000F7C87">
        <w:rPr>
          <w:szCs w:val="26"/>
        </w:rPr>
        <w:t xml:space="preserve">Thứ ba, lập dòng dự toán cho phí nộp đơn, phí đại diện, phí duy trì hiệu lực văn bằng, quy định người đề xuất chi và cách tạm ứng; giao đầu mối kiêm nhiệm tại Phòng Khoa học Công nghệ và Bộ phận Pháp chế, xem xét vị trí chuyên trách khi khối lượng hồ sơ đạt ngưỡng; triển khai kế hoạch thí điểm tại Viện Y - Dược và đánh giá theo bộ chỉ số sau mỗi năm.</w:t>
      </w:r>
    </w:p>
    <w:p w14:paraId="48E95726" w14:textId="77777777" w:rsidR="005B561C" w:rsidRPr="000F7C87" w:rsidRDefault="00000000">
      <w:pPr>
        <w:rPr>
          <w:szCs w:val="26"/>
        </w:rPr>
      </w:pPr>
      <w:r w:rsidRPr="000F7C87">
        <w:rPr>
          <w:szCs w:val="26"/>
        </w:rPr>
        <w:t xml:space="preserve">Thứ tư, tiếp tục phát huy chiến lược hợp tác với doanh nghiệp, đồng thời chủ động phát triển thêm tài sản trí tuệ thuộc sở hữu riêng của Nhà trường từ đề tài cấp cơ sở và ba đề tài cấp quốc gia đang thực hiện.</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TÀI LIỆU THAM KHẢO</w:t>
      </w:r>
    </w:p>
    <w:p w14:paraId="0DE297E1" w14:textId="77777777" w:rsidR="005B561C" w:rsidRPr="000F7C87" w:rsidRDefault="00000000">
      <w:pPr>
        <w:spacing w:before="200" w:after="100"/>
        <w:ind w:firstLine="0"/>
        <w:rPr>
          <w:szCs w:val="26"/>
        </w:rPr>
      </w:pPr>
      <w:r w:rsidRPr="000F7C87">
        <w:rPr>
          <w:b/>
          <w:szCs w:val="26"/>
        </w:rPr>
        <w:t>A. Văn bản pháp luật, văn bản chỉ đạo và văn bản của Trường Đại học Thành Đô</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(2023). </w:t>
      </w:r>
      <w:r w:rsidRPr="000F7C87">
        <w:rPr>
          <w:szCs w:val="26"/>
          <w:i/>
        </w:rPr>
        <w:t xml:space="preserve">Nghị định số 17/2023/NĐ-CP ngày 26 tháng 4 năm 2023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(2025). </w:t>
      </w:r>
      <w:r w:rsidRPr="000F7C87">
        <w:rPr>
          <w:szCs w:val="26"/>
          <w:i/>
        </w:rPr>
        <w:t xml:space="preserve">Nghị định số 267/2025/NĐ-CP ngày 14 tháng 10 năm 2025 quy định chi tiết và hướng dẫn một số điều của Luật Khoa học, công nghệ và đổi mới sáng tạo về chương trình, nhiệm vụ khoa học, công nghệ và đổi mới sáng tạo và một số quy định về thúc đẩy hoạt động nghiên cứu khoa học, phát triển công nghệ và đổi mới sáng tạo</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(2009). </w:t>
      </w:r>
      <w:r w:rsidRPr="000F7C87">
        <w:rPr>
          <w:szCs w:val="26"/>
          <w:i/>
        </w:rPr>
        <w:t xml:space="preserve">Luật số 36/2009/QH12 ngày 19 tháng 6 năm 2009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số 123/2025/QH15 ngày 10 tháng 12 năm 2025 sửa đổi, bổ sung một số điều của Luật Giáo dục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(2025). </w:t>
      </w:r>
      <w:r w:rsidRPr="000F7C87">
        <w:rPr>
          <w:szCs w:val="26"/>
          <w:i/>
        </w:rPr>
        <w:t xml:space="preserve">Điều lệ Quỹ Học bổng sau tiến sĩ Ngô Xuân Độ</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DE297E1" w14:textId="77777777" w:rsidR="005B561C" w:rsidRPr="000F7C87" w:rsidRDefault="00000000">
      <w:pPr>
        <w:spacing w:before="200" w:after="100"/>
        <w:ind w:firstLine="0"/>
        <w:rPr>
          <w:szCs w:val="26"/>
        </w:rPr>
      </w:pPr>
      <w:r w:rsidRPr="000F7C87">
        <w:rPr>
          <w:b/>
          <w:szCs w:val="26"/>
        </w:rPr>
        <w:t>B. Tài liệu tiếng Việt</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Trường Đại học Mở Hà Nội</w:t>
      </w:r>
      <w:r w:rsidRPr="000F7C87">
        <w:rPr>
          <w:szCs w:val="26"/>
        </w:rPr>
        <w:t xml:space="preserve">, (129), 75-86. https://doi.org/10.59266/houjs.2025.606</w:t>
      </w:r>
    </w:p>
    <w:p w14:paraId="0DE297E1" w14:textId="77777777" w:rsidR="005B561C" w:rsidRPr="000F7C87" w:rsidRDefault="00000000">
      <w:pPr>
        <w:spacing w:before="200" w:after="100"/>
        <w:ind w:firstLine="0"/>
        <w:rPr>
          <w:szCs w:val="26"/>
        </w:rPr>
      </w:pPr>
      <w:r w:rsidRPr="000F7C87">
        <w:rPr>
          <w:b/>
          <w:szCs w:val="26"/>
        </w:rPr>
        <w:t>C. Tài liệu tiếng nước ngoài</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Fisher, W. (2001). Theories of intellectual property. In S. R. Munzer (Ed.), </w:t>
      </w:r>
      <w:r w:rsidRPr="000F7C87">
        <w:rPr>
          <w:szCs w:val="26"/>
          <w:i/>
        </w:rPr>
        <w:t xml:space="preserve">New essays in the legal and political theory of property</w:t>
      </w:r>
      <w:r w:rsidRPr="000F7C87">
        <w:rPr>
          <w:szCs w:val="26"/>
        </w:rPr>
        <w:t xml:space="preserve"> (pp. 168-199). Cambridge University Press.</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Guan, W. (2014). Intellectual property: Concept, history, and contentions. In </w:t>
      </w:r>
      <w:r w:rsidRPr="000F7C87">
        <w:rPr>
          <w:szCs w:val="26"/>
          <w:i/>
        </w:rPr>
        <w:t xml:space="preserve">Intellectual property theory and practice: A critical examination of China's TRIPS compliance and beyond</w:t>
      </w:r>
      <w:r w:rsidRPr="000F7C87">
        <w:rPr>
          <w:szCs w:val="26"/>
        </w:rPr>
        <w:t xml:space="preserve"> (pp. 1-10). Springer. https://doi.org/10.1007/978-3-642-55265-6_1</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sectPr w:rsidR="005B561C" w:rsidRPr="000F7C87" w:rsidSect="00034616">
      <w:footerReference w:type="default" r:id="rId27"/>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5.png"/><Relationship Id="rId14" Type="http://schemas.openxmlformats.org/officeDocument/2006/relationships/chart" Target="charts/chart3.xml"/><Relationship Id="rId15" Type="http://schemas.openxmlformats.org/officeDocument/2006/relationships/chart" Target="charts/chart4.xml"/><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87096774193548387"/>
          <c:h val="0.6777777777777777"/>
        </c:manualLayout>
      </c:layout>
      <c:lineChart>
        <c:grouping val="standard"/>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dLbls>
            <c:dLbl>
              <c:idx val="0"/>
              <c:delete val="1"/>
            </c:dLbl>
            <c:dLbl>
              <c:idx val="1"/>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bộ 38 đề tài, mã số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ser>
        <c:ser>
          <c:idx val="1"/>
          <c:order val="1"/>
          <c:tx>
            <c:strRef>
              <c:f>'Du_lieu'!$C$1</c:f>
              <c:strCache>
                <c:ptCount val="1"/>
                <c:pt idx="0">
                  <c:v>Đề tài mã số 2021 - 2024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24193548387096774"/>
          <c:w val="0.55161290322580647"/>
          <c:h val="0.88709677419354838"/>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