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line="312" w:lineRule="auto"/>
        <w:ind w:firstLine="0"/>
        <w:jc w:val="center"/>
      </w:pPr>
      <w:r>
        <w:rPr>
          <w:rFonts w:ascii="Times New Roman" w:hAnsi="Times New Roman"/>
          <w:b/>
          <w:i w:val="0"/>
          <w:color w:val="000000"/>
          <w:sz w:val="28"/>
        </w:rPr>
        <w:t>BÁO CÁO TOÀN VĂN TỔNG KẾT ĐỀ TÀI KHOA HỌC VÀ CÔNG NGHỆ CẤP CƠ SỞ</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**Tên đề tài:** Nghiên cứu giải pháp nâng cao hiệu quả quản lý quyền sở hữu trí tuệ tại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**Mã số đề tài:** ĐTCS-2026-SHTT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chủ trì:**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**Chủ nhiệm đề tài:** ThS. Nguyễn Thị Tố Uyên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công tác:** Viện Quản trị và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**Thời gian thực hiện:** Từ tháng 03/2026 đến tháng 11/2026</w:t>
      </w:r>
    </w:p>
    <w:p>
      <w:pPr>
        <w:pageBreakBefore/>
        <w:spacing w:before="320" w:after="240" w:line="312" w:lineRule="auto"/>
        <w:ind w:firstLine="0"/>
        <w:jc w:val="center"/>
      </w:pPr>
      <w:r>
        <w:rPr>
          <w:rFonts w:ascii="Times New Roman" w:hAnsi="Times New Roman"/>
          <w:b/>
          <w:i w:val="0"/>
          <w:color w:val="000000"/>
          <w:sz w:val="28"/>
        </w:rPr>
        <w:t>MỤC LỤC TỔNG QUAN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**MỞ ĐẦU**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 Tính cấp thiết của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 Tổng quan tình hình nghiên cứu trong và ngoài nước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2.1. Công trình khoa học liên quan của Việt Nam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2.2. Công trình khoa học liên quan của nước ngoài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2.3. Đánh giá tổng hợp và khoảng trống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Danh mục tài liệu nghiên cứu đã trích dẫn trong phần tổng quan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 Mục tiêu nghiên cứu của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4. Đóng góp mới của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5. Đối tượng và phạm vi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6. Cách tiếp cận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7. Phương pháp nghiên cứu, kỹ thuật sử dụng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8. Bố cục của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**CHƯƠNG 1. CƠ SỞ LÝ LUẬN VỀ QUẢN LÝ QUYỀN SỞ HỮU TRÍ TUỆ TRONG TRƯỜNG ĐẠI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1.1. Khái niệm và vai trò của quyền sở hữu trí tuệ trong trường đại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1.2. Nội dung quản lý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1.2.1. Sáng tạo tài sản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1.2.2. Xác lập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1.2.3. Khai thác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1.2.4. Bảo vệ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TIỂU KẾT CHƯƠNG 1</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**CHƯƠNG 2. THỰC TRẠNG QUẢN LÝ QUYỀN SỞ HỮU TRÍ TUỆ TẠI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2.1. Khái quát về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2.2. Thực trạng quản lý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2.2.1. Sáng tạo tài sản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2.2.2. Xác lập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2.2.3. Khai thác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2.2.4. Bảo vệ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2.3. Đánh giá chung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2.3.1. Kết quả đạt được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2.3.2. Hạn chế và nguyên nhân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TIỂU KẾT CHƯƠNG 2</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**CHƯƠNG 3. GIẢI PHÁP NÂNG CAO HIỆU QUẢ QUẢN LÝ QUYỀN SỞ HỮU TRÍ TUỆ TẠI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3.1. Các giải pháp đề xuất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3.1.1. Nâng cao hiệu quả hoạt động sáng tạo và nhận diện tài sản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3.1.2. Sàng lọc và hỗ trợ xác lập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3.1.3. Thúc đẩy khai thác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3.1.4. Tăng cường bảo vệ quyền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3.2. Kế hoạch tổ chức thực hiện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TIỂU KẾT CHƯƠNG 3</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**KẾT LUẬN VÀ KIẾN NGHỊ**</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1. Kết luận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2. Kiến nghị với cơ quan quản lý nhà nước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3. Kiến nghị với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**DANH MỤC TÀI LIỆU THAM KHẢO**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**PHỤ LỤC**</w:t>
      </w:r>
    </w:p>
    <w:p>
      <w:pPr>
        <w:pageBreakBefore/>
        <w:spacing w:before="320" w:after="240" w:line="312" w:lineRule="auto"/>
        <w:ind w:firstLine="0"/>
        <w:jc w:val="center"/>
      </w:pPr>
      <w:r>
        <w:rPr>
          <w:rFonts w:ascii="Times New Roman" w:hAnsi="Times New Roman"/>
          <w:b/>
          <w:i w:val="0"/>
          <w:color w:val="000000"/>
          <w:sz w:val="28"/>
        </w:rPr>
        <w:t>MỞ ĐẦU</w:t>
      </w:r>
    </w:p>
    <w:p>
      <w:pPr>
        <w:spacing w:before="160" w:after="80" w:line="312" w:lineRule="auto"/>
        <w:ind w:firstLine="0"/>
        <w:jc w:val="both"/>
      </w:pPr>
      <w:r>
        <w:rPr>
          <w:rFonts w:ascii="Times New Roman" w:hAnsi="Times New Roman"/>
          <w:b/>
          <w:i/>
          <w:color w:val="000000"/>
          <w:sz w:val="26"/>
        </w:rPr>
        <w:t>1. Tính cấp thiết của đề tài</w:t>
      </w:r>
    </w:p>
    <w:p>
      <w:pPr>
        <w:spacing w:before="40" w:after="80" w:line="312" w:lineRule="auto"/>
        <w:ind w:firstLine="720"/>
        <w:jc w:val="both"/>
      </w:pPr>
      <w:r>
        <w:rPr>
          <w:rFonts w:ascii="Times New Roman" w:hAnsi="Times New Roman"/>
          <w:b w:val="0"/>
          <w:i w:val="0"/>
          <w:color w:val="000000"/>
          <w:sz w:val="26"/>
        </w:rPr>
        <w:t>Trường Đại học Thành Đô đang trong quá trình phát triển hệ sinh thái giáo dục đại học đa ngành, đa lĩnh vực theo định hướng ứng dụng. Hoạt động đào tạo, nghiên cứu khoa học và chuyển giao công nghệ trong hệ sinh thái này làm phát sinh các tài sản trí tuệ đa dạng (bao gồm giáo trình, bài giảng số, phần mềm máy tính, kiểu dáng công nghiệp, nhãn hiệu, sáng chế và giải pháp hữu ích) từ nhiều nhóm chủ thể tham gia như cán bộ quản lý, giảng viên nghiên cứu, người học và đối tác doanh nghiệp.</w:t>
      </w:r>
    </w:p>
    <w:p>
      <w:pPr>
        <w:spacing w:before="40" w:after="80" w:line="312" w:lineRule="auto"/>
        <w:ind w:firstLine="720"/>
        <w:jc w:val="both"/>
      </w:pPr>
      <w:r>
        <w:rPr>
          <w:rFonts w:ascii="Times New Roman" w:hAnsi="Times New Roman"/>
          <w:b w:val="0"/>
          <w:i w:val="0"/>
          <w:color w:val="000000"/>
          <w:sz w:val="26"/>
        </w:rPr>
        <w:t>Thực tiễn cho thấy, cơ chế quản trị tài sản trí tuệ theo chiều dọc truyền thống gặp nhiều hạn chế và bất cập khi áp dụng vào các hoạt động có tính chất đồng sáng tạo và nghiên cứu ứng dụng. Việc xác định quyền sở hữu, cơ chế bảo hộ và phương thức khai thác thương mại đối với các tài sản trí tuệ hình thành từ sự phối hợp giữa nhà trường, sinh viên và doanh nghiệp đòi hỏi một khung quản trị minh bạch, linh hoạt và chuyên nghiệp hơn.</w:t>
      </w:r>
    </w:p>
    <w:p>
      <w:pPr>
        <w:spacing w:before="40" w:after="80" w:line="312" w:lineRule="auto"/>
        <w:ind w:firstLine="720"/>
        <w:jc w:val="both"/>
      </w:pPr>
      <w:r>
        <w:rPr>
          <w:rFonts w:ascii="Times New Roman" w:hAnsi="Times New Roman"/>
          <w:b w:val="0"/>
          <w:i w:val="0"/>
          <w:color w:val="000000"/>
          <w:sz w:val="26"/>
        </w:rPr>
        <w:t>Đặc biệt trong giai đoạn 2025 - 2026, hệ thống pháp luật của Nhà nước có sự hoàn thiện vượt bậc với Luật Sở hữu trí tuệ sửa đổi, Luật Khoa học, công nghệ và đổi mới sáng tạo năm 2025, Luật Giáo dục đại học sửa đổi, cùng Chuẩn cơ sở giáo dục đại học mới. Các văn bản này trao quyền tự chủ mạnh mẽ cho nhà trường trong định đoạt tài sản trí tuệ, đồng thời quy định mức thù lao tối thiểu bắt buộc từ 30% đến 50% cho tác giả sáng chế. Bối cảnh đó đòi hỏi Trường Đại học Thành Đô phải thiết lập một khung quản lý đồng bộ theo chu trình khép kín bốn khâu: sáng tạo, xác lập, khai thác và bảo vệ tài sản trí tuệ.</w:t>
      </w:r>
    </w:p>
    <w:p>
      <w:pPr>
        <w:spacing w:before="40" w:after="80" w:line="312" w:lineRule="auto"/>
        <w:ind w:firstLine="720"/>
        <w:jc w:val="both"/>
      </w:pPr>
      <w:r>
        <w:rPr>
          <w:rFonts w:ascii="Times New Roman" w:hAnsi="Times New Roman"/>
          <w:b w:val="0"/>
          <w:i w:val="0"/>
          <w:color w:val="000000"/>
          <w:sz w:val="26"/>
        </w:rPr>
        <w:t>Do đó, việc thực hiện đề tài *"Nghiên cứu giải pháp nâng cao hiệu quả quản lý quyền sở hữu trí tuệ tại Trường Đại học Thành Đô"* là một đòi hỏi cấp bách cả về mặt khoa học lẫn thực tiễn, nhằm cung cấp luận cứ lý luận và căn cứ thực chứng để Nhà trường hoàn thiện thể chế nội bộ, tối ưu hóa nguồn lực khoa học công nghệ, bảo vệ thành quả nghiên cứu và gia tăng nguồn thu tự chủ bền vững.</w:t>
      </w:r>
    </w:p>
    <w:p>
      <w:pPr>
        <w:spacing w:before="160" w:after="80" w:line="312" w:lineRule="auto"/>
        <w:ind w:firstLine="0"/>
        <w:jc w:val="both"/>
      </w:pPr>
      <w:r>
        <w:rPr>
          <w:rFonts w:ascii="Times New Roman" w:hAnsi="Times New Roman"/>
          <w:b/>
          <w:i/>
          <w:color w:val="000000"/>
          <w:sz w:val="26"/>
        </w:rPr>
        <w:t>2. Tổng quan tình hình nghiên cứu trong và ngoài nước</w:t>
      </w:r>
    </w:p>
    <w:p>
      <w:pPr>
        <w:spacing w:before="40" w:after="80" w:line="312" w:lineRule="auto"/>
        <w:ind w:firstLine="720"/>
        <w:jc w:val="both"/>
      </w:pPr>
      <w:r>
        <w:rPr>
          <w:rFonts w:ascii="Times New Roman" w:hAnsi="Times New Roman"/>
          <w:b w:val="0"/>
          <w:i w:val="0"/>
          <w:color w:val="000000"/>
          <w:sz w:val="26"/>
        </w:rPr>
        <w:t>#### 2.1. Công trình khoa học liên quan của Việt Nam</w:t>
      </w:r>
    </w:p>
    <w:p>
      <w:pPr>
        <w:spacing w:before="40" w:after="80" w:line="312" w:lineRule="auto"/>
        <w:ind w:firstLine="720"/>
        <w:jc w:val="both"/>
      </w:pPr>
      <w:r>
        <w:rPr>
          <w:rFonts w:ascii="Times New Roman" w:hAnsi="Times New Roman"/>
          <w:b w:val="0"/>
          <w:i w:val="0"/>
          <w:color w:val="000000"/>
          <w:sz w:val="26"/>
        </w:rPr>
        <w:t>Tại Việt Nam, cùng với sự hoàn thiện của hệ thống pháp luật về sở hữu trí tuệ (nhất là Luật Sở hữu trí tuệ sửa đổi, Luật Khoa học, công nghệ và đổi mới sáng tạo và các văn bản hướng dẫn thi hành), vấn đề quản lý và quản trị tài sản trí tuệ trong các cơ sở giáo dục đại học ngày càng thu hút sự quan tâm của giới nghiên cứu. Qua tìm hiểu các công trình công bố trong nước, các nghiên cứu tập trung vào ba hướng chính: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nhất, về cơ sở lý luận và nội dung quản lý sở hữu trí tuệ đại học:* Phạm Thúy Hằng (2019) đã hệ thống hóa các khái niệm nền tảng và xác định bốn nội dung quản lý cốt lõi trong trường đại học bao gồm: xây dựng thể chế quy chế nội bộ, tổ chức bộ máy quản lý, quản lý chu trình xác lập - đăng ký - khai thác tài sản trí tuệ, và nâng cao nhận thức bảo vệ quyền sở hữu trí tuệ. Phát triển sâu hơn ở góc độ quản trị chiến lược, Lê Thị Thu Hà và Nguyễn Thành Khang (2019) đề xuất mô hình quản trị tài sản trí tuệ đại học 5 bước (lập kế hoạch, tạo lập, đăng ký bảo hộ, khai thác thương mại và đánh giá hiệu quả), đồng thời chỉ ra thực trạng hạn chế của các trường đại học Việt Nam do thiếu nguồn lực tài chính bảo hộ quốc tế, thiếu cơ chế định giá tài sản trí tuệ và thiếu bộ phận chuyên trách.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hai, về thể chế nội bộ, quyền của tác giả và phân chia lợi ích tài chính:* Nguyễn Minh Huyền Trang (2025) nhấn mạnh bối cảnh chuyển đổi số và Cách mạng công nghiệp lần thứ tư bắt buộc các trường đại học phải ứng dụng công nghệ để hiện đại hóa quản trị tài sản trí tuệ. Đề cập đến khía cạnh pháp lý bảo vệ người sáng tạo, Võ Nguyên Hoàng Phúc (2025) phân tích quyền của các chủ thể trực tiếp sáng tạo nhưng không giữ quyền tài sản, chỉ ra điểm nghẽn lớn trong quy chế nội bộ của nhiều trường đại học khi chưa quy định cụ thể quyền lợi và thù lao cho tác giả đối với các sản phẩm hình thành từ nguồn lực nhà trường. Để giải quyết rào cản này, Lê Thị Thanh Tâm và Hoàng Đình Thái (2021) đề xuất nhóm giải pháp hoàn thiện quy chế, trong đó nhấn mạnh việc thành lập bộ phận chuyên trách sở hữu trí tuệ và xây dựng công thức phân chia tỷ lệ doanh thu thương mại hóa minh bạch giữa nhà trường và nhóm tác giả nhằm kích thích động lực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ba, về nghiên cứu mô hình quản lý quốc tế và đánh giá thực trạng toàn cảnh:* Phạm Thị Thúy Hằng và Nguyễn Thanh Hùng (2018) đã nghiên cứu chuyên sâu mô hình quản lý sở hữu trí tuệ 3 cấp thành công tại Đại học Thanh Hoa (Trung Quốc), rút ra bài học kinh nghiệm về việc thành lập văn phòng chuyển giao công nghệ độc lập và áp dụng chính sách chia sẻ lợi ích tài chính vượt trội (dành 50% - 70% doanh thu từ cấp phép cho tác giả). Ở quy mô toàn quốc, báo cáo của Cục Sở hữu trí tuệ và Bộ Khoa học và Công nghệ (2024) về thực trạng và thách thức sở hữu trí tuệ trong các cơ sở giáo dục đại học Việt Nam đã cung cấp dữ liệu thực chứng cho thấy số lượng đăng ký bảo hộ sáng chế và hợp đồng chuyển giao công nghệ của khối đại học còn rất khiêm tốn so với tiềm năng khoa học, xuất phát từ sự thiếu hụt thể chế quản trị nội bộ và cơ chế vận hành thương mại hóa chuyên nghiệp.</w:t>
      </w:r>
    </w:p>
    <w:p>
      <w:pPr>
        <w:spacing w:before="40" w:after="80" w:line="312" w:lineRule="auto"/>
        <w:ind w:firstLine="720"/>
        <w:jc w:val="both"/>
      </w:pPr>
      <w:r>
        <w:rPr>
          <w:rFonts w:ascii="Times New Roman" w:hAnsi="Times New Roman"/>
          <w:b w:val="0"/>
          <w:i w:val="0"/>
          <w:color w:val="000000"/>
          <w:sz w:val="26"/>
        </w:rPr>
        <w:t>#### 2.2. Công trình khoa học liên quan của nước ngoài</w:t>
      </w:r>
    </w:p>
    <w:p>
      <w:pPr>
        <w:spacing w:before="40" w:after="80" w:line="312" w:lineRule="auto"/>
        <w:ind w:firstLine="720"/>
        <w:jc w:val="both"/>
      </w:pPr>
      <w:r>
        <w:rPr>
          <w:rFonts w:ascii="Times New Roman" w:hAnsi="Times New Roman"/>
          <w:b w:val="0"/>
          <w:i w:val="0"/>
          <w:color w:val="000000"/>
          <w:sz w:val="26"/>
        </w:rPr>
        <w:t>Trên thế giới, các nghiên cứu về quản lý và quản trị tài sản trí tuệ đại học đã phát triển thành một lĩnh vực khoa học quản trị hiện đại với hệ thống lý thuyết phong phú và dữ liệu thực chứng đa dạng, tập trung vào ba hướng chính: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nhất, về sự chuyển dịch thể chế và các mô hình quản lý sở hữu trí tuệ đại học:* Trong tổng quan hệ thống từ 22 công trình nghiên cứu quốc tế lớn, Petra Maresova, Ruzena Stemberkova và Oluwaseun Fadeyi (2019) đã phân loại các mô hình quản lý chuyển giao công nghệ đại học theo bốn trụ cột (chiến lược nội bộ, đầu tư và thị trường, khởi nghiệp học thuật, và chính sách pháp lý), đồng thời khẳng định không có một mô hình duy nhất áp dụng cho mọi cơ sở mà các trường đại học phải tự điều chỉnh mô hình phù hợp với bối cảnh thể chế và nguồn lực cơ sở. Nghiên cứu của Marcus Holgersson (2021) do Cơ quan Sáng chế Châu Âu xuất bản đã phân tích sự chuyển dịch mang tính lịch sử tại các đại học Châu Âu từ quy chế quyền nhà sáng chế sang quy chế quyền sở hữu của đại học, đồng thời so sánh hiệu quả của các phương thức khai thác thương mại bao gồm cấp phép bản quyền, sáng chế, thành lập doanh nghiệp khởi nguồn từ kết quả nghiên cứu và áp dụng chiến lược sở hữu trí tuệ mở.</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hai, về vai trò, thách thức và chiến lược vận hành của Văn phòng Chuyển giao Công nghệ:* Perkmann và cộng sự (2013) phân biệt rõ giữa tương tác học thuật và hoạt động thương mại hóa sở hữu trí tuệ, chỉ ra rằng chính sách sở hữu trí tuệ của đại học cần tạo ra sự cân bằng giữa bảo hộ độc quyền và khuyến khích hợp tác nghiên cứu. Rialti và cộng sự (2022) cùng Bstieler, Hemmert và Barczak (2015) chứng minh rằng quy chế sở hữu trí tuệ minh bạch, linh hoạt là yếu tố cốt lõi xây dựng lòng tin trong hợp tác đại học - doanh nghiệp. Phân tích sâu về bộ máy vận hành, Özge Öztürk (2026) qua nghiên cứu khảo sát 96 chuyên gia tư vấn sở hữu trí tuệ tại các đại học Thổ Nhĩ Kỳ đã chứng minh Văn phòng Chuyển giao Công nghệ đóng vai trò quyết định trong việc nâng cao nhận thức và quản lý chu trình bảo hộ tài sản trí tuệ; đồng thời chỉ ra rào cản lớn nhất là sự thiếu hụt nhân sự có chứng chỉ chuyên môn sâu về sở hữu trí tuệ. Đồng quan điểm, Ravi Pandey, Ankur Agrawal và Sanjeeva Kumar Majumdar (2025) cùng Hemantkumar P. Bulsara và Pratiksinh S. Vaghela (2025) khẳng định để nâng cao hiệu quả chuyển giao công nghệ dựa trên sở hữu trí tuệ tại các nước đang phát triển, các đại học cần kết hợp chặt chẽ giữa Văn phòng Chuyển giao Công nghệ với các trung tâm ươm tạo doanh nghiệp, giảm thiểu thủ tục hành chính quan liêu và áp dụng mô hình định giá, phân chia doanh thu thương mại hóa linh hoạt (Teece, 2018).</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ba, về nâng cao hiệu quả quản lý, số hóa và đánh giá công tác sở hữu trí tuệ đại học:* Nhấn mạnh tầm quan trọng của việc hiện đại hóa quy trình, Marcus Holgersson (2021) và Özge Öztürk (2026) chỉ ra rằng việc ứng dụng các hệ thống phần mềm công nghệ thông tin cho phép tự động hóa và quản lý toàn bộ chu trình sống của tài sản trí tuệ: từ khâu tiếp nhận đề xuất sáng kiến, rà soát trùng lặp, theo dõi tiến độ đơn đăng ký bảo hộ cho đến quản lý hợp đồng cấp phép thương mại. Nhằm đo lường hiệu quả quản trị, Petra Maresova và cộng sự (2019) cùng Ravi Pandey và cộng sự (2025) đã tổng quan và đề xuất hệ thống chỉ số đánh giá hiệu quả dựa trên tỷ lệ đơn đăng ký bảo hộ thành công, số lượng hợp đồng chuyển giao công nghệ được ký kết, doanh thu từ thương mại hóa tài sản trí tuệ và mức độ tuân thủ quy chế sở hữu trí tuệ tại các cơ sở giáo dục đại học.</w:t>
      </w:r>
    </w:p>
    <w:p>
      <w:pPr>
        <w:spacing w:before="40" w:after="80" w:line="312" w:lineRule="auto"/>
        <w:ind w:firstLine="720"/>
        <w:jc w:val="both"/>
      </w:pPr>
      <w:r>
        <w:rPr>
          <w:rFonts w:ascii="Times New Roman" w:hAnsi="Times New Roman"/>
          <w:b w:val="0"/>
          <w:i w:val="0"/>
          <w:color w:val="000000"/>
          <w:sz w:val="26"/>
        </w:rPr>
        <w:t>#### 2.3. Đánh giá tổng hợp và khoảng trống nghiên cứu</w:t>
      </w:r>
    </w:p>
    <w:p>
      <w:pPr>
        <w:spacing w:before="40" w:after="80" w:line="312" w:lineRule="auto"/>
        <w:ind w:firstLine="720"/>
        <w:jc w:val="both"/>
      </w:pPr>
      <w:r>
        <w:rPr>
          <w:rFonts w:ascii="Times New Roman" w:hAnsi="Times New Roman"/>
          <w:b w:val="0"/>
          <w:i w:val="0"/>
          <w:color w:val="000000"/>
          <w:sz w:val="26"/>
        </w:rPr>
        <w:t>Tổng hợp toàn bộ các công trình nghiên cứu trong và ngoài nước cho thấy:</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mặt lý luận:* Các công trình quốc tế đã phát triển hoàn chỉnh các mô hình quản trị tài sản trí tuệ đại học và cơ chế vận hành của Văn phòng Chuyển giao Công nghệ, nhưng các mô hình này được xây dựng trên bối cảnh thể chế và nguồn lực tài chính của các đại học tiên tiến ở các nước phát triển.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mặt thực tiễn tại Việt Nam:* Các nghiên cứu trong nước chủ yếu tập trung vào khối đại học công lập lớn hoặc dừng lại ở mức độ phân tích pháp lý chung và khảo sát thực trạng mang tính mô tả.</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*Khoảng trống nghiên cứu:* Thiếu hụt một công trình nghiên cứu chuyên sâu, hệ thống nhằm đánh giá toàn diện thực trạng công tác quản lý quyền sở hữu trí tuệ tại một trường đại học tư thục đang trên đà phát triển mạnh mẽ như Trường Đại học Thành Đô; trên cơ sở đó đề xuất khung giải pháp đồng bộ (bao gồm hoàn thiện thể chế nội bộ, kiện toàn bộ máy quản lý, đẩy mạnh số hóa, thúc đẩy thương mại hóa và nâng cao nhận thức) vừa đáp ứng các quy định mới nhất của Luật Sở hữu trí tuệ sửa đổi, Luật Khoa học, công nghệ và đổi mới sáng tạo, vừa phù hợp với cơ chế tự chủ và định hướng phát triển đặc thù của Nhà trường.</w:t>
      </w:r>
    </w:p>
    <w:p>
      <w:pPr>
        <w:spacing w:before="40" w:after="80" w:line="312" w:lineRule="auto"/>
        <w:ind w:firstLine="720"/>
        <w:jc w:val="both"/>
      </w:pPr>
      <w:r>
        <w:rPr>
          <w:rFonts w:ascii="Times New Roman" w:hAnsi="Times New Roman"/>
          <w:b w:val="0"/>
          <w:i w:val="0"/>
          <w:color w:val="000000"/>
          <w:sz w:val="26"/>
        </w:rPr>
        <w:t>Do đó, việc triển khai nghiên cứu đề tài *"Nghiên cứu giải pháp nâng cao hiệu quả quản lý quyền sở hữu trí tuệ tại Trường Đại học Thành Đô"* là một đòi hỏi cấp thiết cả về mặt khoa học lẫn thực tiễn.</w:t>
      </w:r>
    </w:p>
    <w:p>
      <w:pPr>
        <w:spacing w:before="40" w:after="80" w:line="312" w:lineRule="auto"/>
        <w:ind w:firstLine="720"/>
        <w:jc w:val="both"/>
      </w:pPr>
      <w:r>
        <w:rPr>
          <w:rFonts w:ascii="Times New Roman" w:hAnsi="Times New Roman"/>
          <w:b w:val="0"/>
          <w:i w:val="0"/>
          <w:color w:val="000000"/>
          <w:sz w:val="26"/>
        </w:rPr>
        <w:t>#### Danh mục tài liệu nghiên cứu đã trích dẫn trong phần tổng quan:</w:t>
      </w:r>
    </w:p>
    <w:p>
      <w:pPr>
        <w:spacing w:before="40" w:after="80" w:line="312" w:lineRule="auto"/>
        <w:ind w:firstLine="720"/>
        <w:jc w:val="both"/>
      </w:pPr>
      <w:r>
        <w:rPr>
          <w:rFonts w:ascii="Times New Roman" w:hAnsi="Times New Roman"/>
          <w:b w:val="0"/>
          <w:i w:val="0"/>
          <w:color w:val="000000"/>
          <w:sz w:val="26"/>
        </w:rPr>
        <w:t>**1. Danh mục tài liệu nghiên cứu ngoài nước:**</w:t>
      </w:r>
    </w:p>
    <w:p>
      <w:pPr>
        <w:spacing w:before="40" w:after="80" w:line="312" w:lineRule="auto"/>
        <w:ind w:firstLine="720"/>
        <w:jc w:val="both"/>
      </w:pPr>
      <w:r>
        <w:rPr>
          <w:rFonts w:ascii="Times New Roman" w:hAnsi="Times New Roman"/>
          <w:b w:val="0"/>
          <w:i w:val="0"/>
          <w:color w:val="000000"/>
          <w:sz w:val="26"/>
        </w:rPr>
        <w:t>1. Bstieler, L., Hemmert, M., &amp; Barczak, G. (2015). Trust formation in university-industry collaborations in the US biotechnology industry: IP policies, shared governance, and champions. *Journal of Product Innovation Management*, 32(1), 111-121. https://doi.org/10.1111/jpim.12244</w:t>
      </w:r>
    </w:p>
    <w:p>
      <w:pPr>
        <w:spacing w:before="40" w:after="80" w:line="312" w:lineRule="auto"/>
        <w:ind w:firstLine="720"/>
        <w:jc w:val="both"/>
      </w:pPr>
      <w:r>
        <w:rPr>
          <w:rFonts w:ascii="Times New Roman" w:hAnsi="Times New Roman"/>
          <w:b w:val="0"/>
          <w:i w:val="0"/>
          <w:color w:val="000000"/>
          <w:sz w:val="26"/>
        </w:rPr>
        <w:t>2. Bulsara, H. P., &amp; Vaghela, P. S. (2025). The role of universities in IP-driven technology transfer: Fostering innovation through policy and practice. *Tech Monitor*, WIPO, 38-43.</w:t>
      </w:r>
    </w:p>
    <w:p>
      <w:pPr>
        <w:spacing w:before="40" w:after="80" w:line="312" w:lineRule="auto"/>
        <w:ind w:firstLine="720"/>
        <w:jc w:val="both"/>
      </w:pPr>
      <w:r>
        <w:rPr>
          <w:rFonts w:ascii="Times New Roman" w:hAnsi="Times New Roman"/>
          <w:b w:val="0"/>
          <w:i w:val="0"/>
          <w:color w:val="000000"/>
          <w:sz w:val="26"/>
        </w:rPr>
        <w:t>3. Holgersson, M. (2021). The management and commercialisation of intellectual property in European universities. *European Patent Office (EPO) / Chalmers University*.</w:t>
      </w:r>
    </w:p>
    <w:p>
      <w:pPr>
        <w:spacing w:before="40" w:after="80" w:line="312" w:lineRule="auto"/>
        <w:ind w:firstLine="720"/>
        <w:jc w:val="both"/>
      </w:pPr>
      <w:r>
        <w:rPr>
          <w:rFonts w:ascii="Times New Roman" w:hAnsi="Times New Roman"/>
          <w:b w:val="0"/>
          <w:i w:val="0"/>
          <w:color w:val="000000"/>
          <w:sz w:val="26"/>
        </w:rPr>
        <w:t>4. Maresova, P., Stemberkova, R., &amp; Fadeyi, O. (2019). Models, Processes, and Roles of Universities in Technology Transfer Management: A Systematic Review. *Administrative Sciences*, 9(3), 67. https://doi.org/10.3390/admsci9030067</w:t>
      </w:r>
    </w:p>
    <w:p>
      <w:pPr>
        <w:spacing w:before="40" w:after="80" w:line="312" w:lineRule="auto"/>
        <w:ind w:firstLine="720"/>
        <w:jc w:val="both"/>
      </w:pPr>
      <w:r>
        <w:rPr>
          <w:rFonts w:ascii="Times New Roman" w:hAnsi="Times New Roman"/>
          <w:b w:val="0"/>
          <w:i w:val="0"/>
          <w:color w:val="000000"/>
          <w:sz w:val="26"/>
        </w:rPr>
        <w:t>5. Öztürk, Ö. (2026). Technology Transfer Offices in the Management of Intellectual and Industrial Property Rights in Turkish Universities: Practices, Challenges, and Opportunities. *Scientific Culture*, 12(3.1), 287-303. https://doi.org/10.5281/zenodo.18916680</w:t>
      </w:r>
    </w:p>
    <w:p>
      <w:pPr>
        <w:spacing w:before="40" w:after="80" w:line="312" w:lineRule="auto"/>
        <w:ind w:firstLine="720"/>
        <w:jc w:val="both"/>
      </w:pPr>
      <w:r>
        <w:rPr>
          <w:rFonts w:ascii="Times New Roman" w:hAnsi="Times New Roman"/>
          <w:b w:val="0"/>
          <w:i w:val="0"/>
          <w:color w:val="000000"/>
          <w:sz w:val="26"/>
        </w:rPr>
        <w:t>6. Pandey, R., Agrawal, A., &amp; Majumdar, S. K. (2025). Strategies for Technology Transfer of Intellectual Property Rights in Academic Institutions. *Journal of Intellectual Property Rights*, 30, 640-649. https://doi.org/10.56042/jipr.v30i5.19337</w:t>
      </w:r>
    </w:p>
    <w:p>
      <w:pPr>
        <w:spacing w:before="40" w:after="80" w:line="312" w:lineRule="auto"/>
        <w:ind w:firstLine="720"/>
        <w:jc w:val="both"/>
      </w:pPr>
      <w:r>
        <w:rPr>
          <w:rFonts w:ascii="Times New Roman" w:hAnsi="Times New Roman"/>
          <w:b w:val="0"/>
          <w:i w:val="0"/>
          <w:color w:val="000000"/>
          <w:sz w:val="26"/>
        </w:rPr>
        <w:t>7. 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 https://doi.org/10.1016/j.respol.2012.09.007</w:t>
      </w:r>
    </w:p>
    <w:p>
      <w:pPr>
        <w:spacing w:before="40" w:after="80" w:line="312" w:lineRule="auto"/>
        <w:ind w:firstLine="720"/>
        <w:jc w:val="both"/>
      </w:pPr>
      <w:r>
        <w:rPr>
          <w:rFonts w:ascii="Times New Roman" w:hAnsi="Times New Roman"/>
          <w:b w:val="0"/>
          <w:i w:val="0"/>
          <w:color w:val="000000"/>
          <w:sz w:val="26"/>
        </w:rPr>
        <w:t>8. Rialti, R., Marzi, G., Caputo, A., &amp; Mayah, K. A. (2022). Establishing successful university-industry collaborations: Barriers and enablers deconstructed. *The Journal of Technology Transfer*. https://doi.org/10.1007/s10961-022-09932-2</w:t>
      </w:r>
    </w:p>
    <w:p>
      <w:pPr>
        <w:spacing w:before="40" w:after="80" w:line="312" w:lineRule="auto"/>
        <w:ind w:firstLine="720"/>
        <w:jc w:val="both"/>
      </w:pPr>
      <w:r>
        <w:rPr>
          <w:rFonts w:ascii="Times New Roman" w:hAnsi="Times New Roman"/>
          <w:b w:val="0"/>
          <w:i w:val="0"/>
          <w:color w:val="000000"/>
          <w:sz w:val="26"/>
        </w:rPr>
        <w:t>9. Teece, D. J. (2018). Profiting from innovation in the digital economy: Enabling technologies, standards, and licensing models in the wireless world. *Research Policy*, 47(8), 1367-1387. https://doi.org/10.1016/j.respol.2017.01.015</w:t>
      </w:r>
    </w:p>
    <w:p>
      <w:pPr>
        <w:spacing w:before="40" w:after="80" w:line="312" w:lineRule="auto"/>
        <w:ind w:firstLine="720"/>
        <w:jc w:val="both"/>
      </w:pPr>
      <w:r>
        <w:rPr>
          <w:rFonts w:ascii="Times New Roman" w:hAnsi="Times New Roman"/>
          <w:b w:val="0"/>
          <w:i w:val="0"/>
          <w:color w:val="000000"/>
          <w:sz w:val="26"/>
        </w:rPr>
        <w:t>**2. Danh mục tài liệu nghiên cứu trong nước:**</w:t>
      </w:r>
    </w:p>
    <w:p>
      <w:pPr>
        <w:spacing w:before="40" w:after="80" w:line="312" w:lineRule="auto"/>
        <w:ind w:firstLine="720"/>
        <w:jc w:val="both"/>
      </w:pPr>
      <w:r>
        <w:rPr>
          <w:rFonts w:ascii="Times New Roman" w:hAnsi="Times New Roman"/>
          <w:b w:val="0"/>
          <w:i w:val="0"/>
          <w:color w:val="000000"/>
          <w:sz w:val="26"/>
        </w:rPr>
        <w:t>10. Cục Sở hữu trí tuệ &amp; Bộ Khoa học và Công nghệ. (2024). *Sở hữu trí tuệ: Thực trạng và thách thức đối với các cơ sở giáo dục đại học Việt Nam hiện nay*. Bộ Khoa học và Công nghệ.</w:t>
      </w:r>
    </w:p>
    <w:p>
      <w:pPr>
        <w:spacing w:before="40" w:after="80" w:line="312" w:lineRule="auto"/>
        <w:ind w:firstLine="720"/>
        <w:jc w:val="both"/>
      </w:pPr>
      <w:r>
        <w:rPr>
          <w:rFonts w:ascii="Times New Roman" w:hAnsi="Times New Roman"/>
          <w:b w:val="0"/>
          <w:i w:val="0"/>
          <w:color w:val="000000"/>
          <w:sz w:val="26"/>
        </w:rPr>
        <w:t>11. Lê, T. T. H., &amp; Nguyễn, T. K. (2019). Quản trị tài sản trí tuệ ở các trường đại học của Việt Nam. *Tạp Chí Khoa Học Đại Học Văn Lang*, 27-36.</w:t>
      </w:r>
    </w:p>
    <w:p>
      <w:pPr>
        <w:spacing w:before="40" w:after="80" w:line="312" w:lineRule="auto"/>
        <w:ind w:firstLine="720"/>
        <w:jc w:val="both"/>
      </w:pPr>
      <w:r>
        <w:rPr>
          <w:rFonts w:ascii="Times New Roman" w:hAnsi="Times New Roman"/>
          <w:b w:val="0"/>
          <w:i w:val="0"/>
          <w:color w:val="000000"/>
          <w:sz w:val="26"/>
        </w:rPr>
        <w:t>12. Lê, T. T. T., &amp; Hoàng, Đ. T. (2021). Giải pháp quản trị tài sản trí tuệ tại trường đại học. *Tạp Chí Khoa Học Quản Lý Giáo Dục*, (2(30)), 38-45.</w:t>
      </w:r>
    </w:p>
    <w:p>
      <w:pPr>
        <w:spacing w:before="40" w:after="80" w:line="312" w:lineRule="auto"/>
        <w:ind w:firstLine="720"/>
        <w:jc w:val="both"/>
      </w:pPr>
      <w:r>
        <w:rPr>
          <w:rFonts w:ascii="Times New Roman" w:hAnsi="Times New Roman"/>
          <w:b w:val="0"/>
          <w:i w:val="0"/>
          <w:color w:val="000000"/>
          <w:sz w:val="26"/>
        </w:rPr>
        <w:t>13. Nguyễn, M. H. T. (2025). Quản trị tài sản trí tuệ tại các cơ sở giáo dục đại học: Cơ hội và thách thức trong bối cảnh cuộc cách mạng công nghiệp 4.0. *Tạp Chí Khoa Học Trường Đại Học Sư Phạm TP Hồ Chí Minh*, 22(1), 123-131. https://doi.org/10.54607/hcmue.js.22.1.4287(2025)</w:t>
      </w:r>
    </w:p>
    <w:p>
      <w:pPr>
        <w:spacing w:before="40" w:after="80" w:line="312" w:lineRule="auto"/>
        <w:ind w:firstLine="720"/>
        <w:jc w:val="both"/>
      </w:pPr>
      <w:r>
        <w:rPr>
          <w:rFonts w:ascii="Times New Roman" w:hAnsi="Times New Roman"/>
          <w:b w:val="0"/>
          <w:i w:val="0"/>
          <w:color w:val="000000"/>
          <w:sz w:val="26"/>
        </w:rPr>
        <w:t>14. Phạm, T. H. (2019). Quản lý hoạt động sở hữu trí tuệ ở trường đại học. *Tạp Chí Khoa Học Quản Lý Giáo Dục*, (2(22)), 20-28.</w:t>
      </w:r>
    </w:p>
    <w:p>
      <w:pPr>
        <w:spacing w:before="40" w:after="80" w:line="312" w:lineRule="auto"/>
        <w:ind w:firstLine="720"/>
        <w:jc w:val="both"/>
      </w:pPr>
      <w:r>
        <w:rPr>
          <w:rFonts w:ascii="Times New Roman" w:hAnsi="Times New Roman"/>
          <w:b w:val="0"/>
          <w:i w:val="0"/>
          <w:color w:val="000000"/>
          <w:sz w:val="26"/>
        </w:rPr>
        <w:t>15. Phạm, T. T. H., &amp; Nguyễn, T. H. (2018). Mô hình quản lý sở hữu trí tuệ ở trường đại học: Bài học kinh nghiệm từ Đại học Thanh Hoa, Trung Quốc. *Tạp Chí Khoa Học và Giáo Dục, Trường Đại Học Sư Phạm Huế*, (3(47)), 84-94.</w:t>
      </w:r>
    </w:p>
    <w:p>
      <w:pPr>
        <w:spacing w:before="40" w:after="80" w:line="312" w:lineRule="auto"/>
        <w:ind w:firstLine="720"/>
        <w:jc w:val="both"/>
      </w:pPr>
      <w:r>
        <w:rPr>
          <w:rFonts w:ascii="Times New Roman" w:hAnsi="Times New Roman"/>
          <w:b w:val="0"/>
          <w:i w:val="0"/>
          <w:color w:val="000000"/>
          <w:sz w:val="26"/>
        </w:rPr>
        <w:t>16. Võ, N. H. P. (2025). Quyền của chủ thể không giữ quyền tài sản đối với các tác phẩm hình thành trong nhà trường, kinh nghiệm quốc tế để hoàn thiện chính sách sở hữu trí tuệ của các trường đại học tại Việt Nam. *Tạp Chí Khoa Học Đại Học Mở Thành Phố Hồ Chí Minh*. https://doi.org/10.59266/houjs.2025.606</w:t>
      </w:r>
    </w:p>
    <w:p>
      <w:pPr>
        <w:spacing w:before="160" w:after="80" w:line="312" w:lineRule="auto"/>
        <w:ind w:firstLine="0"/>
        <w:jc w:val="both"/>
      </w:pPr>
      <w:r>
        <w:rPr>
          <w:rFonts w:ascii="Times New Roman" w:hAnsi="Times New Roman"/>
          <w:b/>
          <w:i/>
          <w:color w:val="000000"/>
          <w:sz w:val="26"/>
        </w:rPr>
        <w:t>3. Mục tiêu nghiên cứu của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**Mục tiêu tổng quát:** 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 theo chu trình bốn khâu: sáng tạo, xác lập, khai thác và bảo vệ.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**Mục tiêu cụ thể:**</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Hệ thống hóa cơ sở lý luận và căn cứ pháp lý về quản lý quyền sở hữu trí tuệ trong cơ sở giáo dục đại học theo chu trình bốn khâu nghiệp vụ cốt lõi.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Phân tích, đánh giá toàn diện thực trạng công tác quản lý quyền sở hữu trí tuệ tại Trường Đại học Thành Đô giai đoạn 2021 - 2025; nhận diện kết quả đạt được, chỉ rõ những hạn chế và phân tích nguyên nhân khách quan, chủ quan.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Đề xuất hệ thống giải pháp đồng bộ, kế hoạch tổ chức thực hiện, phương án thí điểm quy trình nộp đơn sớm và bộ chỉ số theo dõi đánh giá hiệu quả tại Trường Đại học Thành Đô giai đoạn 2026 - 2030.</w:t>
      </w:r>
    </w:p>
    <w:p>
      <w:pPr>
        <w:spacing w:before="160" w:after="80" w:line="312" w:lineRule="auto"/>
        <w:ind w:firstLine="0"/>
        <w:jc w:val="both"/>
      </w:pPr>
      <w:r>
        <w:rPr>
          <w:rFonts w:ascii="Times New Roman" w:hAnsi="Times New Roman"/>
          <w:b/>
          <w:i/>
          <w:color w:val="000000"/>
          <w:sz w:val="26"/>
        </w:rPr>
        <w:t>4. Đóng góp mới của đề tài (Ý nghĩa khoa học và thực tiễn)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mặt lý luận:** Đề tài bổ sung và hoàn thiện hệ thống cơ sở lý luận, pháp lý về quản lý quyền sở hữu trí tuệ trong cơ sở giáo dục đại học, kết hợp giữa lý thuyết quản trị hiện đại theo chu trình vòng đời tài sản trí tuệ và các quy định mới nhất của pháp luật sở hữu trí tuệ Việt Nam giai đoạn 2025 - 2026.</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mặt thực tiễn:** Đề tài xây dựng khung mô hình quản trị tài sản trí tuệ phù hợp trực tiếp với điều kiện thực tế của Trường Đại học Thành Đô. Kết quả nghiên cứu đóng vai trò là căn cứ khoa học trực tiếp để Nhà trường sửa đổi, ban hành Quy chế quản lý quyền sở hữu trí tuệ mới thay thế các quy chế phân tán trước đây, chuẩn hóa quy trình sàng lọc nộp đơn sớm và xây dựng cơ chế chia sẻ lợi ích tài chính minh bạch; đồng thời có thể dùng làm tài liệu tham khảo cho các cơ sở giáo dục đại học định hướng ứng dụng có mô hình tương tự tại Việt Nam.</w:t>
      </w:r>
    </w:p>
    <w:p>
      <w:pPr>
        <w:spacing w:before="160" w:after="80" w:line="312" w:lineRule="auto"/>
        <w:ind w:firstLine="0"/>
        <w:jc w:val="both"/>
      </w:pPr>
      <w:r>
        <w:rPr>
          <w:rFonts w:ascii="Times New Roman" w:hAnsi="Times New Roman"/>
          <w:b/>
          <w:i/>
          <w:color w:val="000000"/>
          <w:sz w:val="26"/>
        </w:rPr>
        <w:t>5. Đối tượng và phạm vi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**Đối tượng nghiên cứu:** Hoạt động quản lý quyền sở hữu trí tuệ và các giải pháp nâng cao hiệu quả quản lý quyền sở hữu trí tuệ tại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**Phạm vi không gian:** Trường Đại học Thành Đô và các đơn vị trực thuộc hệ sinh thái giáo dục của Nhà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**Phạm vi thời gian:** Số liệu thứ cấp và sơ cấp được thu thập, phân tích trong giai đoạn từ năm 2020 đến năm 2025; các căn cứ pháp luật cập nhật đến năm 2026; giải pháp và lộ trình định hướng cho giai đoạn 2026 - 2030.</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**Phạm vi nội dung:** Tập trung vào toàn bộ chu trình quản lý quyền sở hữu trí tuệ (sáng tạo, xác lập quyền, khai thác thương mại hóa và bảo vệ quyền sở hữu trí tuệ nội bộ) đối với các kết quả nghiên cứu khoa học, sáng kiến, bài giảng, giáo trình, phần mềm và giải pháp kỹ thuật tại Trường Đại học Thành Đô.</w:t>
      </w:r>
    </w:p>
    <w:p>
      <w:pPr>
        <w:spacing w:before="160" w:after="80" w:line="312" w:lineRule="auto"/>
        <w:ind w:firstLine="0"/>
        <w:jc w:val="both"/>
      </w:pPr>
      <w:r>
        <w:rPr>
          <w:rFonts w:ascii="Times New Roman" w:hAnsi="Times New Roman"/>
          <w:b/>
          <w:i/>
          <w:color w:val="000000"/>
          <w:sz w:val="26"/>
        </w:rPr>
        <w:t>6. Cách tiếp cận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**Tiếp cận hệ thống:** Đánh giá tài sản trí tuệ trong mối tương quan hữu cơ với các thành tố cấu thành hệ sinh thái giáo dục đại học, gắn kết chặt chẽ giữa đào tạo, nghiên cứu khoa học và phục vụ cộng đồng, thay vì xem xét như một quy trình hành chính đơn lẻ.</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**Tiếp cận đa bên:** Xem xét đầy đủ vai trò, trách nhiệm và quyền lợi của tất cả các chủ thể tham gia quá trình đồng sáng tạo (nhà trường, giảng viên, nghiên cứu viên, học sinh, sinh viên, cán bộ quản lý và doanh nghiệp đối tác).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**Tiếp cận nghiên cứu trường hợp:** Phân tích thực trạng cụ thể dựa trên dữ liệu hành chính quản lý khoa học tại Trường Đại học Thành Đô nhằm bảo đảm tính ứng dụng cao và phù hợp với thực tiễn cơ sở của mô hình đề xuất.</w:t>
      </w:r>
    </w:p>
    <w:p>
      <w:pPr>
        <w:spacing w:before="160" w:after="80" w:line="312" w:lineRule="auto"/>
        <w:ind w:firstLine="0"/>
        <w:jc w:val="both"/>
      </w:pPr>
      <w:r>
        <w:rPr>
          <w:rFonts w:ascii="Times New Roman" w:hAnsi="Times New Roman"/>
          <w:b/>
          <w:i/>
          <w:color w:val="000000"/>
          <w:sz w:val="26"/>
        </w:rPr>
        <w:t>7. Phương pháp nghiên cứu, kỹ thuật sử dụng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**Phương pháp phân tích, tổng hợp tài liệu:** Hệ thống hóa các lý thuyết về sở hữu trí tuệ, chu trình quản trị tài sản trí tuệ và các văn bản quy phạm pháp luật hiện hành của Nhà nước và quy chế nội bộ của Nhà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**Phương pháp nghiên cứu so sánh:** Nghiên cứu, đối chiếu các mô hình quản trị tài sản trí tuệ và hệ sinh thái giáo dục đại học đã được áp dụng thành công trên thế giới và tại Việt Nam để rút ra bài học kinh nghiệm thích hợp cho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**Phương pháp nghiên cứu trường hợp:** Khảo sát thực tế đặc thù hệ sinh thái tại Trường Đại học Thành Đô (thông qua tài liệu lưu trữ nội bộ, các quyết định quy chế hiện hành, số liệu 582 sản phẩm khoa học công nghệ, 38 đề tài cấp cơ sở và 11 hồ sơ sở hữu trí tuệ) để đánh giá mức độ tương thích.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**Phương pháp chuyên gia:** Tham vấn ý kiến chuyên gia quản lý khoa học, chuyên gia pháp lý sở hữu trí tuệ và các nhà khoa học đầu ngành để hoàn thiện các kiến nghị, xây dựng quy trình sàng lọc và hệ thống giải pháp cho Nhà trường.</w:t>
      </w:r>
    </w:p>
    <w:p>
      <w:pPr>
        <w:spacing w:before="160" w:after="80" w:line="312" w:lineRule="auto"/>
        <w:ind w:firstLine="0"/>
        <w:jc w:val="both"/>
      </w:pPr>
      <w:r>
        <w:rPr>
          <w:rFonts w:ascii="Times New Roman" w:hAnsi="Times New Roman"/>
          <w:b/>
          <w:i/>
          <w:color w:val="000000"/>
          <w:sz w:val="26"/>
        </w:rPr>
        <w:t>8. Bố cục của đề tài</w:t>
      </w:r>
    </w:p>
    <w:p>
      <w:pPr>
        <w:spacing w:before="40" w:after="80" w:line="312" w:lineRule="auto"/>
        <w:ind w:firstLine="720"/>
        <w:jc w:val="both"/>
      </w:pPr>
      <w:r>
        <w:rPr>
          <w:rFonts w:ascii="Times New Roman" w:hAnsi="Times New Roman"/>
          <w:b w:val="0"/>
          <w:i w:val="0"/>
          <w:color w:val="000000"/>
          <w:sz w:val="26"/>
        </w:rPr>
        <w:t>Ngoài phần Mở đầu, Kết luận và kiến nghị, Danh mục tài liệu tham khảo và Phụ lục, Báo cáo kết quả nghiên cứu của đề tài được kết cấu thành ba chương theo đúng Khung chương mục đã được phê duyệt: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**CHƯƠNG 1. CƠ SỞ LÝ LUẬN VỀ QUẢN LÝ QUYỀN SỞ HỮU TRÍ TUỆ TRONG TRƯỜNG ĐẠI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**CHƯƠNG 2. THỰC TRẠNG QUẢN LÝ QUYỀN SỞ HỮU TRÍ TUỆ TẠI TRƯỜNG ĐẠI HỌC THÀNH ĐÔ**</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**CHƯƠNG 3. GIẢI PHÁP NÂNG CAO HIỆU QUẢ QUẢN LÝ QUYỀN SỞ HỮU TRÍ TUỆ TẠI TRƯỜNG ĐẠI HỌC THÀNH ĐÔ**</w:t>
      </w:r>
    </w:p>
    <w:p>
      <w:pPr>
        <w:pageBreakBefore/>
        <w:spacing w:before="320" w:after="240" w:line="312" w:lineRule="auto"/>
        <w:ind w:firstLine="0"/>
        <w:jc w:val="center"/>
      </w:pPr>
      <w:r>
        <w:rPr>
          <w:rFonts w:ascii="Times New Roman" w:hAnsi="Times New Roman"/>
          <w:b/>
          <w:i w:val="0"/>
          <w:color w:val="000000"/>
          <w:sz w:val="28"/>
        </w:rPr>
        <w:t>CHƯƠNG 1. CƠ SỞ LÝ LUẬN VỀ QUẢN LÝ QUYỀN SỞ HỮU TRÍ TUỆ TRONG TRƯỜNG ĐẠI HỌC</w:t>
      </w:r>
    </w:p>
    <w:p>
      <w:pPr>
        <w:spacing w:before="240" w:after="120" w:line="312" w:lineRule="auto"/>
        <w:ind w:firstLine="0"/>
        <w:jc w:val="both"/>
      </w:pPr>
      <w:r>
        <w:rPr>
          <w:rFonts w:ascii="Times New Roman" w:hAnsi="Times New Roman"/>
          <w:b/>
          <w:i w:val="0"/>
          <w:color w:val="000000"/>
          <w:sz w:val="26"/>
        </w:rPr>
        <w:t>1.1. Khái niệm và vai trò của quyền sở hữu trí tuệ trong trường đại học</w:t>
      </w:r>
    </w:p>
    <w:p>
      <w:pPr>
        <w:spacing w:before="160" w:after="80" w:line="312" w:lineRule="auto"/>
        <w:ind w:firstLine="0"/>
        <w:jc w:val="both"/>
      </w:pPr>
      <w:r>
        <w:rPr>
          <w:rFonts w:ascii="Times New Roman" w:hAnsi="Times New Roman"/>
          <w:b/>
          <w:i/>
          <w:color w:val="000000"/>
          <w:sz w:val="26"/>
        </w:rPr>
        <w:t>1.1.1. Một số khái niệm nền tảng</w:t>
      </w:r>
    </w:p>
    <w:p>
      <w:pPr>
        <w:spacing w:before="40" w:after="80" w:line="312" w:lineRule="auto"/>
        <w:ind w:firstLine="720"/>
        <w:jc w:val="both"/>
      </w:pPr>
      <w:r>
        <w:rPr>
          <w:rFonts w:ascii="Times New Roman" w:hAnsi="Times New Roman"/>
          <w:b w:val="0"/>
          <w:i w:val="0"/>
          <w:color w:val="000000"/>
          <w:sz w:val="26"/>
        </w:rPr>
        <w:t>Trong nền kinh tế tri thức và bối cảnh tự chủ đại học, việc tiếp cận đúng đắn các khái niệm khoa học là tiền đề phương pháp luận quan trọng để thiết lập hệ thống quản lý quyền sở hữu trí tuệ hiệu quả tại cơ sở giáo dục đại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**Tài sản trí tuệ trong trường đại học:**</w:t>
      </w:r>
    </w:p>
    <w:p>
      <w:pPr>
        <w:spacing w:before="40" w:after="80" w:line="312" w:lineRule="auto"/>
        <w:ind w:firstLine="720"/>
        <w:jc w:val="both"/>
      </w:pPr>
      <w:r>
        <w:rPr>
          <w:rFonts w:ascii="Times New Roman" w:hAnsi="Times New Roman"/>
          <w:b w:val="0"/>
          <w:i w:val="0"/>
          <w:color w:val="000000"/>
          <w:sz w:val="26"/>
        </w:rPr>
        <w:t>Tổ chức Sở hữu trí tuệ thế giới (năm 2020) định nghĩa tài sản trí tuệ là những sáng tạo của trí tuệ con người, bao gồm các sáng chế, tác phẩm văn học và nghệ thuật, biểu trưng, tên gọi, hình ảnh cũng như kiểu dáng được sử dụng trong hoạt động thương mại. Dưới góc độ lý luận kinh tế và pháp lý, Fisher (năm 2001) cùng Guan (năm 2014) chỉ ra rằng tài sản trí tuệ là sự kết hợp hữu cơ giữa tính trừu tượng của ý tưởng khoa học và hình thức biểu hiện vật chất cụ thể đáp ứng các chuẩn mực pháp luật thừa nhận. Trong cơ sở giáo dục đại học, tài sản trí tuệ được hiểu là toàn bộ các kết quả sáng tạo trí tuệ hình thành từ hoạt động nghiên cứu khoa học, giảng dạy, chuyển giao công nghệ và học tập của cán bộ quản lý, giảng viên, nghiên cứu viên và người học, bao gồm: sáng chế, giải pháp hữu ích, kiểu dáng công nghiệp, nhãn hiệu, phần mềm máy tính, giáo trình, bài giảng điện tử, cơ sở dữ liệu chuyên ngành và các bí mật kinh doanh, bí quyết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**Quyền sở hữu trí tuệ trong môi trường đại học:**</w:t>
      </w:r>
    </w:p>
    <w:p>
      <w:pPr>
        <w:spacing w:before="40" w:after="80" w:line="312" w:lineRule="auto"/>
        <w:ind w:firstLine="720"/>
        <w:jc w:val="both"/>
      </w:pPr>
      <w:r>
        <w:rPr>
          <w:rFonts w:ascii="Times New Roman" w:hAnsi="Times New Roman"/>
          <w:b w:val="0"/>
          <w:i w:val="0"/>
          <w:color w:val="000000"/>
          <w:sz w:val="26"/>
        </w:rPr>
        <w:t>Quyền sở hữu trí tuệ là quyền của tổ chức, cá nhân đối với tài sản trí tuệ do mình sáng tạo ra hoặc sở hữu hợp pháp theo quy định của pháp luật. Về bản chất cấu trúc, quyền sở hữu trí tuệ bao gồm hai nhánh cơ bản: quyền tác giả cùng quyền liên quan (bảo hộ tự động các hình thức thể hiện sáng tạo như giáo trình, tài liệu giảng dạy, bài báo khoa học, phần mềm) và quyền sở hữu công nghiệp (xác lập độc quyền thông qua thủ tục đăng ký và cấp văn bằng bảo hộ nhà nước đối với sáng chế, giải pháp hữu ích, kiểu dáng công nghiệp, nhãn hiệu). Milliken và Allen (năm 2013) nhấn mạnh rằng quyền sở hữu trí tuệ không đơn thuần là một công cụ pháp lý ngăn cấm sự sao chép trái phép, mà cốt lõi là một cơ chế tạo lập quyền tài sản hợp pháp để chủ sở hữu có thể khai thác giá trị kinh tế, cấp phép thương mại hoặc chuyển giao công nghệ ra thị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**Quản lý quyền sở hữu trí tuệ trong trường đại học:**</w:t>
      </w:r>
    </w:p>
    <w:p>
      <w:pPr>
        <w:spacing w:before="40" w:after="80" w:line="312" w:lineRule="auto"/>
        <w:ind w:firstLine="720"/>
        <w:jc w:val="both"/>
      </w:pPr>
      <w:r>
        <w:rPr>
          <w:rFonts w:ascii="Times New Roman" w:hAnsi="Times New Roman"/>
          <w:b w:val="0"/>
          <w:i w:val="0"/>
          <w:color w:val="000000"/>
          <w:sz w:val="26"/>
        </w:rPr>
        <w:t>Phạm Thúy Hằng (năm 2019) xác định quản lý quyền sở hữu trí tuệ trong trường đại học là tổng thể các tác động có mục đích, có tổ chức của chủ thể quản lý (Hội đồng trường, Ban Giám hiệu, đơn vị chuyên trách quản lý khoa học) lên quá trình sáng tạo, xác lập, khai thác và bảo vệ các quyền sở hữu trí tuệ của nhà trường. Khác với hoạt động quản lý tại các doanh nghiệp thương mại vốn đặt mục tiêu tối đa hóa lợi nhuận lên hàng đầu, quản lý quyền sở hữu trí tuệ trong trường đại học mang tính chất đa mục tiêu: vừa phải bảo vệ quyền tài sản của nhà trường và bảo đảm quyền nhân thân, lợi ích kinh tế chính đáng của nhà khoa học; vừa phải thực hiện sứ mạng học thuật là truyền bá tri thức mở phục vụ cộng đồng xã hội; đồng thời bảo đảm tính liêm chính khoa học và tuân thủ các chuẩn mực xếp hạng, kiểm định chất lượng giáo dục đại học.</w:t>
      </w:r>
    </w:p>
    <w:p>
      <w:pPr>
        <w:spacing w:before="160" w:after="80" w:line="312" w:lineRule="auto"/>
        <w:ind w:firstLine="0"/>
        <w:jc w:val="both"/>
      </w:pPr>
      <w:r>
        <w:rPr>
          <w:rFonts w:ascii="Times New Roman" w:hAnsi="Times New Roman"/>
          <w:b/>
          <w:i/>
          <w:color w:val="000000"/>
          <w:sz w:val="26"/>
        </w:rPr>
        <w:t>1.1.2. Đặc điểm của tài sản trí tuệ và hoạt động quản lý trong trường đại học</w:t>
      </w:r>
    </w:p>
    <w:p>
      <w:pPr>
        <w:spacing w:before="40" w:after="80" w:line="312" w:lineRule="auto"/>
        <w:ind w:firstLine="720"/>
        <w:jc w:val="both"/>
      </w:pPr>
      <w:r>
        <w:rPr>
          <w:rFonts w:ascii="Times New Roman" w:hAnsi="Times New Roman"/>
          <w:b w:val="0"/>
          <w:i w:val="0"/>
          <w:color w:val="000000"/>
          <w:sz w:val="26"/>
        </w:rPr>
        <w:t>Tài sản trí tuệ hình thành trong môi trường giáo dục đại học, đặc biệt là trường đại học định hướng ứng dụng, có những đặc thù bản chất chi phối sâu sắc đến phương thức tổ chức quản lý:</w:t>
      </w:r>
    </w:p>
    <w:p>
      <w:pPr>
        <w:spacing w:before="40" w:after="80" w:line="312" w:lineRule="auto"/>
        <w:ind w:firstLine="720"/>
        <w:jc w:val="both"/>
      </w:pPr>
      <w:r>
        <w:rPr>
          <w:rFonts w:ascii="Times New Roman" w:hAnsi="Times New Roman"/>
          <w:b w:val="0"/>
          <w:i w:val="0"/>
          <w:color w:val="000000"/>
          <w:sz w:val="26"/>
        </w:rPr>
        <w:t>1. **Tính vô hình và sự tồn tại dưới dạng tri thức ẩn:**</w:t>
      </w:r>
    </w:p>
    <w:p>
      <w:pPr>
        <w:spacing w:before="40" w:after="80" w:line="312" w:lineRule="auto"/>
        <w:ind w:firstLine="720"/>
        <w:jc w:val="both"/>
      </w:pPr>
      <w:r>
        <w:rPr>
          <w:rFonts w:ascii="Times New Roman" w:hAnsi="Times New Roman"/>
          <w:b w:val="0"/>
          <w:i w:val="0"/>
          <w:color w:val="000000"/>
          <w:sz w:val="26"/>
        </w:rPr>
        <w:t>Khác với các tài sản vật chất thông thường, tài sản trí tuệ đại học không có hình thái vật chất cố định. Rất nhiều tri thức có giá trị gia tăng cao như giải thuật tính toán, bí quyết thực nghiệm, quy trình phối chế mẫu thử nghiệm tồn tại dưới dạng tri thức ẩn trong tư duy và kinh nghiệm cá nhân của giảng viên, nghiên cứu viên (Tewari và Bhardwaj, năm 2020). Đặc điểm này đặt ra yêu cầu nhà trường phải thiết lập cơ chế nhận diện sớm, khuyến khích nhà khoa học tự nguyện khai báo sáng kiến trước khi công bố ra công chúng.</w:t>
      </w:r>
    </w:p>
    <w:p>
      <w:pPr>
        <w:spacing w:before="40" w:after="80" w:line="312" w:lineRule="auto"/>
        <w:ind w:firstLine="720"/>
        <w:jc w:val="both"/>
      </w:pPr>
      <w:r>
        <w:rPr>
          <w:rFonts w:ascii="Times New Roman" w:hAnsi="Times New Roman"/>
          <w:b w:val="0"/>
          <w:i w:val="0"/>
          <w:color w:val="000000"/>
          <w:sz w:val="26"/>
        </w:rPr>
        <w:t>2. **Tính lưỡng dụng và xung đột giữa phổ biến tri thức mở với bảo hộ độc quyền:**</w:t>
      </w:r>
    </w:p>
    <w:p>
      <w:pPr>
        <w:spacing w:before="40" w:after="80" w:line="312" w:lineRule="auto"/>
        <w:ind w:firstLine="720"/>
        <w:jc w:val="both"/>
      </w:pPr>
      <w:r>
        <w:rPr>
          <w:rFonts w:ascii="Times New Roman" w:hAnsi="Times New Roman"/>
          <w:b w:val="0"/>
          <w:i w:val="0"/>
          <w:color w:val="000000"/>
          <w:sz w:val="26"/>
        </w:rPr>
        <w:t>Theo Fisher (năm 2001) và Guan (năm 2014), tài sản trí tuệ mang bản chất của hàng hóa công cộng với chi phí cận biên để nhân bản gần như bằng không. Trong trường đại học tồn tại một mâu thuẫn nội tại: sứ mạng học thuật truyền thống luôn khuyến khích giảng viên công bố bài báo khoa học càng nhanh, càng rộng rãi càng tốt; tuy nhiên, pháp luật sở hữu công nghiệp lại quy định tính mới tuyệt đối là điều kiện tiên quyết để cấp văn bằng bảo hộ sáng chế. Do đó, nếu giảng viên công bố bài báo trước khi nộp đơn đăng ký bảo hộ độc quyền thì kết quả sáng tạo sẽ bị mất tính mới và vĩnh viễn rơi vào phạm vi công cộng, không thể xác lập quyền độc quyền để thương mại hóa (Perkmann và cộng sự, năm 2013).</w:t>
      </w:r>
    </w:p>
    <w:p>
      <w:pPr>
        <w:spacing w:before="40" w:after="80" w:line="312" w:lineRule="auto"/>
        <w:ind w:firstLine="720"/>
        <w:jc w:val="both"/>
      </w:pPr>
      <w:r>
        <w:rPr>
          <w:rFonts w:ascii="Times New Roman" w:hAnsi="Times New Roman"/>
          <w:b w:val="0"/>
          <w:i w:val="0"/>
          <w:color w:val="000000"/>
          <w:sz w:val="26"/>
        </w:rPr>
        <w:t>3. **Tính đa dạng và phức tạp về nguồn gốc hình thành:**</w:t>
      </w:r>
    </w:p>
    <w:p>
      <w:pPr>
        <w:spacing w:before="40" w:after="80" w:line="312" w:lineRule="auto"/>
        <w:ind w:firstLine="720"/>
        <w:jc w:val="both"/>
      </w:pPr>
      <w:r>
        <w:rPr>
          <w:rFonts w:ascii="Times New Roman" w:hAnsi="Times New Roman"/>
          <w:b w:val="0"/>
          <w:i w:val="0"/>
          <w:color w:val="000000"/>
          <w:sz w:val="26"/>
        </w:rPr>
        <w:t>Tài sản trí tuệ đại học xuất phát từ nhiều kênh tài trợ với bản chất pháp lý khác nhau: nhiệm vụ nghiên cứu do nhà trường cấp kinh phí; đề tài sử dụng cơ sở vật chất, phòng thí nghiệm của trường; công trình của học viên, sinh viên trong quá trình làm khóa luận, đồ án tốt nghiệp; và các dự án hợp tác nghiên cứu phát triển theo đơn đặt hàng của doanh nghiệp. Sự đan xen nguồn lực này dẫn đến tính phức tạp trong việc phân định tỷ lệ đóng góp và quyền đồng sở hữu tài sản trí tuệ giữa nhà trường, tác giả và đối tác bên ngoài (Võ Nguyên Hoàng Phúc, năm 2025).</w:t>
      </w:r>
    </w:p>
    <w:p>
      <w:pPr>
        <w:spacing w:before="40" w:after="80" w:line="312" w:lineRule="auto"/>
        <w:ind w:firstLine="720"/>
        <w:jc w:val="both"/>
      </w:pPr>
      <w:r>
        <w:rPr>
          <w:rFonts w:ascii="Times New Roman" w:hAnsi="Times New Roman"/>
          <w:b w:val="0"/>
          <w:i w:val="0"/>
          <w:color w:val="000000"/>
          <w:sz w:val="26"/>
        </w:rPr>
        <w:t>4. **Yêu cầu khắt khe về tính sáng tạo, tính mới và đạo đức liêm chính học thuật:**</w:t>
      </w:r>
    </w:p>
    <w:p>
      <w:pPr>
        <w:spacing w:before="40" w:after="80" w:line="312" w:lineRule="auto"/>
        <w:ind w:firstLine="720"/>
        <w:jc w:val="both"/>
      </w:pPr>
      <w:r>
        <w:rPr>
          <w:rFonts w:ascii="Times New Roman" w:hAnsi="Times New Roman"/>
          <w:b w:val="0"/>
          <w:i w:val="0"/>
          <w:color w:val="000000"/>
          <w:sz w:val="26"/>
        </w:rPr>
        <w:t>Kết quả nghiên cứu đại học phải vượt qua các chuẩn mực nghiêm ngặt về trình độ sáng tạo và tính trung thực khoa học. Các hành vi đạo văn, ngụy tạo số liệu hoặc xâm phạm quyền tác giả của người khác không chỉ triệt tiêu khả năng xác lập quyền sở hữu trí tuệ mà còn phá hủy nghiêm trọng uy tín xã hội và thương hiệu của cơ sở giáo dục đại học.</w:t>
      </w:r>
    </w:p>
    <w:p>
      <w:pPr>
        <w:spacing w:before="40" w:after="80" w:line="312" w:lineRule="auto"/>
        <w:ind w:firstLine="720"/>
        <w:jc w:val="both"/>
      </w:pPr>
      <w:r>
        <w:rPr>
          <w:rFonts w:ascii="Times New Roman" w:hAnsi="Times New Roman"/>
          <w:b w:val="0"/>
          <w:i w:val="0"/>
          <w:color w:val="000000"/>
          <w:sz w:val="26"/>
        </w:rPr>
        <w:t>5. **Môi trường quản trị đa chủ thể và đòi hỏi sự vận hành của bộ phận chuyên trách:**</w:t>
      </w:r>
    </w:p>
    <w:p>
      <w:pPr>
        <w:spacing w:before="40" w:after="80" w:line="312" w:lineRule="auto"/>
        <w:ind w:firstLine="720"/>
        <w:jc w:val="both"/>
      </w:pPr>
      <w:r>
        <w:rPr>
          <w:rFonts w:ascii="Times New Roman" w:hAnsi="Times New Roman"/>
          <w:b w:val="0"/>
          <w:i w:val="0"/>
          <w:color w:val="000000"/>
          <w:sz w:val="26"/>
        </w:rPr>
        <w:t>Trường đại học là nơi hội tụ các nhà khoa học có tư duy độc lập cao cùng người học năng động và các doanh nghiệp đối tác thực dụng. Để quản lý hiệu quả khối tài sản này, Nhà trường không thể duy trì cơ chế hành chính thụ động, mà bắt buộc phải thiết lập bộ phận chuyên trách đóng vai trò cầu nối trung gian, am hiểu sâu sắc cả khung pháp lý sở hữu trí tuệ lẫn quy luật vận hành của thị trường công nghệ (Öztürk, năm 2026).</w:t>
      </w:r>
    </w:p>
    <w:p>
      <w:pPr>
        <w:spacing w:before="160" w:after="80" w:line="312" w:lineRule="auto"/>
        <w:ind w:firstLine="0"/>
        <w:jc w:val="both"/>
      </w:pPr>
      <w:r>
        <w:rPr>
          <w:rFonts w:ascii="Times New Roman" w:hAnsi="Times New Roman"/>
          <w:b/>
          <w:i/>
          <w:color w:val="000000"/>
          <w:sz w:val="26"/>
        </w:rPr>
        <w:t>1.1.3. Vai trò của quyền sở hữu trí tuệ đối với trường đại học định hướng ứng dụng</w:t>
      </w:r>
    </w:p>
    <w:p>
      <w:pPr>
        <w:spacing w:before="40" w:after="80" w:line="312" w:lineRule="auto"/>
        <w:ind w:firstLine="720"/>
        <w:jc w:val="both"/>
      </w:pPr>
      <w:r>
        <w:rPr>
          <w:rFonts w:ascii="Times New Roman" w:hAnsi="Times New Roman"/>
          <w:b w:val="0"/>
          <w:i w:val="0"/>
          <w:color w:val="000000"/>
          <w:sz w:val="26"/>
        </w:rPr>
        <w:t>Đối với một cơ sở giáo dục đại học định hướng ứng dụng như Trường Đại học Thành Đô, quản lý quyền sở hữu trí tuệ chuyên nghiệp giữ vai trò đòn bẩy chiến lược trên bốn phương diện cốt lõi: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**Nâng cao chất lượng đào tạo và kích thích nghiên cứu khoa học ứng dụng:**</w:t>
      </w:r>
    </w:p>
    <w:p>
      <w:pPr>
        <w:spacing w:before="40" w:after="80" w:line="312" w:lineRule="auto"/>
        <w:ind w:firstLine="720"/>
        <w:jc w:val="both"/>
      </w:pPr>
      <w:r>
        <w:rPr>
          <w:rFonts w:ascii="Times New Roman" w:hAnsi="Times New Roman"/>
          <w:b w:val="0"/>
          <w:i w:val="0"/>
          <w:color w:val="000000"/>
          <w:sz w:val="26"/>
        </w:rPr>
        <w:t>Việc bảo hộ quyền sở hữu trí tuệ chuyển hóa hoạt động nghiên cứu khoa học từ tình trạng nghiên cứu hàn lâm cất ngăn kéo sang nghiên cứu giải quyết các bài toán kỹ thuật thực tế của doanh nghiệp. Khi kết quả nghiên cứu được xác lập quyền sở hữu công nghiệp, giảng viên có thể đưa các sáng chế, giải pháp hữu ích vào bài giảng thực hành, giúp người học tiếp cận trực tiếp với các giải pháp công nghệ tiên tiến nhất, từ đó nâng cao chất lượng đào tạo thực chiến và khơi dậy tinh thần đổi mới sáng tạo trong sinh viên.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**Đa dạng hóa nguồn thu tài chính ngoài học phí và thúc đẩy tự chủ đại học bền vững:**</w:t>
      </w:r>
    </w:p>
    <w:p>
      <w:pPr>
        <w:spacing w:before="40" w:after="80" w:line="312" w:lineRule="auto"/>
        <w:ind w:firstLine="720"/>
        <w:jc w:val="both"/>
      </w:pPr>
      <w:r>
        <w:rPr>
          <w:rFonts w:ascii="Times New Roman" w:hAnsi="Times New Roman"/>
          <w:b w:val="0"/>
          <w:i w:val="0"/>
          <w:color w:val="000000"/>
          <w:sz w:val="26"/>
        </w:rPr>
        <w:t>Theo Thursby và Kemp (năm 2002), quyền sở hữu trí tuệ được bảo hộ độc quyền là tài sản có thể định giá, chuyển nhượng hoặc cấp phép quyền sử dụng cho doanh nghiệp để tạo ra dòng doanh thu định kỳ. Nguồn thu từ thương mại hóa tài sản trí tuệ và dịch vụ chuyển giao công nghệ giúp cơ sở giáo dục đại học giảm dần sự phụ thuộc đơn thuần vào nguồn thu học phí, tái đầu tư cơ sở vật chất phòng thí nghiệm hiện đại và tạo lập Quỹ phát triển khoa học công nghệ vững mạnh.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**Khẳng định vị thế, uy tín học thuật trong kiểm định chất lượng và xếp hạng đại học:**</w:t>
      </w:r>
    </w:p>
    <w:p>
      <w:pPr>
        <w:spacing w:before="40" w:after="80" w:line="312" w:lineRule="auto"/>
        <w:ind w:firstLine="720"/>
        <w:jc w:val="both"/>
      </w:pPr>
      <w:r>
        <w:rPr>
          <w:rFonts w:ascii="Times New Roman" w:hAnsi="Times New Roman"/>
          <w:b w:val="0"/>
          <w:i w:val="0"/>
          <w:color w:val="000000"/>
          <w:sz w:val="26"/>
        </w:rPr>
        <w:t>Trong hệ thống Chuẩn cơ sở giáo dục đại học của Bộ Giáo dục và Đào tạo và các bảng xếp hạng đại học uy tín trong nước cũng như quốc tế, số lượng sáng chế, giải pháp hữu ích và văn bằng bảo hộ sở hữu công nghiệp được cấp trên mỗi giảng viên là tiêu chí cứng bắt buộc để đánh giá năng lực nghiên cứu ứng dụng. Việc gia tăng số lượng tài sản trí tuệ được bảo hộ độc quyền trực tiếp nâng cao điểm số kiểm định chất lượng giáo dục và vị thế thương hiệu của Nhà trường trong xã hội.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**Thiết lập hành lang pháp lý an toàn và tạo động lực vật chất cho nhà khoa học:**</w:t>
      </w:r>
    </w:p>
    <w:p>
      <w:pPr>
        <w:spacing w:before="40" w:after="80" w:line="312" w:lineRule="auto"/>
        <w:ind w:firstLine="720"/>
        <w:jc w:val="both"/>
      </w:pPr>
      <w:r>
        <w:rPr>
          <w:rFonts w:ascii="Times New Roman" w:hAnsi="Times New Roman"/>
          <w:b w:val="0"/>
          <w:i w:val="0"/>
          <w:color w:val="000000"/>
          <w:sz w:val="26"/>
        </w:rPr>
        <w:t>Quy chế quản lý quyền sở hữu trí tuệ minh bạch với cơ chế phân chia thù lao tối thiểu từ 30% đến 50% doanh thu thương mại hóa cho tác giả (theo Luật Khoa học, công nghệ và đổi mới sáng tạo năm 2025) là đòn bẩy vật chất quan trọng nhất để giữ chân và thu hút các chuyên gia, nhà khoa học giỏi. Đồng thời, hành lang pháp lý chặt chẽ giúp bảo vệ Nhà trường và nhà nghiên cứu khỏi các nguy cơ tranh chấp bản quyền, đánh cắp bí mật công nghệ khi tham gia hợp tác sâu rộng với các tập đoàn và doanh nghiệp bên ngoài.</w:t>
      </w:r>
    </w:p>
    <w:p>
      <w:pPr>
        <w:spacing w:before="240" w:after="120" w:line="312" w:lineRule="auto"/>
        <w:ind w:firstLine="0"/>
        <w:jc w:val="both"/>
      </w:pPr>
      <w:r>
        <w:rPr>
          <w:rFonts w:ascii="Times New Roman" w:hAnsi="Times New Roman"/>
          <w:b/>
          <w:i w:val="0"/>
          <w:color w:val="000000"/>
          <w:sz w:val="26"/>
        </w:rPr>
        <w:t>1.2. Nội dung quản lý quyền sở hữu trí tuệ trong trường đại học</w:t>
      </w:r>
    </w:p>
    <w:p>
      <w:pPr>
        <w:spacing w:before="40" w:after="80" w:line="312" w:lineRule="auto"/>
        <w:ind w:firstLine="720"/>
        <w:jc w:val="both"/>
      </w:pPr>
      <w:r>
        <w:rPr>
          <w:rFonts w:ascii="Times New Roman" w:hAnsi="Times New Roman"/>
          <w:b w:val="0"/>
          <w:i w:val="0"/>
          <w:color w:val="000000"/>
          <w:sz w:val="26"/>
        </w:rPr>
        <w:t>Quản lý quyền sở hữu trí tuệ trong cơ sở giáo dục đại học được tiếp cận như một hệ thống quản trị tích hợp, vận hành theo chu trình khép kín bốn khâu nghiệp vụ cốt lõi: sáng tạo, xác lập, khai thác và bảo vệ tài sản trí tuệ. Bốn khâu này có mối quan hệ biện chứng chặt chẽ, được điều phối thông qua bốn chức năng quản lý nền tảng của nhà trường bao gồm: hoạch định thể chế chiến lược, tổ chức bộ máy chuyên trách, thực thi quy trình chuẩn hóa và kiểm tra giám sát thường xuyên (Phạm Thúy Hằng, năm 2019; Lê Thị Thu Hà và Nguyễn Thành Khang, năm 2019). Đặc biệt, mỗi khâu trong chu trình quản trị này đều chịu sự điều chỉnh trực tiếp của hệ thống pháp luật mới nhất giai đoạn 2025 - 2026, trọng tâm là: Luật Sở hữu trí tuệ (sửa đổi, bổ sung bởi Luật số 07/2022/QH15, Luật số 93/2025/QH15 và Luật số 131/2025/QH15); Nghị định số 65/2023/NĐ-CP được sửa đổi, bổ sung bởi Nghị định số 100/2026/NĐ-CP; Nghị định số 17/2023/NĐ-CP được sửa đổi, bổ sung bởi Nghị định số 134/2026/NĐ-CP; Luật Khoa học, công nghệ và đổi mới sáng tạo số 93/2025/QH15; Luật Giáo dục đại học số 125/2025/QH15; cùng Kết luận số 51-KL/TW ngày 22/5/2026 của Bộ Chính trị về đẩy mạnh công tác sở hữu trí tuệ phục vụ phát triển kinh tế - xã hội trong tình hình mới.</w:t>
      </w:r>
    </w:p>
    <w:p>
      <w:pPr>
        <w:spacing w:before="40" w:after="80" w:line="312" w:lineRule="auto"/>
        <w:ind w:firstLine="720"/>
        <w:jc w:val="both"/>
      </w:pPr>
      <w:r>
        <w:rPr>
          <w:rFonts w:ascii="Times New Roman" w:hAnsi="Times New Roman"/>
          <w:b w:val="0"/>
          <w:i w:val="0"/>
          <w:color w:val="000000"/>
          <w:sz w:val="26"/>
        </w:rPr>
        <w:t>Nhằm đo lường và định lượng mức độ hoàn thành nhiệm vụ quản trị, hiệu quả của chu trình quản lý quyền sở hữu trí tuệ được đánh giá dựa trên khung tiêu chí bốn cấp độ theo chuỗi kết quả:</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*Nhóm tiêu chí đầu vào:* Mức độ bố trí ngân sách cho hoạt động sở hữu trí tuệ; năng lực chuyên môn của đội ngũ nhân sự chuyên trách; cơ sở vật chất phòng thí nghiệm và hệ thống công cụ tra cứu dữ liệu sáng chế chuyên sâu.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*Nhóm tiêu chí quá trình:* Tính hoàn thiện, đồng bộ của hệ thống quy chế nội bộ theo chuẩn pháp luật; thời gian xử lý trung bình một bộ hồ sơ đăng ký; mức độ chuẩn hóa quy trình tiếp nhận và sàng lọc sáng kiến; số lượng các chương trình tập huấn nâng cao nhận thức cho giảng viên và sinh viên.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*Nhóm tiêu chí đầu ra:* Số lượng đơn đăng ký sáng chế, giải pháp hữu ích, kiểu dáng công nghiệp, nhãn hiệu được nộp tại cơ quan quản lý nhà nước; số lượng văn bằng bảo hộ độc quyền chính thức được cấp; số lượng giấy chứng nhận đăng ký quyền tác giả đối với giáo trình, bài giảng số và phần mềm.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*Nhóm tiêu chí tác động lan tỏa:* Số lượng hợp đồng chuyển giao công nghệ và thương mại hóa tài sản trí tuệ được ký kết; tổng doanh thu từ khai thác quyền sở hữu trí tuệ đóng góp vào nguồn tài chính tự chủ của trường; mức độ gia tăng điểm số trong kiểm định chất lượng theo Chuẩn cơ sở giáo dục đại học (Thông tư số 01/2024/TT-BGDĐT) và thứ hạng của nhà trường trên các bảng xếp hạng uy tín (Maresova và cộng sự, năm 2019; Pandey và cộng sự, năm 2025).</w:t>
      </w:r>
    </w:p>
    <w:p>
      <w:pPr>
        <w:spacing w:before="40" w:after="80" w:line="312" w:lineRule="auto"/>
        <w:ind w:firstLine="720"/>
        <w:jc w:val="both"/>
      </w:pPr>
      <w:r>
        <w:rPr>
          <w:rFonts w:ascii="Times New Roman" w:hAnsi="Times New Roman"/>
          <w:b w:val="0"/>
          <w:i w:val="0"/>
          <w:color w:val="000000"/>
          <w:sz w:val="26"/>
        </w:rPr>
        <w:t>Dưới đây là nội dung quản lý chuyên sâu tại từng khâu nghiệp vụ cốt lõi trong chu trình:</w:t>
      </w:r>
    </w:p>
    <w:p>
      <w:pPr>
        <w:spacing w:before="160" w:after="80" w:line="312" w:lineRule="auto"/>
        <w:ind w:firstLine="0"/>
        <w:jc w:val="both"/>
      </w:pPr>
      <w:r>
        <w:rPr>
          <w:rFonts w:ascii="Times New Roman" w:hAnsi="Times New Roman"/>
          <w:b/>
          <w:i/>
          <w:color w:val="000000"/>
          <w:sz w:val="26"/>
        </w:rPr>
        <w:t>1.2.1. Sáng tạo tài sản trí tuệ</w:t>
      </w:r>
    </w:p>
    <w:p>
      <w:pPr>
        <w:spacing w:before="40" w:after="80" w:line="312" w:lineRule="auto"/>
        <w:ind w:firstLine="720"/>
        <w:jc w:val="both"/>
      </w:pPr>
      <w:r>
        <w:rPr>
          <w:rFonts w:ascii="Times New Roman" w:hAnsi="Times New Roman"/>
          <w:b w:val="0"/>
          <w:i w:val="0"/>
          <w:color w:val="000000"/>
          <w:sz w:val="26"/>
        </w:rPr>
        <w:t>Sáng tạo tài sản trí tuệ trong trường đại học là quá trình hoạt động trí tuệ có tổ chức và có chủ đích của đội ngũ nhà khoa học, giảng viên, nghiên cứu viên và người học, nhằm chuyển hóa ý tưởng khoa học và bài toán thực tiễn thành các kết quả sáng tạo mới dưới dạng giải pháp kỹ thuật, mẫu thử nghiệm công nghệ, phần mềm hoặc các công trình học thuật (Teece, năm 2018; Cục Sở hữu trí tuệ và Bộ Khoa học và Công nghệ, năm 2024). Điểm khác biệt căn bản so với hoạt động sáng tạo cá nhân tự do là: sáng tạo trong trường đại học được nuôi dưỡng và hỗ trợ bởi nguồn lực chung của nhà trường (phòng thí nghiệm, xưởng thực hành, hệ thống thư viện dữ liệu, ngân sách nghiên cứu) hoặc các nguồn tài trợ từ ngân sách nhà nước và doanh nghiệp; đồng thời chịu sự điều chỉnh của thể chế quản lý và định hướng chiến lược phát triển khoa học công nghệ của cơ sở đào tạo theo Điều 27 Luật Giáo dục đại học số 125/2025/QH15.</w:t>
      </w:r>
    </w:p>
    <w:p>
      <w:pPr>
        <w:spacing w:before="40" w:after="80" w:line="312" w:lineRule="auto"/>
        <w:ind w:firstLine="720"/>
        <w:jc w:val="both"/>
      </w:pPr>
      <w:r>
        <w:rPr>
          <w:rFonts w:ascii="Times New Roman" w:hAnsi="Times New Roman"/>
          <w:b w:val="0"/>
          <w:i w:val="0"/>
          <w:color w:val="000000"/>
          <w:sz w:val="26"/>
        </w:rPr>
        <w:t>Về mặt vai trò, khâu sáng tạo giữ vị trí khởi đầu và là yếu tố đầu vào quyết định toàn bộ chất lượng của chuỗi giá trị sở hữu trí tuệ trong trường đại học. Nếu không có hoạt động nghiên cứu khoa học thực chất để tạo ra các giải pháp kỹ thuật có tính mới và tính ứng dụng, nhà trường sẽ không có đối tượng để thực hiện các khâu tiếp theo như xác lập quyền, khai thác thương mại hóa hay bảo vệ quyền. Bên cạnh đó, hoạt động sáng tạo công nghệ kích thích tinh thần tự học, nghiên cứu chuyên sâu của giảng viên, trực tiếp chuyển hóa các phát minh thành bài giảng và học liệu thực hành, giúp người học tiếp cận tri thức công nghệ tiên tiến nhất, từ đó đào tạo nguồn nhân lực thực chiến cho xã hội. Đồng thời, các sáng tạo bắt nguồn từ nhu cầu thực tiễn giúp nhà trường khẳng định vai trò phụng sự cộng đồng, trực tiếp tháo gỡ các nút thắt kỹ thuật cho doanh nghiệp và địa phương, tạo dựng uy tín và sức cạnh tranh học thuật của cơ sở giáo dục đại học định hướng ứng dụng.</w:t>
      </w:r>
    </w:p>
    <w:p>
      <w:pPr>
        <w:spacing w:before="40" w:after="80" w:line="312" w:lineRule="auto"/>
        <w:ind w:firstLine="720"/>
        <w:jc w:val="both"/>
      </w:pPr>
      <w:r>
        <w:rPr>
          <w:rFonts w:ascii="Times New Roman" w:hAnsi="Times New Roman"/>
          <w:b w:val="0"/>
          <w:i w:val="0"/>
          <w:color w:val="000000"/>
          <w:sz w:val="26"/>
        </w:rPr>
        <w:t>Nội dung quản trị của nhà trường tại khâu sáng tạo tập trung vào việc tổ chức, hỗ trợ và thúc đẩy quá trình nghiên cứu khoa học tạo ra kết quả mới thông qua các hoạt động chủ yếu sau:</w:t>
      </w:r>
    </w:p>
    <w:p>
      <w:pPr>
        <w:spacing w:before="40" w:after="80" w:line="312" w:lineRule="auto"/>
        <w:ind w:firstLine="720"/>
        <w:jc w:val="both"/>
      </w:pPr>
      <w:r>
        <w:rPr>
          <w:rFonts w:ascii="Times New Roman" w:hAnsi="Times New Roman"/>
          <w:b w:val="0"/>
          <w:i w:val="0"/>
          <w:color w:val="000000"/>
          <w:sz w:val="26"/>
        </w:rPr>
        <w:t>1. *Hoạch định danh mục các hướng nghiên cứu ưu tiên gắn với thực tiễn:* Căn cứ Điều 27 Luật Giáo dục đại học số 125/2025/QH15 và Luật Khoa học, công nghệ và đổi mới sáng tạo số 93/2025/QH15, nhà trường ban hành chiến lược khoa học công nghệ trung hạn và dài hạn, tập trung nguồn lực đầu tư trọng điểm vào các ngành mũi nhọn có thế mạnh công nghệ. Định hướng giảng viên hướng các đề tài nghiên cứu vào việc giải quyết trực tiếp các vấn đề kỹ thuật của doanh nghiệp và địa phương, thay vì nghiên cứu mang tính lý thuyết thuần túy cất ngăn kéo.</w:t>
      </w:r>
    </w:p>
    <w:p>
      <w:pPr>
        <w:spacing w:before="40" w:after="80" w:line="312" w:lineRule="auto"/>
        <w:ind w:firstLine="720"/>
        <w:jc w:val="both"/>
      </w:pPr>
      <w:r>
        <w:rPr>
          <w:rFonts w:ascii="Times New Roman" w:hAnsi="Times New Roman"/>
          <w:b w:val="0"/>
          <w:i w:val="0"/>
          <w:color w:val="000000"/>
          <w:sz w:val="26"/>
        </w:rPr>
        <w:t>2. *Quản lý giao nhiệm vụ và ký kết hợp đồng nghiên cứu khoa học:* Đơn vị chuyên trách quản lý khoa học chuẩn hóa quy trình giao đề tài, ký kết hợp đồng nghiên cứu với chủ nhiệm đề tài. Hợp đồng quy định rõ mục tiêu sản phẩm dự kiến đạt được, cam kết bảo mật dữ liệu thực nghiệm và điều khoản nghĩa vụ của tác giả trong việc thông báo kịp thời cho nhà trường khi xuất hiện kết quả sáng tạo mới (căn cứ Điều 73 Luật Sở hữu trí tuệ và Nghị định số 267/2025/NĐ-CP).</w:t>
      </w:r>
    </w:p>
    <w:p>
      <w:pPr>
        <w:spacing w:before="40" w:after="80" w:line="312" w:lineRule="auto"/>
        <w:ind w:firstLine="720"/>
        <w:jc w:val="both"/>
      </w:pPr>
      <w:r>
        <w:rPr>
          <w:rFonts w:ascii="Times New Roman" w:hAnsi="Times New Roman"/>
          <w:b w:val="0"/>
          <w:i w:val="0"/>
          <w:color w:val="000000"/>
          <w:sz w:val="26"/>
        </w:rPr>
        <w:t>3. *Thiết lập cơ chế khai báo và nhận diện sớm tài sản trí tuệ:* Do tài sản trí tuệ ban đầu tồn tại dưới dạng tri thức ẩn trong tư duy nhà nghiên cứu, nhà trường ban hành quy chế bắt buộc hoặc khuyến khích tác giả lập bản khai báo sáng kiến nội bộ ngay khi xuất hiện các kết quả nghiên cứu tiềm năng trong phòng thí nghiệm. Đơn vị chuyên trách quản lý khoa học chủ động bám sát tiến độ đề tài để kịp thời phát hiện các giải pháp kỹ thuật mới trước ngày nghiệm thu chính thức (Holgersson và Aaboen, năm 2019).</w:t>
      </w:r>
    </w:p>
    <w:p>
      <w:pPr>
        <w:spacing w:before="40" w:after="80" w:line="312" w:lineRule="auto"/>
        <w:ind w:firstLine="720"/>
        <w:jc w:val="both"/>
      </w:pPr>
      <w:r>
        <w:rPr>
          <w:rFonts w:ascii="Times New Roman" w:hAnsi="Times New Roman"/>
          <w:b w:val="0"/>
          <w:i w:val="0"/>
          <w:color w:val="000000"/>
          <w:sz w:val="26"/>
        </w:rPr>
        <w:t>4. *Tra cứu dữ liệu sáng chế bắt buộc trước khi phê duyệt và cấp kinh phí đề tài:* Đưa hoạt động tra cứu thông tin sáng chế trên các cơ sở dữ liệu quốc gia và quốc tế thành một bước bắt buộc trong quy trình xét duyệt thuyết minh nghiên cứu khoa học. Theo Tổ chức Sở hữu trí tuệ thế giới năm 2020 và Cục Sở hữu trí tuệ năm 2024, việc tra cứu trước giúp trường tránh lãng phí ngân sách vào các sáng chế mà thế giới đã công bố; đồng thời giúp nhà nghiên cứu kế thừa tri thức hiện có và xác định chính xác khoảng trống kỹ thuật để phát triển giải pháp mới vượt trội.</w:t>
      </w:r>
    </w:p>
    <w:p>
      <w:pPr>
        <w:spacing w:before="40" w:after="80" w:line="312" w:lineRule="auto"/>
        <w:ind w:firstLine="720"/>
        <w:jc w:val="both"/>
      </w:pPr>
      <w:r>
        <w:rPr>
          <w:rFonts w:ascii="Times New Roman" w:hAnsi="Times New Roman"/>
          <w:b w:val="0"/>
          <w:i w:val="0"/>
          <w:color w:val="000000"/>
          <w:sz w:val="26"/>
        </w:rPr>
        <w:t>5. *Xây dựng không gian thử nghiệm mở và phát triển tiềm lực đổi mới sáng tạo:* Căn cứ Điểm đ Khoản 2 Điều 28 Luật Giáo dục đại học số 125/2025/QH15, nhà trường đầu tư, nâng cấp hạ tầng kỹ thuật, phòng thí nghiệm và không gian sáng tạo mở thử nghiệm để giảng viên, sinh viên và doanh nghiệp cùng hợp tác chế tạo thử mẫu sản phẩm. Thường xuyên tổ chức các khóa tập huấn chuyên môn nhằm nâng cao nhận thức, hình thành ý thức tự giác tuân thủ liêm chính học thuật và tôn trọng quyền tài sản trí tuệ cho toàn thể cán bộ, người học.</w:t>
      </w:r>
    </w:p>
    <w:p>
      <w:pPr>
        <w:spacing w:before="160" w:after="80" w:line="312" w:lineRule="auto"/>
        <w:ind w:firstLine="0"/>
        <w:jc w:val="both"/>
      </w:pPr>
      <w:r>
        <w:rPr>
          <w:rFonts w:ascii="Times New Roman" w:hAnsi="Times New Roman"/>
          <w:b/>
          <w:i/>
          <w:color w:val="000000"/>
          <w:sz w:val="26"/>
        </w:rPr>
        <w:t>1.2.2. Xác lập quyền sở hữu trí tuệ</w:t>
      </w:r>
    </w:p>
    <w:p>
      <w:pPr>
        <w:spacing w:before="40" w:after="80" w:line="312" w:lineRule="auto"/>
        <w:ind w:firstLine="720"/>
        <w:jc w:val="both"/>
      </w:pPr>
      <w:r>
        <w:rPr>
          <w:rFonts w:ascii="Times New Roman" w:hAnsi="Times New Roman"/>
          <w:b w:val="0"/>
          <w:i w:val="0"/>
          <w:color w:val="000000"/>
          <w:sz w:val="26"/>
        </w:rPr>
        <w:t>Xác lập quyền sở hữu trí tuệ trong trường đại học là quá trình thực hiện các thủ tục pháp lý và nghiệp vụ chuyên môn nhằm chuyển hóa các kết quả sáng tạo trí tuệ vô hình thành các quyền tài sản độc quyền được pháp luật Nhà nước thừa nhận và bảo hộ chính thức (Rocha và cộng sự, năm 2023). Quá trình này được điều chỉnh bởi hai cơ chế pháp lý căn bản theo Điều 6 Luật Sở hữu trí tuệ: cơ chế bảo hộ tự động áp dụng đối với quyền tác giả (giáo trình, bài giảng, giáo án điện tử, tài liệu nghiên cứu, phần mềm máy tính) phát sinh ngay khi tác phẩm được sáng tạo và thể hiện dưới hình thức vật chất nhất định; và cơ chế xác lập qua quyết định cấp văn bằng bảo hộ áp dụng đối với quyền sở hữu công nghiệp (sáng chế, giải pháp hữu ích, kiểu dáng công nghiệp, nhãn hiệu), đòi hỏi phải trải qua quá trình nộp đơn, thẩm định và cấp bằng độc quyền của Cục Sở hữu trí tuệ.</w:t>
      </w:r>
    </w:p>
    <w:p>
      <w:pPr>
        <w:spacing w:before="40" w:after="80" w:line="312" w:lineRule="auto"/>
        <w:ind w:firstLine="720"/>
        <w:jc w:val="both"/>
      </w:pPr>
      <w:r>
        <w:rPr>
          <w:rFonts w:ascii="Times New Roman" w:hAnsi="Times New Roman"/>
          <w:b w:val="0"/>
          <w:i w:val="0"/>
          <w:color w:val="000000"/>
          <w:sz w:val="26"/>
        </w:rPr>
        <w:t>Về vai trò, khâu xác lập quyền đóng vai trò là chiếc chìa khóa pháp lý bản lề trong toàn bộ chu trình quản lý. Khâu này biến các giải pháp kỹ thuật vô hình thành khối tài sản hữu hình trên phương diện pháp lý, trao cho nhà trường độc quyền khai thác hoặc ngăn cấm người khác sử dụng trái phép trong thời hạn bảo hộ. Đồng thời, văn bằng bảo hộ tạo lập chứng cứ pháp lý mặc nhiên về quyền chủ sở hữu, triệt tiêu các tranh chấp nội bộ giữa nhà trường với tác giả hoặc với các cơ quan tài trợ, đối tác doanh nghiệp đồng nghiên cứu. Quan trọng hơn, có văn bằng bảo hộ là điều kiện tiên quyết và căn cứ pháp lý duy nhất để tiến hành thương mại hóa, chuyển nhượng hoặc cấp phép quyền sử dụng cho doanh nghiệp. Ngoài ra, số lượng văn bằng độc quyền sáng chế, giải pháp hữu ích và giấy chứng nhận đăng ký quyền tác giả là các chỉ số định lượng then chốt phục vụ kiểm định chất lượng cơ sở giáo dục theo Thông tư số 01/2024/TT-BGDĐT và nâng cao thứ hạng đại học.</w:t>
      </w:r>
    </w:p>
    <w:p>
      <w:pPr>
        <w:spacing w:before="40" w:after="80" w:line="312" w:lineRule="auto"/>
        <w:ind w:firstLine="720"/>
        <w:jc w:val="both"/>
      </w:pPr>
      <w:r>
        <w:rPr>
          <w:rFonts w:ascii="Times New Roman" w:hAnsi="Times New Roman"/>
          <w:b w:val="0"/>
          <w:i w:val="0"/>
          <w:color w:val="000000"/>
          <w:sz w:val="26"/>
        </w:rPr>
        <w:t>Nội dung quản trị ở khâu xác lập quyền bao gồm các hoạt động nghiệp vụ và thủ tục pháp lý quy chuẩn sau:</w:t>
      </w:r>
    </w:p>
    <w:p>
      <w:pPr>
        <w:spacing w:before="40" w:after="80" w:line="312" w:lineRule="auto"/>
        <w:ind w:firstLine="720"/>
        <w:jc w:val="both"/>
      </w:pPr>
      <w:r>
        <w:rPr>
          <w:rFonts w:ascii="Times New Roman" w:hAnsi="Times New Roman"/>
          <w:b w:val="0"/>
          <w:i w:val="0"/>
          <w:color w:val="000000"/>
          <w:sz w:val="26"/>
        </w:rPr>
        <w:t>1. *Xác định quyền nộp đơn và chủ sở hữu văn bằng theo quy định của pháp luật (Khoản 1 Điều 86 và Điều 86a Luật Sở hữu trí tuệ):* Trước khi tiến hành nộp đơn, công tác quản trị phải xác lập rành mạch quyền nộp đơn và tư cách chủ sở hữu: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Theo Khoản 1 Điều 86, nhà trường là chủ sở hữu quyền nộp đơn đăng ký bảo hộ đối với các sáng chế, kiểu dáng công nghiệp do giảng viên tạo ra khi trường đầu tư kinh phí, phương tiện cơ sở vật chất dưới hình thức giao việc hoặc ký hợp đồng nghiên cứu (giảng viên là tác giả sáng tạo).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Đặc biệt, căn cứ Điều 86a Luật Sở hữu trí tuệ (sửa đổi, bổ sung bởi Luật số 07/2022/QH15 và Luật số 93/2025/QH15), đối với các kết quả nhiệm vụ khoa học, công nghệ và đổi mới sáng tạo sử dụng ngân sách nhà nước, quyền đăng ký sáng chế, kiểu dáng công nghiệp được giao tự động và không bồi hoàn cho tổ chức chủ trì (nhà trường). Đây là bước đột phá thể chế căn bản giúp trường đại học tự động nắm giữ quyền nộp đơn mà không cần phải trải qua thủ tục xin phép cơ quan quản lý nhà nước như trước đây.</w:t>
      </w:r>
    </w:p>
    <w:p>
      <w:pPr>
        <w:spacing w:before="40" w:after="80" w:line="312" w:lineRule="auto"/>
        <w:ind w:firstLine="720"/>
        <w:jc w:val="both"/>
      </w:pPr>
      <w:r>
        <w:rPr>
          <w:rFonts w:ascii="Times New Roman" w:hAnsi="Times New Roman"/>
          <w:b w:val="0"/>
          <w:i w:val="0"/>
          <w:color w:val="000000"/>
          <w:sz w:val="26"/>
        </w:rPr>
        <w:t>2. *Phân loại đối tượng và chủ động đăng ký xác lập quyền tác giả:* Căn cứ Điều 6, Điều 49 và Điều 50 Luật Sở hữu trí tuệ cùng Nghị định số 17/2023/NĐ-CP (được sửa đổi, bổ sung bởi Nghị định số 134/2026/NĐ-CP), đối với kho học liệu số, giáo trình và phần mềm đào tạo, dù quyền phát sinh tự động nhưng nhà trường chủ động thực hiện thủ tục nộp hồ sơ xin cấp Giấy chứng nhận đăng ký quyền tác giả tại Cục Bản quyền tác giả để tạo lập chứng cứ pháp lý mặc nhiên, không phải chịu nghĩa vụ chứng minh quyền khi phát sinh tranh chấp.</w:t>
      </w:r>
    </w:p>
    <w:p>
      <w:pPr>
        <w:spacing w:before="40" w:after="80" w:line="312" w:lineRule="auto"/>
        <w:ind w:firstLine="720"/>
        <w:jc w:val="both"/>
      </w:pPr>
      <w:r>
        <w:rPr>
          <w:rFonts w:ascii="Times New Roman" w:hAnsi="Times New Roman"/>
          <w:b w:val="0"/>
          <w:i w:val="0"/>
          <w:color w:val="000000"/>
          <w:sz w:val="26"/>
        </w:rPr>
        <w:t>3. *Thực hiện quy trình sàng lọc và thẩm định nội bộ:* Trước khi nộp đơn chính thức ra cơ quan quản lý nhà nước, Hội đồng khoa học hoặc đơn vị chuyên trách của trường tiến hành sàng lọc sơ bộ. Đánh giá mức độ đáp ứng các tiêu chuẩn luật định đối với sáng chế: tính mới tuyệt đối trên phạm vi toàn thế giới, trình độ sáng tạo kỹ thuật và khả năng áp dụng công nghiệp thực tế; đồng thời đánh giá sơ bộ tiềm năng thị trường để quyết định mức độ đầu tư kinh phí bảo hộ.</w:t>
      </w:r>
    </w:p>
    <w:p>
      <w:pPr>
        <w:spacing w:before="40" w:after="80" w:line="312" w:lineRule="auto"/>
        <w:ind w:firstLine="720"/>
        <w:jc w:val="both"/>
      </w:pPr>
      <w:r>
        <w:rPr>
          <w:rFonts w:ascii="Times New Roman" w:hAnsi="Times New Roman"/>
          <w:b w:val="0"/>
          <w:i w:val="0"/>
          <w:color w:val="000000"/>
          <w:sz w:val="26"/>
        </w:rPr>
        <w:t>4. *Hỗ trợ viết bản mô tả sáng chế và thực hiện thủ tục nộp đơn hợp lệ:* Viết bản mô tả sáng chế và thiết lập phạm vi yêu cầu bảo hộ là khâu nghiệp vụ phức tạp đòi hỏi sự chuẩn xác cao về kỹ thuật và ngôn ngữ pháp lý. Đơn vị chuyên trách của trường trực tiếp hỗ trợ hoặc kết nối với các tổ chức đại diện sở hữu công nghiệp có chứng chỉ hành nghề để hỗ trợ tác giả xây dựng bản mô tả đạt chuẩn, phân loại sáng chế quốc tế và hoàn tất hồ sơ nộp đơn tại Cục Sở hữu trí tuệ theo đúng thủ tục của Nghị định số 65/2023/NĐ-CP và Nghị định số 100/2026/NĐ-CP.</w:t>
      </w:r>
    </w:p>
    <w:p>
      <w:pPr>
        <w:spacing w:before="40" w:after="80" w:line="312" w:lineRule="auto"/>
        <w:ind w:firstLine="720"/>
        <w:jc w:val="both"/>
      </w:pPr>
      <w:r>
        <w:rPr>
          <w:rFonts w:ascii="Times New Roman" w:hAnsi="Times New Roman"/>
          <w:b w:val="0"/>
          <w:i w:val="0"/>
          <w:color w:val="000000"/>
          <w:sz w:val="26"/>
        </w:rPr>
        <w:t>5. *Kiểm soát điều kiện tính mới và thời hạn ân hạn (Điều 60 Luật Sở hữu trí tuệ):* Quản lý chặt chẽ nguy cơ mất tính mới tuyệt đối của sáng chế. Ban hành quy chế yêu cầu giảng viên phải nộp đơn đăng ký bảo hộ độc quyền trước khi xuất bản bài báo khoa học. Trường hợp kết quả nghiên cứu đã bị bộc lộ công khai, nhà trường phải khẩn trương nộp đơn trong thời hạn ân hạn 12 tháng kể từ ngày bộc lộ để không bị từ chối cấp bằng.</w:t>
      </w:r>
    </w:p>
    <w:p>
      <w:pPr>
        <w:spacing w:before="40" w:after="80" w:line="312" w:lineRule="auto"/>
        <w:ind w:firstLine="720"/>
        <w:jc w:val="both"/>
      </w:pPr>
      <w:r>
        <w:rPr>
          <w:rFonts w:ascii="Times New Roman" w:hAnsi="Times New Roman"/>
          <w:b w:val="0"/>
          <w:i w:val="0"/>
          <w:color w:val="000000"/>
          <w:sz w:val="26"/>
        </w:rPr>
        <w:t>6. *Thực thi nguyên tắc nộp đơn đầu tiên (Điều 90 Luật Sở hữu trí tuệ):* Pháp luật Việt Nam áp dụng nguyên tắc nộp đơn đầu tiên đối với sáng chế, kiểu dáng công nghiệp và nhãn hiệu. Văn bằng bảo hộ chỉ được cấp cho đơn hợp lệ có ngày nộp đơn hoặc ngày ưu tiên sớm nhất. Vì vậy, công tác quản trị phải thúc đẩy việc hoàn thiện hồ sơ để nộp đơn sớm nhất, bảo vệ quyền ưu tiên cho nhà trường.</w:t>
      </w:r>
    </w:p>
    <w:p>
      <w:pPr>
        <w:spacing w:before="40" w:after="80" w:line="312" w:lineRule="auto"/>
        <w:ind w:firstLine="720"/>
        <w:jc w:val="both"/>
      </w:pPr>
      <w:r>
        <w:rPr>
          <w:rFonts w:ascii="Times New Roman" w:hAnsi="Times New Roman"/>
          <w:b w:val="0"/>
          <w:i w:val="0"/>
          <w:color w:val="000000"/>
          <w:sz w:val="26"/>
        </w:rPr>
        <w:t>7. *Bố trí ngân sách tài chính phục vụ xác lập và duy trì văn bằng:* Hoạt động đăng ký xác lập quyền đòi hỏi kinh phí đáng kể bao gồm lệ phí nộp đơn, phí tra cứu thông tin, phí thẩm định nội dung và phí duy trì hiệu lực văn bằng bảo hộ hàng năm. Nhà trường xây dựng cơ chế ngân sách ổn định, ban hành định mức kinh phí hỗ trợ nộp đơn thỏa đáng để giảm bớt áp lực tài chính cho nhà khoa học.</w:t>
      </w:r>
    </w:p>
    <w:p>
      <w:pPr>
        <w:spacing w:before="160" w:after="80" w:line="312" w:lineRule="auto"/>
        <w:ind w:firstLine="0"/>
        <w:jc w:val="both"/>
      </w:pPr>
      <w:r>
        <w:rPr>
          <w:rFonts w:ascii="Times New Roman" w:hAnsi="Times New Roman"/>
          <w:b/>
          <w:i/>
          <w:color w:val="000000"/>
          <w:sz w:val="26"/>
        </w:rPr>
        <w:t>1.2.3. Khai thác quyền sở hữu trí tuệ</w:t>
      </w:r>
    </w:p>
    <w:p>
      <w:pPr>
        <w:spacing w:before="40" w:after="80" w:line="312" w:lineRule="auto"/>
        <w:ind w:firstLine="720"/>
        <w:jc w:val="both"/>
      </w:pPr>
      <w:r>
        <w:rPr>
          <w:rFonts w:ascii="Times New Roman" w:hAnsi="Times New Roman"/>
          <w:b w:val="0"/>
          <w:i w:val="0"/>
          <w:color w:val="000000"/>
          <w:sz w:val="26"/>
        </w:rPr>
        <w:t>Khai thác quyền sở hữu trí tuệ trong trường đại học là quá trình áp dụng, chuyển giao và thương mại hóa các quyền sở hữu trí tuệ đã được xác lập vào thực tiễn sản xuất, kinh doanh nhằm tạo ra giá trị gia tăng kinh tế, phục vụ phát triển cộng đồng xã hội và mang lại nguồn thu tài chính hợp pháp cho nhà trường và tác giả (Holgersson, năm 2021). Khác với doanh nghiệp thuần túy chỉ nhắm tới lợi nhuận, khai thác tài sản trí tuệ trong trường đại học mang tính chất lưỡng dụng: một mặt khai thác phi thương mại nhằm nâng cao chất lượng đào tạo nội bộ; mặt khác khai thác thương mại hóa ra thị trường để tối ưu hóa nguồn lực tài chính tự chủ.</w:t>
      </w:r>
    </w:p>
    <w:p>
      <w:pPr>
        <w:spacing w:before="40" w:after="80" w:line="312" w:lineRule="auto"/>
        <w:ind w:firstLine="720"/>
        <w:jc w:val="both"/>
      </w:pPr>
      <w:r>
        <w:rPr>
          <w:rFonts w:ascii="Times New Roman" w:hAnsi="Times New Roman"/>
          <w:b w:val="0"/>
          <w:i w:val="0"/>
          <w:color w:val="000000"/>
          <w:sz w:val="26"/>
        </w:rPr>
        <w:t>Về mặt vai trò, khai thác quyền sở hữu trí tuệ là thước đo cuối cùng chứng minh giá trị thực tế của công tác nghiên cứu khoa học trong trường đại học. Khâu này giúp hiện thực hóa giá trị kinh tế của tri thức, chuyển hóa các phát minh từ dạng tiềm năng trên giấy tờ và mẫu vật thí nghiệm thành sản phẩm thực tế trên thị trường, đóng góp trực tiếp cho tăng trưởng kinh tế xã hội. Đồng thời, nguồn thu từ tiền bản quyền, phí cấp phép sử dụng và chuyển nhượng sáng chế tạo ra dòng tài chính ngoài học phí quan trọng, giúp nhà trường tái đầu tư hiện đại hóa cơ sở vật chất và nâng cấp các phòng nghiên cứu, thúc đẩy tự chủ đại học bền vững. Ngoài ra, việc phân chia lợi nhuận công bằng mang lại thu nhập xứng đáng cho nhà khoa học, tạo động lực cạnh tranh lành mạnh và giữ chân nhân tài khoa học tại trường; từ đó tạo cầu nối gắn kết chặt chẽ nhà trường với cộng đồng doanh nghiệp, thúc đẩy chuyển giao công nghệ và hình thành các doanh nghiệp khởi nguồn công nghệ từ trường đại học.</w:t>
      </w:r>
    </w:p>
    <w:p>
      <w:pPr>
        <w:spacing w:before="40" w:after="80" w:line="312" w:lineRule="auto"/>
        <w:ind w:firstLine="720"/>
        <w:jc w:val="both"/>
      </w:pPr>
      <w:r>
        <w:rPr>
          <w:rFonts w:ascii="Times New Roman" w:hAnsi="Times New Roman"/>
          <w:b w:val="0"/>
          <w:i w:val="0"/>
          <w:color w:val="000000"/>
          <w:sz w:val="26"/>
        </w:rPr>
        <w:t>Nội dung quản trị ở khâu khai thác bao gồm việc triển khai các phương thức thương mại hóa và vận hành cơ chế phân bổ lợi ích tài chính:</w:t>
      </w:r>
    </w:p>
    <w:p>
      <w:pPr>
        <w:spacing w:before="40" w:after="80" w:line="312" w:lineRule="auto"/>
        <w:ind w:firstLine="720"/>
        <w:jc w:val="both"/>
      </w:pPr>
      <w:r>
        <w:rPr>
          <w:rFonts w:ascii="Times New Roman" w:hAnsi="Times New Roman"/>
          <w:b w:val="0"/>
          <w:i w:val="0"/>
          <w:color w:val="000000"/>
          <w:sz w:val="26"/>
        </w:rPr>
        <w:t>1. *Định giá tài sản trí tuệ và thẩm định tiềm năng thương mại:* Căn cứ Điểm d Khoản 2 Điều 28 Luật Giáo dục đại học số 125/2025/QH15 và Luật Giá, trước khi đàm phán chuyển giao, nhà trường tiến hành định giá tài sản trí tuệ dựa trên các phương pháp tiếp cận được pháp luật thừa nhận như phương pháp chi phí, phương pháp thị trường hoặc phương pháp thu nhập. Việc xác định giá trị định lượng giúp nhà trường có cơ sở pháp lý và kinh tế vững chắc để đàm phán hợp đồng, bảo đảm không làm thất thoát tài sản của cơ sở đào tạo nhưng cũng không định giá quá cao làm cản trở quá trình tiếp cận của doanh nghiệp.</w:t>
      </w:r>
    </w:p>
    <w:p>
      <w:pPr>
        <w:spacing w:before="40" w:after="80" w:line="312" w:lineRule="auto"/>
        <w:ind w:firstLine="720"/>
        <w:jc w:val="both"/>
      </w:pPr>
      <w:r>
        <w:rPr>
          <w:rFonts w:ascii="Times New Roman" w:hAnsi="Times New Roman"/>
          <w:b w:val="0"/>
          <w:i w:val="0"/>
          <w:color w:val="000000"/>
          <w:sz w:val="26"/>
        </w:rPr>
        <w:t>2. *Tổ chức thực hiện các phương thức thương mại hóa theo pháp luật chuyển giao:* Căn cứ Chương X Luật Sở hữu trí tuệ, Luật Chuyển giao công nghệ, Điều 27 Luật Khoa học, công nghệ và đổi mới sáng tạo số 93/2025/QH15 và Điều 28 Luật Giáo dục đại học số 125/2025/QH15, nhà trường linh hoạt lựa chọn các phương thức khai thác phù hợp (Bulsara và Vaghela, năm 2025):</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*Áp dụng nội bộ:* Triển khai các giáo trình số, học liệu điện tử, phần mềm đào tạo và sáng kiến quản lý để nâng cao chất lượng đào tạo và tối ưu hóa chi phí vận hành trong toàn hệ thống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*Chuyển quyền sử dụng (hợp đồng cấp phép sử dụng):* Căn cứ Điều 141 và Điều 148 Luật Sở hữu trí tuệ, nhà trường ký kết hợp đồng cho phép bên nhận khai thác quyền sở hữu công nghiệp trong phạm vi, thời hạn và vùng lãnh thổ nhất định theo hình thức độc quyền hoặc không độc quyền. Hợp đồng có hiệu lực theo thỏa thuận của các bên, nhưng chỉ có giá trị pháp lý đối với bên thứ ba khi đã được đăng ký tại Cục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*Chuyển nhượng quyền sở hữu công nghiệp:* Theo Điều 138 và Điều 148 Luật Sở hữu trí tuệ, nhà trường chuyển giao toàn bộ quyền tài sản đối với sáng chế hoặc giải pháp kỹ thuật cho doanh nghiệp để thu về một khoản kinh phí trọn gói. Hợp đồng chuyển nhượng bắt buộc phải đăng ký tại Cục Sở hữu trí tuệ mới chính thức phát sinh hiệu lực pháp lý.</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*Kiểm soát điều khoản cấm hạn chế bất hợp lý bên nhận quyền (Điều 144 Luật Sở hữu trí tuệ):* Rà soát các hợp đồng chuyển giao, bảo đảm không chứa các điều khoản hạn chế bất hợp lý bên nhận quyền (như cấm cải tiến công nghệ, buộc chuyển giao miễn phí các cải tiến cho bên giao, hoặc ấn định giá bán sản phẩm).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*Thành lập doanh nghiệp khởi nguồn công nghệ và doanh nghiệp quản lý tài sản trí tuệ:* Căn cứ Khoản 1 Điều 28 Luật Giáo dục đại học số 125/2025/QH15 và Điều 58 Luật Khoa học, công nghệ và đổi mới sáng tạo số 93/2025/QH15, cơ sở giáo dục đại học được quyền thành lập tổ chức đổi mới sáng tạo, doanh nghiệp khoa học và công nghệ, doanh nghiệp quản lý tài sản trí tuệ; đồng thời cho phép giảng viên, nghiên cứu viên tham gia góp vốn, quản lý, điều hành doanh nghiệp để trực tiếp ươm tạo và đưa các sáng tạo nghiên cứu vào chuỗi cung ứng thị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*Quản lý tài sản của cơ sở giáo dục đại học tư thục:* Đối với trường đại học tư thục, việc quản lý và định giá tài sản trí tuệ khi góp vốn hoặc chuyển nhượng được thực hiện chặt chẽ theo quy định tại Điều 42 Luật Giáo dục đại học số 125/2025/QH15 nhằm bảo toàn và phát triển nguồn vốn của nhà trường.</w:t>
      </w:r>
    </w:p>
    <w:p>
      <w:pPr>
        <w:spacing w:before="40" w:after="80" w:line="312" w:lineRule="auto"/>
        <w:ind w:firstLine="720"/>
        <w:jc w:val="both"/>
      </w:pPr>
      <w:r>
        <w:rPr>
          <w:rFonts w:ascii="Times New Roman" w:hAnsi="Times New Roman"/>
          <w:b w:val="0"/>
          <w:i w:val="0"/>
          <w:color w:val="000000"/>
          <w:sz w:val="26"/>
        </w:rPr>
        <w:t>3. *Vận hành cơ chế phân bổ doanh thu và thực thi nghĩa vụ trả thù lao cho tác giả:* Căn cứ Điều 135 Luật Sở hữu trí tuệ, Nghị định số 65/2023/NĐ-CP (sửa đổi bởi Nghị định số 100/2026/NĐ-CP) và Điều 28 Luật Khoa học, công nghệ và đổi mới sáng tạo số 93/2025/QH15, khi hoạt động khai thác tạo ra nguồn thu, công tác quản trị phải bảo đảm thực thi nghiêm túc nghĩa vụ tài chính đối với tác giả:</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Theo luật định, mức thù lao tối thiểu chủ sở hữu phải trả cho tác giả là 10% số tiền làm lợi mà trường thu được do tự sử dụng và 15% tổng số tiền thu được từ việc chuyển quyền sử dụng cho bên thứ ba.</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Đối với các kết quả nghiên cứu sử dụng ngân sách nhà nước, tỷ lệ phân chia lợi nhuận tối thiểu cho nhóm tác giả là 30% lợi nhuận thu được từ thương mại hóa.</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Nhà trường ban hành quy chế tài chính nội bộ minh bạch, quy định tỷ lệ phân bổ cụ thể: từ 30% đến 50% doanh thu thuần thu được trả thù lao cho tác giả; phần còn lại trích cho cá nhân tham gia tổ chức thương mại hóa, khoa chuyên môn và trích lập Quỹ phát triển khoa học và công nghệ của trường theo quy định tại Điểm d Khoản 3 Điều 28 Luật Giáo dục đại học số 125/2025/QH15 để tái đầu tư cho chu kỳ nghiên cứu tiếp theo (Võ Nguyên Hoàng Phúc, năm 2025).</w:t>
      </w:r>
    </w:p>
    <w:p>
      <w:pPr>
        <w:spacing w:before="160" w:after="80" w:line="312" w:lineRule="auto"/>
        <w:ind w:firstLine="0"/>
        <w:jc w:val="both"/>
      </w:pPr>
      <w:r>
        <w:rPr>
          <w:rFonts w:ascii="Times New Roman" w:hAnsi="Times New Roman"/>
          <w:b/>
          <w:i/>
          <w:color w:val="000000"/>
          <w:sz w:val="26"/>
        </w:rPr>
        <w:t>1.2.4. Bảo vệ quyền sở hữu trí tuệ</w:t>
      </w:r>
    </w:p>
    <w:p>
      <w:pPr>
        <w:spacing w:before="40" w:after="80" w:line="312" w:lineRule="auto"/>
        <w:ind w:firstLine="720"/>
        <w:jc w:val="both"/>
      </w:pPr>
      <w:r>
        <w:rPr>
          <w:rFonts w:ascii="Times New Roman" w:hAnsi="Times New Roman"/>
          <w:b w:val="0"/>
          <w:i w:val="0"/>
          <w:color w:val="000000"/>
          <w:sz w:val="26"/>
        </w:rPr>
        <w:t>Bảo vệ quyền sở hữu trí tuệ trong trường đại học là tổng thể các biện pháp pháp lý, kỹ thuật, tổ chức và quản trị nội bộ do cơ sở giáo dục đại học áp dụng nhằm phòng ngừa, phát hiện, ngăn chặn và xử lý kịp thời các hành vi xâm phạm quyền sở hữu trí tuệ; bảo vệ an toàn các quyền và lợi ích hợp pháp của nhà trường và tác giả theo luật định (Phạm Thúy Hằng, năm 2019). Hoạt động này không phải là khâu kết thúc thụ động ở cuối chu trình, mà là hoạt động quản trị mang tính xuyên suốt, đồng hành cùng toàn bộ vòng đời của tài sản trí tuệ từ khi hình thành ý tưởng, trong quá trình thực nghiệm cho đến khi thương mại hóa trên thị trường.</w:t>
      </w:r>
    </w:p>
    <w:p>
      <w:pPr>
        <w:spacing w:before="40" w:after="80" w:line="312" w:lineRule="auto"/>
        <w:ind w:firstLine="720"/>
        <w:jc w:val="both"/>
      </w:pPr>
      <w:r>
        <w:rPr>
          <w:rFonts w:ascii="Times New Roman" w:hAnsi="Times New Roman"/>
          <w:b w:val="0"/>
          <w:i w:val="0"/>
          <w:color w:val="000000"/>
          <w:sz w:val="26"/>
        </w:rPr>
        <w:t>Về vai trò, khâu bảo vệ quyền đóng vai trò là rào giậu an toàn pháp lý giữ vững giá trị tài sản tri thức của nhà trường. Khâu này ngăn ngừa các hành vi đánh cắp dữ liệu nghiên cứu, rò rỉ bí quyết công nghệ hoặc sao chép lậu giáo trình số của nhà trường ra bên ngoài. Đồng thời, bảo vệ quyền sở hữu trí tuệ giữ gìn tính liêm chính khoa học (theo quy định tại Khoản 4 Điều 2 và Điểm a Khoản 3 Điều 28 Luật Giáo dục đại học số 125/2025/QH15), ngăn chặn các hành vi đạo văn, gian lận học thuật, giữ vững vị thế và uy tín đạo đức của cơ sở đào tạo trước xã hội và các tổ chức kiểm định quốc tế. Bên cạnh đó, khâu bảo vệ tạo niềm tin pháp lý vững chắc cho các doanh nghiệp đã bỏ vốn mua bản quyền hoặc nhận chuyển giao công nghệ, bảo đảm quyền khai thác hợp pháp của họ không bị đối thủ cạnh tranh xâm phạm; qua đó thiết lập trật tự kỷ cương học thuật, nâng cao ý thức tôn trọng tài sản trí tuệ trong toàn thể cán bộ, giảng viên, nghiên cứu viên và người học theo tinh thần Kết luận số 51-KL/TW ngày 22/5/2026 của Bộ Chính trị.</w:t>
      </w:r>
    </w:p>
    <w:p>
      <w:pPr>
        <w:spacing w:before="40" w:after="80" w:line="312" w:lineRule="auto"/>
        <w:ind w:firstLine="720"/>
        <w:jc w:val="both"/>
      </w:pPr>
      <w:r>
        <w:rPr>
          <w:rFonts w:ascii="Times New Roman" w:hAnsi="Times New Roman"/>
          <w:b w:val="0"/>
          <w:i w:val="0"/>
          <w:color w:val="000000"/>
          <w:sz w:val="26"/>
        </w:rPr>
        <w:t>Nội dung quản trị ở khâu bảo vệ bao gồm các giải pháp kỹ thuật, cơ chế giám sát và thực thi pháp luật sau:</w:t>
      </w:r>
    </w:p>
    <w:p>
      <w:pPr>
        <w:spacing w:before="40" w:after="80" w:line="312" w:lineRule="auto"/>
        <w:ind w:firstLine="720"/>
        <w:jc w:val="both"/>
      </w:pPr>
      <w:r>
        <w:rPr>
          <w:rFonts w:ascii="Times New Roman" w:hAnsi="Times New Roman"/>
          <w:b w:val="0"/>
          <w:i w:val="0"/>
          <w:color w:val="000000"/>
          <w:sz w:val="26"/>
        </w:rPr>
        <w:t>1. *Kiểm soát rủi ro bộc lộ thông tin sớm và phòng ngừa mất tính mới của sáng chế:* Đây là nội dung bảo vệ mang tính phòng ngừa đặc thù trong cơ sở giáo dục đại học. Do áp lực định mức nghiên cứu khoa học, giảng viên thường có xu hướng nhanh chóng gửi bài báo công bố trên các tạp chí hoặc báo cáo tại các hội nghị khoa học. Nhà trường ban hành quy chế thẩm định bài báo trước khi công bố: đối với các kết quả nghiên cứu có khả năng đăng ký sáng chế, yêu cầu tác giả phải hoàn tất thủ tục nộp đơn đăng ký bảo hộ độc quyền tại Cục Sở hữu trí tuệ trước khi xuất bản bài báo công khai, bảo đảm sáng chế không bị mất tính mới tuyệt đối (Perkmann và cộng sự, năm 2013).</w:t>
      </w:r>
    </w:p>
    <w:p>
      <w:pPr>
        <w:spacing w:before="40" w:after="80" w:line="312" w:lineRule="auto"/>
        <w:ind w:firstLine="720"/>
        <w:jc w:val="both"/>
      </w:pPr>
      <w:r>
        <w:rPr>
          <w:rFonts w:ascii="Times New Roman" w:hAnsi="Times New Roman"/>
          <w:b w:val="0"/>
          <w:i w:val="0"/>
          <w:color w:val="000000"/>
          <w:sz w:val="26"/>
        </w:rPr>
        <w:t>2. *Bảo vệ bí mật kinh doanh và dữ liệu nghiên cứu khoa học (Điều 126 Luật Sở hữu trí tuệ):* Đối với các công trình nghiên cứu đang trong quá trình thực nghiệm hoặc các công nghệ mang tính nhạy cảm thương mại chưa nộp đơn bảo hộ, nhà trường tiến hành bảo vệ theo chế độ bí mật kinh doanh. Điều 126 quy định các hành vi xâm phạm bí mật kinh doanh bao gồm tiếp cận, thu thập, bộc lộ hoặc sử dụng thông tin bí mật mà không được phép của chủ sở hữu. Công tác quản lý thực hiện thông qua việc ký kết các thỏa thuận bảo mật thông tin với toàn thể cán bộ tham gia dự án, người học và các đối tác doanh nghiệp tiếp cận phòng thí nghiệm; đồng thời phân quyền truy cập cơ sở dữ liệu số để ngăn ngừa nguy cơ rò rỉ dữ liệu nghiên cứu ra bên ngoài.</w:t>
      </w:r>
    </w:p>
    <w:p>
      <w:pPr>
        <w:spacing w:before="40" w:after="80" w:line="312" w:lineRule="auto"/>
        <w:ind w:firstLine="720"/>
        <w:jc w:val="both"/>
      </w:pPr>
      <w:r>
        <w:rPr>
          <w:rFonts w:ascii="Times New Roman" w:hAnsi="Times New Roman"/>
          <w:b w:val="0"/>
          <w:i w:val="0"/>
          <w:color w:val="000000"/>
          <w:sz w:val="26"/>
        </w:rPr>
        <w:t>3. *Giám sát vi phạm quyền tác giả và liêm chính học thuật (Điều 28 Luật Sở hữu trí tuệ và Nghị định số 134/2026/NĐ-CP):* Điều 28 Luật Sở hữu trí tuệ quy định chi tiết các hành vi xâm phạm quyền tác giả, bao gồm mạo danh tác giả, sao chép tác phẩm mà không được phép, xuyên tạc tác phẩm hoặc phân phối trái phép bản sao tác phẩm. Nhà trường ứng dụng các phần mềm công nghệ kiểm tra trùng lặp học thuật để rà soát toàn bộ các bài giảng, giáo trình, khóa luận, luận văn và bài báo khoa học trước khi nghiệm thu hoặc xuất bản. Việc này bảo đảm ngăn chặn triệt để hành vi đạo văn, sao chép trái phép tác phẩm của người khác, giữ gìn uy tín học thuật của nhà trường và tôn trọng quyền tác giả của cộng đồng khoa học.</w:t>
      </w:r>
    </w:p>
    <w:p>
      <w:pPr>
        <w:spacing w:before="40" w:after="80" w:line="312" w:lineRule="auto"/>
        <w:ind w:firstLine="720"/>
        <w:jc w:val="both"/>
      </w:pPr>
      <w:r>
        <w:rPr>
          <w:rFonts w:ascii="Times New Roman" w:hAnsi="Times New Roman"/>
          <w:b w:val="0"/>
          <w:i w:val="0"/>
          <w:color w:val="000000"/>
          <w:sz w:val="26"/>
        </w:rPr>
        <w:t>4. *Áp dụng các biện pháp bảo vệ quyền theo quy định của pháp luật:* Theo Phần thứ năm của Luật Sở hữu trí tuệ, cơ sở giáo dục đại học có quyền và nghĩa vụ áp dụng bốn cơ chế bảo vệ quyền hợp pháp khi phát hiện hành vi xâm phạm: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*Biện pháp tự bảo vệ (Điều 198 Luật Sở hữu trí tuệ):* Nhà trường chủ động áp dụng các giải pháp công nghệ ngăn chặn việc sao chép trái phép học liệu số; gửi văn bản thông báo, khuyến cáo yêu cầu tổ chức hoặc cá nhân vi phạm chấm dứt hành vi xâm phạm, dỡ bỏ nội dung vi phạm, xin lỗi, cải chính công khai và bồi thường thiệt hại; hoặc yêu cầu cơ quan nhà nước có thẩm quyền xử lý.</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*Biện pháp hành chính (Điều 199 và Điều 211 Luật Sở hữu trí tuệ):* Đề nghị các cơ quan thanh tra chuyên ngành khoa học và công nghệ, cơ quan quản lý thị trường hoặc công an kinh tế tiến hành thanh tra, lập biên bản, xử phạt vi phạm hành chính và áp dụng biện pháp khắc phục hậu quả (tịch thu, tiêu hủy hàng hóa xâm phạm, phương tiện vi phạm).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*Biện pháp dân sự (Điều 199 và Điều 202 Luật Sở hữu trí tuệ):* Nhà trường thực hiện quyền khởi kiện tại Tòa án nhân dân có thẩm quyền để yêu cầu Tòa án áp dụng các biện pháp dân sự: buộc chấm dứt hành vi xâm phạm; buộc xin lỗi, cải chính công khai; buộc thực hiện nghĩa vụ dân sự; buộc bồi thường toàn bộ thiệt hại vật chất, tổn thất tinh thần và thanh toán chi phí hợp lý để thuê luật sư.</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*Biện pháp hình sự (Điều 199 Luật Sở hữu trí tuệ và Điều 225, Điều 226 Bộ luật Hình sự):* Đối với các hành vi cố ý xâm phạm quyền tác giả, quyền liên quan hoặc xâm phạm quyền sở hữu công nghiệp đối với nhãn hiệu, chỉ dẫn địa lý ở quy mô thương mại hoặc gây thiệt hại nghiêm trọng, nhà trường phối hợp với cơ quan điều tra để truy cứu trách nhiệm hình sự theo luật định.</w:t>
      </w:r>
    </w:p>
    <w:p>
      <w:pPr>
        <w:spacing w:before="160" w:after="80" w:line="312" w:lineRule="auto"/>
        <w:ind w:firstLine="0"/>
        <w:jc w:val="center"/>
      </w:pPr>
      <w:r>
        <w:rPr>
          <w:rFonts w:ascii="Times New Roman" w:hAnsi="Times New Roman"/>
          <w:b/>
          <w:i w:val="0"/>
          <w:color w:val="000000"/>
          <w:sz w:val="24"/>
        </w:rPr>
        <w:t>Bảng 1.1. Khung quy định pháp luật điều chỉnh chu trình quản lý quyền sở hữu trí tuệ trong cơ sở giáo dục đại học</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Khâu quản trị</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Căn cứ pháp lý cốt lõi (Giai đoạn 2025 - 2026)</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Nội dung quy định then chốt của pháp luật</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Tác động đối với quản trị đại học</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**1. Sáng tạo**</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Luật Giáo dục đại học số 125/2025/QH15 (Điều 27)</w:t>
              <w:br/>
              <w:t>- Luật KH,CN&amp;ĐMST số 93/2025/QH15</w:t>
              <w:br/>
              <w:t>- Điều 73 Luật Sở hữu trí tuệ</w:t>
              <w:br/>
              <w:t>- Nghị định số 267/2025/NĐ-CP</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Gắn nghiên cứu với đào tạo và nhu cầu của doanh nghiệp.</w:t>
              <w:br/>
              <w:t>- Quản lý giao nhiệm vụ nghiên cứu, ký kết hợp đồng khoa học và cam kết bảo mật từ phòng thí nghiệm.</w:t>
              <w:br/>
              <w:t>- Quy định nghĩa vụ của tác giả trong việc thông báo kết quả sáng tạo mới cho nhà trường.</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Định hướng hoạt động nghiên cứu bám sát bài toán ứng dụng thực tế.</w:t>
              <w:br/>
              <w:t>- Tránh trùng lặp công nghệ thông qua tra cứu dữ liệu sáng chế bắt buộc trước khi cấp kinh phí.</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**2. Xác lập**</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Điều 86, 86a Luật Sở hữu trí tuệ (sửa đổi bởi Luật số 07/2022/QH15 và Luật số 93/2025/QH15)</w:t>
              <w:br/>
              <w:t>- Điều 6, 49, 50, 60, 90 Luật Sở hữu trí tuệ</w:t>
              <w:br/>
              <w:t>- Nghị định số 100/2026/NĐ-CP và Nghị định số 134/2026/NĐ-CP</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Giao quyền đăng ký tự động và không bồi hoàn cho tổ chức chủ trì đối với kết quả từ ngân sách nhà nước.</w:t>
              <w:br/>
              <w:t>- Quyền tác giả bảo hộ tự động; quyền sở hữu công nghiệp xác lập qua văn bằng theo nguyên tắc nộp đơn đầu tiên.</w:t>
              <w:br/>
              <w:t>- Yêu cầu tính mới tuyệt đối và thời hạn ân hạn 12 tháng.</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Trao quyền chủ động đứng tên chủ văn bằng bảo hộ cho trường.</w:t>
              <w:br/>
              <w:t>- Chuẩn hóa quy trình thẩm định nội bộ và kiểm soát nộp đơn trước khi công bố bài báo khoa học.</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**3. Khai thác**</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Luật Giáo dục đại học số 125/2025/QH15 (Điều 28, 42)</w:t>
              <w:br/>
              <w:t>- Luật KH,CN&amp;ĐMST số 93/2025/QH15 (Điều 27, 28, 58)</w:t>
              <w:br/>
              <w:t>- Chương X (Điều 138-150) Luật Sở hữu trí tuệ</w:t>
              <w:br/>
              <w:t>- Điều 135 Luật Sở hữu trí tuệ và Nghị định số 100/2026/NĐ-CP</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Cho phép trường định giá, góp vốn bằng tài sản trí tuệ; thành lập doanh nghiệp KHCN, doanh nghiệp quản lý tài sản trí tuệ.</w:t>
              <w:br/>
              <w:t>- Cho phép giảng viên tham gia góp vốn, quản lý doanh nghiệp thương mại hóa.</w:t>
              <w:br/>
              <w:t>- Quy định phân chia thù lao tối thiểu: 10% khi tự dùng, 15% khi cấp phép, tối thiểu 30% đến 50% lợi nhuận thương mại hóa.</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Định hình các phương thức thương mại hóa hợp pháp và hiện đại.</w:t>
              <w:br/>
              <w:t>- Thiết lập cơ chế chia sẻ lợi ích tài chính thực chất, kích thích tinh thần cống hiến của giảng viên.</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**4. Bảo vệ**</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Kết luận số 51-KL/TW ngày 22/5/2026 của Bộ Chính trị</w:t>
              <w:br/>
              <w:t>- Luật Giáo dục đại học số 125/2025/QH15 (Điều 2, 28 về liêm chính học thuật)</w:t>
              <w:br/>
              <w:t>- Điều 28, 126, 129 Luật Sở hữu trí tuệ</w:t>
              <w:br/>
              <w:t>- Phần thứ năm (Điều 198-211) Luật Sở hữu trí tuệ</w:t>
              <w:br/>
              <w:t>- Điều 225, 226 Bộ luật Hình sự</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Xác định rõ các hành vi xâm phạm quyền tác giả, bí mật kinh doanh, sáng chế và nhãn hiệu.</w:t>
              <w:br/>
              <w:t>- Bắt buộc tuân thủ nguyên tắc liêm chính học thuật trong nghiên cứu đại học.</w:t>
              <w:br/>
              <w:t>- Thiết lập bốn cơ chế bảo vệ: tự bảo vệ, biện pháp dân sự (Tòa án), biện pháp hành chính và biện pháp hình sự.</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 Thiết lập hàng rào an toàn bảo vệ khối tài sản tri thức của nhà trường.</w:t>
              <w:br/>
              <w:t>- Ngăn chặn đạo văn, sao chép lậu học liệu và giữ vững uy tín học thuật của cơ sở giáo dục.</w:t>
            </w:r>
          </w:p>
        </w:tc>
      </w:tr>
    </w:tbl>
    <w:p>
      <w:pPr>
        <w:spacing w:before="40" w:after="120" w:line="312" w:lineRule="auto"/>
        <w:ind w:firstLine="0"/>
        <w:jc w:val="center"/>
      </w:pPr>
      <w:r>
        <w:rPr>
          <w:rFonts w:ascii="Times New Roman" w:hAnsi="Times New Roman"/>
          <w:b w:val="0"/>
          <w:i/>
          <w:color w:val="000000"/>
          <w:sz w:val="22"/>
        </w:rPr>
        <w:t>(Nguồn: Nhóm nghiên cứu tổng hợp và hệ thống hóa từ hệ thống văn bản quy phạm pháp luật hiện hành giai đoạn 2025 - 2026)</w:t>
      </w:r>
    </w:p>
    <w:p>
      <w:pPr>
        <w:spacing w:before="320" w:after="240" w:line="312" w:lineRule="auto"/>
        <w:ind w:firstLine="0"/>
        <w:jc w:val="center"/>
      </w:pPr>
      <w:r>
        <w:rPr>
          <w:rFonts w:ascii="Times New Roman" w:hAnsi="Times New Roman"/>
          <w:b/>
          <w:i w:val="0"/>
          <w:color w:val="000000"/>
          <w:sz w:val="28"/>
        </w:rPr>
        <w:t>TIỂU KẾT CHƯƠNG 1</w:t>
      </w:r>
    </w:p>
    <w:p>
      <w:pPr>
        <w:spacing w:before="40" w:after="80" w:line="312" w:lineRule="auto"/>
        <w:ind w:firstLine="720"/>
        <w:jc w:val="both"/>
      </w:pPr>
      <w:r>
        <w:rPr>
          <w:rFonts w:ascii="Times New Roman" w:hAnsi="Times New Roman"/>
          <w:b w:val="0"/>
          <w:i w:val="0"/>
          <w:color w:val="000000"/>
          <w:sz w:val="26"/>
        </w:rPr>
        <w:t>Chương 1 đã hoàn thiện hệ thống cơ sở lý luận nền tảng về quản lý quyền sở hữu trí tuệ trong trường đại học, làm căn cứ khoa học trực tiếp để khảo sát thực trạng và xây dựng hệ thống giải pháp:</w:t>
      </w:r>
    </w:p>
    <w:p>
      <w:pPr>
        <w:spacing w:before="40" w:after="80" w:line="312" w:lineRule="auto"/>
        <w:ind w:firstLine="720"/>
        <w:jc w:val="both"/>
      </w:pPr>
      <w:r>
        <w:rPr>
          <w:rFonts w:ascii="Times New Roman" w:hAnsi="Times New Roman"/>
          <w:b w:val="0"/>
          <w:i w:val="0"/>
          <w:color w:val="000000"/>
          <w:sz w:val="26"/>
        </w:rPr>
        <w:t>1. Đã làm rõ khái niệm tài sản trí tuệ trong cơ sở giáo dục đại học là khối tài sản đa dạng bao gồm cả quyền sở hữu công nghiệp và quyền tác giả; khẳng định bản chất quyền sở hữu trí tuệ là công cụ tạo lập quyền tài sản hợp pháp; đồng thời xác định quản lý quyền sở hữu trí tuệ trong trường đại học là hoạt động quản trị đa mục tiêu, hướng tới dung hòa giữa bảo hộ quyền tài sản của nhà trường, bảo đảm lợi ích kinh tế chính đáng của tác giả và phục vụ sứ mạng lan tỏa tri thức cho xã hội.</w:t>
      </w:r>
    </w:p>
    <w:p>
      <w:pPr>
        <w:spacing w:before="40" w:after="80" w:line="312" w:lineRule="auto"/>
        <w:ind w:firstLine="720"/>
        <w:jc w:val="both"/>
      </w:pPr>
      <w:r>
        <w:rPr>
          <w:rFonts w:ascii="Times New Roman" w:hAnsi="Times New Roman"/>
          <w:b w:val="0"/>
          <w:i w:val="0"/>
          <w:color w:val="000000"/>
          <w:sz w:val="26"/>
        </w:rPr>
        <w:t>2. Đã phân tích năm đặc thù cốt lõi chi phối công tác quản lý tài sản trí tuệ đại học: tính vô hình và tri thức ẩn, tính lưỡng dụng giữa công bố mở và bảo hộ độc quyền, tính đa dạng nguồn lực đồng sáng tạo, yêu cầu nghiêm ngặt về liêm chính học thuật và môi trường quản trị đa chủ thể đòi hỏi sự vận hành chuyên nghiệp của bộ phận chuyên trách.</w:t>
      </w:r>
    </w:p>
    <w:p>
      <w:pPr>
        <w:spacing w:before="40" w:after="80" w:line="312" w:lineRule="auto"/>
        <w:ind w:firstLine="720"/>
        <w:jc w:val="both"/>
      </w:pPr>
      <w:r>
        <w:rPr>
          <w:rFonts w:ascii="Times New Roman" w:hAnsi="Times New Roman"/>
          <w:b w:val="0"/>
          <w:i w:val="0"/>
          <w:color w:val="000000"/>
          <w:sz w:val="26"/>
        </w:rPr>
        <w:t>3. Đã khẳng định bốn vai trò chiến lược của quyền sở hữu trí tuệ đối với cơ sở giáo dục đại học định hướng ứng dụng: nâng cao chất lượng đào tạo và nghiên cứu thực chiến; đa dạng hóa nguồn tài chính ngoài học phí hướng tới tự chủ bền vững; nâng cao uy tín thương hiệu trong kiểm định chất lượng và xếp hạng đại học; và thiết lập hành lang pháp lý an toàn kích thích tinh thần đổi mới sáng tạo.</w:t>
      </w:r>
    </w:p>
    <w:p>
      <w:pPr>
        <w:spacing w:before="40" w:after="80" w:line="312" w:lineRule="auto"/>
        <w:ind w:firstLine="720"/>
        <w:jc w:val="both"/>
      </w:pPr>
      <w:r>
        <w:rPr>
          <w:rFonts w:ascii="Times New Roman" w:hAnsi="Times New Roman"/>
          <w:b w:val="0"/>
          <w:i w:val="0"/>
          <w:color w:val="000000"/>
          <w:sz w:val="26"/>
        </w:rPr>
        <w:t>4. Đã hệ thống hóa toàn diện nội dung quản lý quyền sở hữu trí tuệ theo chu trình khép kín bốn khâu nghiệp vụ cốt lõi: sáng tạo tài sản trí tuệ, xác lập quyền sở hữu trí tuệ, khai thác quyền sở hữu trí tuệ và bảo vệ quyền sở hữu trí tuệ; gắn kết biện chứng với bốn chức năng quản trị trường đại học và khung tiêu chí đánh giá hiệu quả bốn cấp độ.</w:t>
      </w:r>
    </w:p>
    <w:p>
      <w:pPr>
        <w:spacing w:before="40" w:after="80" w:line="312" w:lineRule="auto"/>
        <w:ind w:firstLine="720"/>
        <w:jc w:val="both"/>
      </w:pPr>
      <w:r>
        <w:rPr>
          <w:rFonts w:ascii="Times New Roman" w:hAnsi="Times New Roman"/>
          <w:b w:val="0"/>
          <w:i w:val="0"/>
          <w:color w:val="000000"/>
          <w:sz w:val="26"/>
        </w:rPr>
        <w:t>Toàn bộ hệ thống luận điểm lý luận và chu trình quản lý bốn khâu được xác lập tại Chương 1 là khung tham chiếu chuẩn mực để Đề tài tiến hành phân tích, mổ xẻ thực trạng công tác quản lý quyền sở hữu trí tuệ tại Trường Đại học Thành Đô giai đoạn 2021 - 2025 tại Chương 2 tiếp theo.</w:t>
      </w:r>
    </w:p>
    <w:p>
      <w:pPr>
        <w:pageBreakBefore/>
        <w:spacing w:before="320" w:after="240" w:line="312" w:lineRule="auto"/>
        <w:ind w:firstLine="0"/>
        <w:jc w:val="center"/>
      </w:pPr>
      <w:r>
        <w:rPr>
          <w:rFonts w:ascii="Times New Roman" w:hAnsi="Times New Roman"/>
          <w:b/>
          <w:i w:val="0"/>
          <w:color w:val="000000"/>
          <w:sz w:val="28"/>
        </w:rPr>
        <w:t>CHƯƠNG 2. THỰC TRẠNG QUẢN LÝ QUYỀN SỞ HỮU TRÍ TUỆ TẠI TRƯỜNG ĐẠI HỌC THÀNH ĐÔ</w:t>
      </w:r>
    </w:p>
    <w:p>
      <w:pPr>
        <w:spacing w:before="40" w:after="80" w:line="312" w:lineRule="auto"/>
        <w:ind w:firstLine="720"/>
        <w:jc w:val="both"/>
      </w:pPr>
      <w:r>
        <w:rPr>
          <w:rFonts w:ascii="Times New Roman" w:hAnsi="Times New Roman"/>
          <w:b w:val="0"/>
          <w:i w:val="0"/>
          <w:color w:val="000000"/>
          <w:sz w:val="26"/>
        </w:rPr>
        <w:t>Chương này tập trung khảo sát, phân tích và đánh giá thực trạng công tác quản lý quyền sở hữu trí tuệ tại Trường Đại học Thành Đô giai đoạn 2021 - 2025 dựa trên khung phân tích lý luận và chu trình bốn khâu nghiệp vụ cốt lõi đã xác lập tại Chương 1. Nguồn dữ liệu phục vụ nghiên cứu được trích xuất và tổng hợp từ hệ thống dữ liệu hành chính của Nhà trường, bao gồm: các danh mục thống kê sản phẩm nghiên cứu khoa học của Phòng Khoa học Công nghệ, danh sách nhân sự năm 2026, hồ sơ theo dõi văn bằng và đơn đăng ký sở hữu trí tuệ của Bộ phận Pháp chế, hệ thống các quy chế nội bộ (Quyết định số 213/QĐ-ĐHTĐ, Quyết định số 217/QĐ-ĐHTĐ, Quy chế chi tiêu nội bộ năm 2026, Điều lệ Quỹ Học bổng sau tiến sĩ Ngô Xuân Độ) và mục tiêu Kế hoạch hoạt động khoa học công nghệ giai đoạn 2024 - 2028 (Kế hoạch số 07/KH-ĐHTĐ). Các quy định pháp luật ban hành trong giai đoạn 2025 - 2026 được sử dụng làm chuẩn mực đối sánh hiện hành nhằm nhận diện khoảng trống thể chế và sự tương thích của hệ thống quản trị nội bộ.</w:t>
      </w:r>
    </w:p>
    <w:p>
      <w:pPr>
        <w:spacing w:before="240" w:after="120" w:line="312" w:lineRule="auto"/>
        <w:ind w:firstLine="0"/>
        <w:jc w:val="both"/>
      </w:pPr>
      <w:r>
        <w:rPr>
          <w:rFonts w:ascii="Times New Roman" w:hAnsi="Times New Roman"/>
          <w:b/>
          <w:i w:val="0"/>
          <w:color w:val="000000"/>
          <w:sz w:val="26"/>
        </w:rPr>
        <w:t>2.1. Khái quát về Trường Đại học Thành Đô</w:t>
      </w:r>
    </w:p>
    <w:p>
      <w:pPr>
        <w:spacing w:before="160" w:after="80" w:line="312" w:lineRule="auto"/>
        <w:ind w:firstLine="0"/>
        <w:jc w:val="both"/>
      </w:pPr>
      <w:r>
        <w:rPr>
          <w:rFonts w:ascii="Times New Roman" w:hAnsi="Times New Roman"/>
          <w:b/>
          <w:i/>
          <w:color w:val="000000"/>
          <w:sz w:val="26"/>
        </w:rPr>
        <w:t>2.1.1. Quá trình hình thành và phát triển</w:t>
      </w:r>
    </w:p>
    <w:p>
      <w:pPr>
        <w:spacing w:before="40" w:after="80" w:line="312" w:lineRule="auto"/>
        <w:ind w:firstLine="720"/>
        <w:jc w:val="both"/>
      </w:pPr>
      <w:r>
        <w:rPr>
          <w:rFonts w:ascii="Times New Roman" w:hAnsi="Times New Roman"/>
          <w:b w:val="0"/>
          <w:i w:val="0"/>
          <w:color w:val="000000"/>
          <w:sz w:val="26"/>
        </w:rPr>
        <w:t>Trường Đại học Thành Đô tiền thân là Trường Cao đẳng Công nghệ Thành Đô, được thành lập theo Quyết định số 762/QĐ-BGD&amp;ĐT ngày 19 tháng 02 năm 2004 của Bộ trưởng Bộ Giáo dục và Đào tạo. Đến ngày 27 tháng 5 năm 2009, Thủ tướng Chính phủ đã ban hành Quyết định số 676/QĐ-TTg chính thức nâng cấp trường lên thành Trường Đại học Thành Đô. Đây là một trong những cơ sở giáo dục đại học tư thục tiên phong tại Việt Nam, đánh dấu bước phát triển quan trọng trong tiến trình xã hội hóa giáo dục đại học quốc gia.</w:t>
      </w:r>
    </w:p>
    <w:p>
      <w:pPr>
        <w:spacing w:before="40" w:after="80" w:line="312" w:lineRule="auto"/>
        <w:ind w:firstLine="720"/>
        <w:jc w:val="both"/>
      </w:pPr>
      <w:r>
        <w:rPr>
          <w:rFonts w:ascii="Times New Roman" w:hAnsi="Times New Roman"/>
          <w:b w:val="0"/>
          <w:i w:val="0"/>
          <w:color w:val="000000"/>
          <w:sz w:val="26"/>
        </w:rPr>
        <w:t>Trải qua hơn hai thập kỷ xây dựng và trưởng thành, Nhà trường kiên định mục tiêu phát triển thành một cơ sở giáo dục đại học tư thục định hướng ứng dụng đa ngành, đạt chuẩn chất lượng quốc gia và từng bước hội nhập khu vực. Với tôn chỉ đào tạo thực chiến, gắn lý thuyết hàn lâm với thực tiễn sản xuất của doanh nghiệp, Nhà trường vận hành theo triết lý giáo dục "Trí - Năng - Nhân - Hòa", hướng tới đào tạo nguồn nhân lực có năng lực chuyên môn vững vàng, khả năng thích ứng linh hoạt và tinh thần trách nhiệm xã hội cao.</w:t>
      </w:r>
    </w:p>
    <w:p>
      <w:pPr>
        <w:spacing w:before="40" w:after="80" w:line="312" w:lineRule="auto"/>
        <w:ind w:firstLine="720"/>
        <w:jc w:val="both"/>
      </w:pPr>
      <w:r>
        <w:rPr>
          <w:rFonts w:ascii="Times New Roman" w:hAnsi="Times New Roman"/>
          <w:b w:val="0"/>
          <w:i w:val="0"/>
          <w:color w:val="000000"/>
          <w:sz w:val="26"/>
        </w:rPr>
        <w:t>Trụ sở chính của Nhà trường tọa lạc tại Quốc lộ 32, xã Kim Chung, huyện Hoài Đức, thành phố Hà Nội, sở hữu khuôn viên khang trang với hệ thống giảng đường, phòng thí nghiệm chuyên sâu, xưởng thực hành công nghệ và trung tâm học liệu số phục vụ đào tạo và nghiên cứu khoa học. Cơ cấu ngành nghề đào tạo của Trường được quy hoạch tập trung vào bốn khối ngành trụ cột đáp ứng nhu cầu phát triển kinh tế xã hội: Khối Công nghệ - Kỹ thuật; Khối Khoa học Sức khỏe, trọng tâm là Dược học; Khối Kinh tế - Quản trị và Khối Du lịch - Ngôn ngữ. Trong bối cảnh tự chủ đại học và cạnh tranh giáo dục ngày càng sâu sắc, việc đẩy mạnh hoạt động khoa học công nghệ và chuyên nghiệp hóa công tác quản lý quyền sở hữu trí tuệ được Đảng ủy và Hội đồng trường xác định là đòn bẩy chiến lược nhằm khẳng định thương hiệu và nâng cao vị thế học thuật của Nhà trường.</w:t>
      </w:r>
    </w:p>
    <w:p>
      <w:pPr>
        <w:spacing w:before="160" w:after="80" w:line="312" w:lineRule="auto"/>
        <w:ind w:firstLine="0"/>
        <w:jc w:val="both"/>
      </w:pPr>
      <w:r>
        <w:rPr>
          <w:rFonts w:ascii="Times New Roman" w:hAnsi="Times New Roman"/>
          <w:b/>
          <w:i/>
          <w:color w:val="000000"/>
          <w:sz w:val="26"/>
        </w:rPr>
        <w:t>2.1.2. Tổ chức bộ máy và nguồn nhân lực</w:t>
      </w:r>
    </w:p>
    <w:p>
      <w:pPr>
        <w:spacing w:before="40" w:after="80" w:line="312" w:lineRule="auto"/>
        <w:ind w:firstLine="720"/>
        <w:jc w:val="both"/>
      </w:pPr>
      <w:r>
        <w:rPr>
          <w:rFonts w:ascii="Times New Roman" w:hAnsi="Times New Roman"/>
          <w:b w:val="0"/>
          <w:i w:val="0"/>
          <w:color w:val="000000"/>
          <w:sz w:val="26"/>
        </w:rPr>
        <w:t>Cơ cấu tổ chức bộ máy của Trường Đại học Thành Đô được thiết lập theo mô hình quản trị đại học tư thục ứng dụng. Dưới sự lãnh đạo toàn diện của Hội đồng trường và sự điều hành trực tiếp của Ban Giám hiệu, bộ máy quản lý và triển khai hoạt động khoa học công nghệ được phân định thành ba khối chức năng chính: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*Khối Quản trị và Dịch vụ:* Bao gồm các đơn vị tham mưu và quản lý chức năng như Phòng Khoa học Công nghệ, Phòng Tài chính - Kế toán, Trung tâm Tuyển sinh và Quản trị thương hiệu, Trung tâm Dịch vụ và Quản trị hành chính tổng hợp, cùng Bộ phận Pháp chế.</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*Khối Đào tạo và Nghiên cứu:* Là lực lượng nòng cốt trực tiếp thực hiện nhiệm vụ giảng dạy và sáng tạo khoa học, gồm ba viện đào tạo chuyên ngành: Viện Quản trị và Công nghệ (đào tạo 9 ngành, có chương trình đào tạo thạc sĩ và tiến sĩ ngành Quản lý kinh tế); Viện Ngôn ngữ - Văn hóa - Quốc tế (đào tạo 6 ngành); Viện Y - Dược (đào tạo 3 ngành thuộc khối khoa học sức khỏe); Ban Giáo dục cơ bản; Viện Nghiên cứu giáo dục và Chuyển giao tri thức; cùng Tạp chí Nghiên cứu Khoa học và Phát triển (cơ quan ngôn luận học thuật xuất bản các công trình nghiên cứu của giảng viên và nhà khoa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*Khối Doanh nghiệp:* Gồm Công ty Cổ phần Thadotek và hệ thống các phòng thực nghiệm dịch vụ, đóng vai trò kết nối chuyển giao ứng dụng kỹ thuật và thương mại hóa sản phẩm.</w:t>
      </w:r>
    </w:p>
    <w:p>
      <w:pPr>
        <w:spacing w:before="40" w:after="80" w:line="312" w:lineRule="auto"/>
        <w:ind w:firstLine="720"/>
        <w:jc w:val="both"/>
      </w:pPr>
      <w:r>
        <w:rPr>
          <w:rFonts w:ascii="Times New Roman" w:hAnsi="Times New Roman"/>
          <w:b w:val="0"/>
          <w:i w:val="0"/>
          <w:color w:val="000000"/>
          <w:sz w:val="26"/>
        </w:rPr>
        <w:t>Về quy mô và cơ cấu nguồn nhân lực, số liệu thống kê năm 2026 ghi nhận toàn Trường có 252 nhân sự, trong đó đội ngũ giảng viên trực tiếp tham gia giảng dạy và nghiên cứu là 145 người (chiếm tỷ lệ 57,5% tổng số nhân sự).</w:t>
      </w:r>
    </w:p>
    <w:p>
      <w:pPr>
        <w:spacing w:before="160" w:after="80" w:line="312" w:lineRule="auto"/>
        <w:ind w:firstLine="0"/>
        <w:jc w:val="center"/>
      </w:pPr>
      <w:r>
        <w:rPr>
          <w:rFonts w:ascii="Times New Roman" w:hAnsi="Times New Roman"/>
          <w:b/>
          <w:i w:val="0"/>
          <w:color w:val="000000"/>
          <w:sz w:val="24"/>
        </w:rPr>
        <w:t>Bảng 2.1. Nhân lực Trường Đại học Thành Đô theo đơn vị và trình độ chuyên môn, năm 2026</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Đơn vị trực thuộc</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Tổng số</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Giảng viên</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Tiến sĩ và tương đương</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Trong đó GS, PGS</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Thạc sĩ và tương đương</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Đại học và khác</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**Viện Y - Dược**</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70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**Viện Quản trị và Công nghệ**</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29</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9</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**Viện Ngôn ngữ - Văn hóa - Quốc tế**</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29</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**Trung tâm Tuyển sinh và Quản trị thương hiệu**</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13</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**Trung tâm Dịch vụ và Quản trị hành chính tổng hợp**</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**Ban Giáo dục cơ bản**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**Viện Nghiên cứu giáo dục và Chuyển giao tri thức**</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**Các phòng ban và đơn vị chức năng khác**</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59</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31</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**Tổng cộng**</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**252**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**145**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**94**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**94**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**64**</w:t>
            </w:r>
          </w:p>
        </w:tc>
      </w:tr>
    </w:tbl>
    <w:p>
      <w:pPr>
        <w:spacing w:before="40" w:after="120" w:line="312" w:lineRule="auto"/>
        <w:ind w:firstLine="0"/>
        <w:jc w:val="center"/>
      </w:pPr>
      <w:r>
        <w:rPr>
          <w:rFonts w:ascii="Times New Roman" w:hAnsi="Times New Roman"/>
          <w:b w:val="0"/>
          <w:i/>
          <w:color w:val="000000"/>
          <w:sz w:val="22"/>
        </w:rPr>
        <w:t>(Nguồn: Nhóm nghiên cứu tổng hợp từ danh sách nhân sự năm 2026 của Trường Đại học Thành Đô. Tiến sĩ và tương đương bao gồm người có học hàm giáo sư, phó giáo sư và bác sĩ chuyên khoa II; thạc sĩ và tương đương bao gồm dược sĩ chuyên khoa I)</w:t>
      </w:r>
    </w:p>
    <w:p>
      <w:pPr>
        <w:spacing w:before="40" w:after="80" w:line="312" w:lineRule="auto"/>
        <w:ind w:firstLine="720"/>
        <w:jc w:val="both"/>
      </w:pPr>
      <w:r>
        <w:rPr>
          <w:rFonts w:ascii="Times New Roman" w:hAnsi="Times New Roman"/>
          <w:b w:val="0"/>
          <w:i w:val="0"/>
          <w:color w:val="000000"/>
          <w:sz w:val="26"/>
        </w:rPr>
        <w:t>Phân tích cơ cấu số liệu tại Bảng 2.1 cho thấy nguồn nhân lực trình độ cao của Trường có sự tập trung rất rõ nét: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học vị, toàn Trường hiện có 94 cán bộ có trình độ tiến sĩ và tương đương (chiếm 37,3% tổng nhân sự); 94 thạc sĩ và tương đương (chiếm 37,3%); đội ngũ có trình độ đại học và nhân sự khác gồm 64 người (chiếm 25,4%). Trong lực lượng tiến sĩ, có 25 nhà khoa học mang học hàm Giáo sư và Phó giáo sư (chiếm 26,6% tổng số tiến sĩ).</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phân bố đơn vị, lực lượng tinh hoa khoa học tập trung chủ yếu tại ba viện đào tạo nòng cốt (Viện Y - Dược, Viện Quản trị và Công nghệ, Viện Ngôn ngữ - Văn hóa - Quốc tế). Ba viện này tuy chỉ chiếm 57,9% tổng biên chế toàn trường (146 trên 252 người), nhưng lại sở hữu tới 81 trên tổng số 94 tiến sĩ (đạt tỷ lệ 86,2%) và 22 trên 25 cán bộ có học hàm Giáo sư, Phó giáo sư (đạt tỷ lệ 88,0%). Đặc biệt, Viện Y - Dược là đơn vị có quy mô học thuật mạnh nhất với 42 tiến sĩ (trong đó có 8 Giáo sư, Phó giáo sư) và 26 thạc sĩ, chiếm gần một nửa tổng số tiến sĩ của toàn trường.</w:t>
      </w:r>
    </w:p>
    <w:p>
      <w:pPr>
        <w:spacing w:before="40" w:after="80" w:line="312" w:lineRule="auto"/>
        <w:ind w:firstLine="720"/>
        <w:jc w:val="both"/>
      </w:pPr>
      <w:r>
        <w:rPr>
          <w:rFonts w:ascii="Times New Roman" w:hAnsi="Times New Roman"/>
          <w:b w:val="0"/>
          <w:i w:val="0"/>
          <w:color w:val="000000"/>
          <w:sz w:val="26"/>
        </w:rPr>
        <w:t>Dưới góc độ quản lý quyền sở hữu trí tuệ, cơ cấu tổ chức và nhân lực nêu trên phản ánh một đặc trưng quản trị quan trọng: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nhất, ba viện đào tạo chính là cái nôi sản sinh ra các ý tưởng sáng tạo và kết quả nghiên cứu khoa học có tiềm năng bảo hộ độc quyền. Năng lực nghiên cứu của Trường phụ thuộc lớn vào mức độ kích hoạt sự tham gia của các chuyên gia đầu ngành tại các viện này.</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hai, tồn tại sự phân tách rõ rệt giữa lực lượng nghiên cứu tạo ra tài sản trí tuệ và bộ phận thực hiện thủ tục pháp lý. Toàn bộ công tác hỗ trợ đăng ký, bảo vệ thương hiệu và rà soát pháp chế lại thuộc thẩm quyền của khối Quản trị và Dịch vụ.</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ba, Phòng Khoa học Công nghệ được phân công là đầu mối chủ trì quản lý sở hữu trí tuệ của Trường theo quy chế, song đơn vị này hiện chỉ có 02 nhân sự trình độ thạc sĩ phải kiêm nhiệm rất nhiều mảng nghiệp vụ (quản lý đề tài các cấp, quản lý hoạt động công bố, tổ chức hội nghị khoa học, quản lý tạp chí), chưa bố trí được nhân sự chuyên trách có chứng chỉ đại diện sở hữu công nghiệp. Sự phân tán đầu mối quản lý được minh họa cụ thể qua Hình 2.3 dưới đây:</w:t>
      </w:r>
    </w:p>
    <w:p>
      <w:pPr>
        <w:spacing w:before="160" w:after="80" w:line="312" w:lineRule="auto"/>
        <w:ind w:firstLine="0"/>
        <w:jc w:val="center"/>
      </w:pPr>
      <w:r>
        <w:rPr>
          <w:rFonts w:ascii="Times New Roman" w:hAnsi="Times New Roman"/>
          <w:b/>
          <w:i w:val="0"/>
          <w:color w:val="000000"/>
          <w:sz w:val="24"/>
        </w:rPr>
        <w:t>Hình 2.3. Phân công đầu mối quản lý quyền sở hữu trí tuệ tại Trường Đại học Thành Đô</w:t>
      </w:r>
    </w:p>
    <w:p>
      <w:pPr>
        <w:spacing w:before="20" w:after="20" w:line="252" w:lineRule="auto"/>
        <w:ind w:left="720"/>
        <w:jc w:val="left"/>
      </w:pPr>
      <w:r>
        <w:rPr>
          <w:rFonts w:ascii="Consolas" w:hAnsi="Consolas"/>
          <w:b w:val="0"/>
          <w:i w:val="0"/>
          <w:color w:val="000000"/>
          <w:sz w:val="19"/>
        </w:rPr>
        <w:t xml:space="preserve">               [ BAN GIÁM HIỆU ]</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                               |               |</w:t>
      </w:r>
    </w:p>
    <w:p>
      <w:pPr>
        <w:spacing w:before="20" w:after="20" w:line="252" w:lineRule="auto"/>
        <w:ind w:left="720"/>
        <w:jc w:val="left"/>
      </w:pPr>
      <w:r>
        <w:rPr>
          <w:rFonts w:ascii="Consolas" w:hAnsi="Consolas"/>
          <w:b w:val="0"/>
          <w:i w:val="0"/>
          <w:color w:val="000000"/>
          <w:sz w:val="19"/>
        </w:rPr>
        <w:t>[ PHÒNG KHOA HỌC              [ BỘ PHẬN          [ TRUNG TÂM ĐÀO TẠO  [ VIỆN QUẢN TRỊ</w:t>
      </w:r>
    </w:p>
    <w:p>
      <w:pPr>
        <w:spacing w:before="20" w:after="20" w:line="252" w:lineRule="auto"/>
        <w:ind w:left="720"/>
        <w:jc w:val="left"/>
      </w:pPr>
      <w:r>
        <w:rPr>
          <w:rFonts w:ascii="Consolas" w:hAnsi="Consolas"/>
          <w:b w:val="0"/>
          <w:i w:val="0"/>
          <w:color w:val="000000"/>
          <w:sz w:val="19"/>
        </w:rPr>
        <w:t xml:space="preserve">  CÔNG NGHỆ ]                   PHÁP CHẾ ]         VÀ CHUYỂN GIAO      VÀ SÁNG TẠO SỐ ]</w:t>
      </w:r>
    </w:p>
    <w:p>
      <w:pPr>
        <w:spacing w:before="20" w:after="20" w:line="252" w:lineRule="auto"/>
        <w:ind w:left="720"/>
        <w:jc w:val="left"/>
      </w:pPr>
      <w:r>
        <w:rPr>
          <w:rFonts w:ascii="Consolas" w:hAnsi="Consolas"/>
          <w:b w:val="0"/>
          <w:i w:val="0"/>
          <w:color w:val="000000"/>
          <w:sz w:val="19"/>
        </w:rPr>
        <w:t xml:space="preserve">       |                               |             CÔNG NGHỆ ]               |</w:t>
      </w:r>
    </w:p>
    <w:p>
      <w:pPr>
        <w:spacing w:before="20" w:after="20" w:line="252" w:lineRule="auto"/>
        <w:ind w:left="720"/>
        <w:jc w:val="left"/>
      </w:pPr>
      <w:r>
        <w:rPr>
          <w:rFonts w:ascii="Consolas" w:hAnsi="Consolas"/>
          <w:b w:val="0"/>
          <w:i w:val="0"/>
          <w:color w:val="000000"/>
          <w:sz w:val="19"/>
        </w:rPr>
        <w:t>- Tiếp nhận đề xuất TSTT       - Rà soát hồ sơ         |               - Thử nghiệm giải</w:t>
      </w:r>
    </w:p>
    <w:p>
      <w:pPr>
        <w:spacing w:before="20" w:after="20" w:line="252" w:lineRule="auto"/>
        <w:ind w:left="720"/>
        <w:jc w:val="left"/>
      </w:pPr>
      <w:r>
        <w:rPr>
          <w:rFonts w:ascii="Consolas" w:hAnsi="Consolas"/>
          <w:b w:val="0"/>
          <w:i w:val="0"/>
          <w:color w:val="000000"/>
          <w:sz w:val="19"/>
        </w:rPr>
        <w:t>- Quản lý đề tài NCKH            pháp lý hợp đồng     - Kết nối đối tác  pháp phần mềm</w:t>
      </w:r>
    </w:p>
    <w:p>
      <w:pPr>
        <w:spacing w:before="20" w:after="20" w:line="252" w:lineRule="auto"/>
        <w:ind w:left="720"/>
        <w:jc w:val="left"/>
      </w:pPr>
      <w:r>
        <w:rPr>
          <w:rFonts w:ascii="Consolas" w:hAnsi="Consolas"/>
          <w:b w:val="0"/>
          <w:i w:val="0"/>
          <w:color w:val="000000"/>
          <w:sz w:val="19"/>
        </w:rPr>
        <w:t>- Đầu mối nộp đơn sáng chế     - Trực tiếp nộp đơn      doanh nghiệp   - Hỗ trợ số hóa học</w:t>
      </w:r>
    </w:p>
    <w:p>
      <w:pPr>
        <w:spacing w:before="20" w:after="20" w:line="252" w:lineRule="auto"/>
        <w:ind w:left="720"/>
        <w:jc w:val="left"/>
      </w:pPr>
      <w:r>
        <w:rPr>
          <w:rFonts w:ascii="Consolas" w:hAnsi="Consolas"/>
          <w:b w:val="0"/>
          <w:i w:val="0"/>
          <w:color w:val="000000"/>
          <w:sz w:val="19"/>
        </w:rPr>
        <w:t>- Thống kê, báo cáo              đăng ký nhãn hiệu    - Đàm phán chuyển liệu đào tạo</w:t>
      </w:r>
    </w:p>
    <w:p>
      <w:pPr>
        <w:spacing w:before="20" w:after="20" w:line="252" w:lineRule="auto"/>
        <w:ind w:left="720"/>
        <w:jc w:val="left"/>
      </w:pPr>
      <w:r>
        <w:rPr>
          <w:rFonts w:ascii="Consolas" w:hAnsi="Consolas"/>
          <w:b w:val="0"/>
          <w:i w:val="0"/>
          <w:color w:val="000000"/>
          <w:sz w:val="19"/>
        </w:rPr>
        <w:t xml:space="preserve">                               - Bảo vệ thương hiệu     giao công nghệ</w:t>
      </w:r>
    </w:p>
    <w:p>
      <w:pPr>
        <w:spacing w:before="40" w:after="120" w:line="312" w:lineRule="auto"/>
        <w:ind w:firstLine="0"/>
        <w:jc w:val="center"/>
      </w:pPr>
      <w:r>
        <w:rPr>
          <w:rFonts w:ascii="Times New Roman" w:hAnsi="Times New Roman"/>
          <w:b w:val="0"/>
          <w:i/>
          <w:color w:val="000000"/>
          <w:sz w:val="22"/>
        </w:rPr>
        <w:t>(Nguồn: Nhóm nghiên cứu tổng hợp từ Quyết định số 213/QĐ-ĐHTĐ, Quyết định số 217/QĐ-ĐHTĐ và quy chế tổ chức nội bộ)</w:t>
      </w:r>
    </w:p>
    <w:p>
      <w:pPr>
        <w:spacing w:before="40" w:after="80" w:line="312" w:lineRule="auto"/>
        <w:ind w:firstLine="720"/>
        <w:jc w:val="both"/>
      </w:pPr>
      <w:r>
        <w:rPr>
          <w:rFonts w:ascii="Times New Roman" w:hAnsi="Times New Roman"/>
          <w:b w:val="0"/>
          <w:i w:val="0"/>
          <w:color w:val="000000"/>
          <w:sz w:val="26"/>
        </w:rPr>
        <w:t>Mô hình phân công tại Hình 2.3 cho thấy công tác quản lý tài sản trí tuệ đang bị phân mảnh qua bốn đầu mối khác nhau mà chưa có một quy chế điều phối liên thông và chưa có luồng luân chuyển hồ sơ khép kín. Đây chính là một điểm nghẽn tổ chức bộ máy cần được tháo gỡ bằng cơ chế phối hợp cụ thể.</w:t>
      </w:r>
    </w:p>
    <w:p>
      <w:pPr>
        <w:spacing w:before="160" w:after="80" w:line="312" w:lineRule="auto"/>
        <w:ind w:firstLine="0"/>
        <w:jc w:val="both"/>
      </w:pPr>
      <w:r>
        <w:rPr>
          <w:rFonts w:ascii="Times New Roman" w:hAnsi="Times New Roman"/>
          <w:b/>
          <w:i/>
          <w:color w:val="000000"/>
          <w:sz w:val="26"/>
        </w:rPr>
        <w:t>2.1.3. Hoạt động nghiên cứu khoa học giai đoạn 2021 - 2025</w:t>
      </w:r>
    </w:p>
    <w:p>
      <w:pPr>
        <w:spacing w:before="40" w:after="80" w:line="312" w:lineRule="auto"/>
        <w:ind w:firstLine="720"/>
        <w:jc w:val="both"/>
      </w:pPr>
      <w:r>
        <w:rPr>
          <w:rFonts w:ascii="Times New Roman" w:hAnsi="Times New Roman"/>
          <w:b w:val="0"/>
          <w:i w:val="0"/>
          <w:color w:val="000000"/>
          <w:sz w:val="26"/>
        </w:rPr>
        <w:t>Giai đoạn 2021 - 2025 ghi nhận sự chuyển mình mạnh mẽ trong hoạt động nghiên cứu khoa học của Trường Đại học Thành Đô, thể hiện qua sự bứt phá về số lượng và chất lượng các công trình nghiên cứu trên tất cả các mảng: đề tài, bài báo khoa học và học liệu đào tạo. Bảng 2.2 tổng hợp chi tiết bức tranh sản phẩm khoa học công nghệ của Nhà trường trong năm năm qua:</w:t>
      </w:r>
    </w:p>
    <w:p>
      <w:pPr>
        <w:spacing w:before="160" w:after="80" w:line="312" w:lineRule="auto"/>
        <w:ind w:firstLine="0"/>
        <w:jc w:val="center"/>
      </w:pPr>
      <w:r>
        <w:rPr>
          <w:rFonts w:ascii="Times New Roman" w:hAnsi="Times New Roman"/>
          <w:b/>
          <w:i w:val="0"/>
          <w:color w:val="000000"/>
          <w:sz w:val="24"/>
        </w:rPr>
        <w:t>Bảng 2.2. Sản phẩm khoa học của Trường Đại học Thành Đô, giai đoạn 2021 - 2025</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Loại hình sản phẩm khoa học</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2021</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2022</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2023</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2024</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2025</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Tổng cộng</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**Bài báo đăng tạp chí trong nước**</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50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72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109</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**290**</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**Bài báo đăng tạp chí quốc tế**</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33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52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**115**</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**Giáo trình, tài liệu giảng dạy**</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31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**87**</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**Đề tài khoa học công nghệ cấp cơ sở**</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**38**</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**Sách xuất bản**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**12**</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**Tham luận hội thảo quốc tế**</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**16**</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**Tham luận hội thảo quốc gia**</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**21**</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**Đề tài khoa học công nghệ cấp quốc gia**</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**3**</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**Tổng cộng số bản ghi**</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**56**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**100**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**85**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**128**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**192**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**582**</w:t>
            </w:r>
          </w:p>
        </w:tc>
      </w:tr>
    </w:tbl>
    <w:p>
      <w:pPr>
        <w:spacing w:before="40" w:after="120" w:line="312" w:lineRule="auto"/>
        <w:ind w:firstLine="0"/>
        <w:jc w:val="center"/>
      </w:pPr>
      <w:r>
        <w:rPr>
          <w:rFonts w:ascii="Times New Roman" w:hAnsi="Times New Roman"/>
          <w:b w:val="0"/>
          <w:i/>
          <w:color w:val="000000"/>
          <w:sz w:val="22"/>
        </w:rPr>
        <w:t>(Nguồn: Nhóm nghiên cứu tổng hợp từ các danh mục thống kê sản phẩm khoa học của Phòng Khoa học Công nghệ. Tham luận hội thảo quốc gia không có trường thời gian năm nên ghi nhận theo tổng số bản ghi trong kỳ. Đề tài cấp cơ sở tính theo năm ghi trong mã số đề tài; đề tài cấp quốc gia tính theo năm phê duyệt kinh phí. Do đơn vị tính của các dòng khác nhau nên tổng cộng phản ánh tổng số bản ghi sản phẩm khoa học công nghệ, không phản ánh số lượng sản phẩm độc lập tuyệt đối)</w:t>
      </w:r>
    </w:p>
    <w:p>
      <w:pPr>
        <w:spacing w:before="160" w:after="80" w:line="312" w:lineRule="auto"/>
        <w:ind w:firstLine="0"/>
        <w:jc w:val="center"/>
      </w:pPr>
      <w:r>
        <w:rPr>
          <w:rFonts w:ascii="Times New Roman" w:hAnsi="Times New Roman"/>
          <w:b/>
          <w:i w:val="0"/>
          <w:color w:val="000000"/>
          <w:sz w:val="24"/>
        </w:rPr>
        <w:t>Hình 2.1. Cơ cấu và diễn biến sản phẩm khoa học theo năm, giai đoạn 2021 - 2025</w:t>
      </w:r>
    </w:p>
    <w:p>
      <w:pPr>
        <w:spacing w:before="20" w:after="20" w:line="252" w:lineRule="auto"/>
        <w:ind w:left="720"/>
        <w:jc w:val="left"/>
      </w:pPr>
      <w:r>
        <w:rPr>
          <w:rFonts w:ascii="Consolas" w:hAnsi="Consolas"/>
          <w:b w:val="0"/>
          <w:i w:val="0"/>
          <w:color w:val="000000"/>
          <w:sz w:val="19"/>
        </w:rPr>
        <w:t>Số bản ghi</w:t>
      </w:r>
    </w:p>
    <w:p>
      <w:pPr>
        <w:spacing w:before="20" w:after="20" w:line="252" w:lineRule="auto"/>
        <w:ind w:left="720"/>
        <w:jc w:val="left"/>
      </w:pPr>
      <w:r>
        <w:rPr>
          <w:rFonts w:ascii="Consolas" w:hAnsi="Consolas"/>
          <w:b w:val="0"/>
          <w:i w:val="0"/>
          <w:color w:val="000000"/>
          <w:sz w:val="19"/>
        </w:rPr>
        <w:t xml:space="preserve">  200 |                                                 [192]</w:t>
      </w:r>
    </w:p>
    <w:p>
      <w:pPr>
        <w:spacing w:before="20" w:after="20" w:line="252" w:lineRule="auto"/>
        <w:ind w:left="720"/>
        <w:jc w:val="left"/>
      </w:pPr>
      <w:r>
        <w:rPr>
          <w:rFonts w:ascii="Consolas" w:hAnsi="Consolas"/>
          <w:b w:val="0"/>
          <w:i w:val="0"/>
          <w:color w:val="000000"/>
          <w:sz w:val="19"/>
        </w:rPr>
        <w:t xml:space="preserve">      |                                                +--+</w:t>
      </w:r>
    </w:p>
    <w:p>
      <w:pPr>
        <w:spacing w:before="20" w:after="20" w:line="252" w:lineRule="auto"/>
        <w:ind w:left="720"/>
        <w:jc w:val="left"/>
      </w:pPr>
      <w:r>
        <w:rPr>
          <w:rFonts w:ascii="Consolas" w:hAnsi="Consolas"/>
          <w:b w:val="0"/>
          <w:i w:val="0"/>
          <w:color w:val="000000"/>
          <w:sz w:val="19"/>
        </w:rPr>
        <w:t xml:space="preserve">  150 |                                      [128]     |  | (Bài báo: 161)</w:t>
      </w:r>
    </w:p>
    <w:p>
      <w:pPr>
        <w:spacing w:before="20" w:after="20" w:line="252" w:lineRule="auto"/>
        <w:ind w:left="720"/>
        <w:jc w:val="left"/>
      </w:pPr>
      <w:r>
        <w:rPr>
          <w:rFonts w:ascii="Consolas" w:hAnsi="Consolas"/>
          <w:b w:val="0"/>
          <w:i w:val="0"/>
          <w:color w:val="000000"/>
          <w:sz w:val="19"/>
        </w:rPr>
        <w:t xml:space="preserve">      |                          [100]       +--+      |  |</w:t>
      </w:r>
    </w:p>
    <w:p>
      <w:pPr>
        <w:spacing w:before="20" w:after="20" w:line="252" w:lineRule="auto"/>
        <w:ind w:left="720"/>
        <w:jc w:val="left"/>
      </w:pPr>
      <w:r>
        <w:rPr>
          <w:rFonts w:ascii="Consolas" w:hAnsi="Consolas"/>
          <w:b w:val="0"/>
          <w:i w:val="0"/>
          <w:color w:val="000000"/>
          <w:sz w:val="19"/>
        </w:rPr>
        <w:t xml:space="preserve">  100 |               [56]       +--+   [85] |  |      |  |</w:t>
      </w:r>
    </w:p>
    <w:p>
      <w:pPr>
        <w:spacing w:before="20" w:after="20" w:line="252" w:lineRule="auto"/>
        <w:ind w:left="720"/>
        <w:jc w:val="left"/>
      </w:pPr>
      <w:r>
        <w:rPr>
          <w:rFonts w:ascii="Consolas" w:hAnsi="Consolas"/>
          <w:b w:val="0"/>
          <w:i w:val="0"/>
          <w:color w:val="000000"/>
          <w:sz w:val="19"/>
        </w:rPr>
        <w:t xml:space="preserve">      |               +--+       |  |   +--+ |  |      |  |</w:t>
      </w:r>
    </w:p>
    <w:p>
      <w:pPr>
        <w:spacing w:before="20" w:after="20" w:line="252" w:lineRule="auto"/>
        <w:ind w:left="720"/>
        <w:jc w:val="left"/>
      </w:pPr>
      <w:r>
        <w:rPr>
          <w:rFonts w:ascii="Consolas" w:hAnsi="Consolas"/>
          <w:b w:val="0"/>
          <w:i w:val="0"/>
          <w:color w:val="000000"/>
          <w:sz w:val="19"/>
        </w:rPr>
        <w:t xml:space="preserve">   50 |               |  |       |  |   |  | |  |      |  |</w:t>
      </w:r>
    </w:p>
    <w:p>
      <w:pPr>
        <w:spacing w:before="20" w:after="20" w:line="252" w:lineRule="auto"/>
        <w:ind w:left="720"/>
        <w:jc w:val="left"/>
      </w:pPr>
      <w:r>
        <w:rPr>
          <w:rFonts w:ascii="Consolas" w:hAnsi="Consolas"/>
          <w:b w:val="0"/>
          <w:i w:val="0"/>
          <w:color w:val="000000"/>
          <w:sz w:val="19"/>
        </w:rPr>
        <w:t xml:space="preserve">      |               |  |       |  |   |  | |  |      |  |</w:t>
      </w:r>
    </w:p>
    <w:p>
      <w:pPr>
        <w:spacing w:before="20" w:after="20" w:line="252" w:lineRule="auto"/>
        <w:ind w:left="720"/>
        <w:jc w:val="left"/>
      </w:pPr>
      <w:r>
        <w:rPr>
          <w:rFonts w:ascii="Consolas" w:hAnsi="Consolas"/>
          <w:b w:val="0"/>
          <w:i w:val="0"/>
          <w:color w:val="000000"/>
          <w:sz w:val="19"/>
        </w:rPr>
        <w:t xml:space="preserve">    0 +---------------+----------+------+----+---------+--+-----&gt; Năm</w:t>
      </w:r>
    </w:p>
    <w:p>
      <w:pPr>
        <w:spacing w:before="20" w:after="20" w:line="252" w:lineRule="auto"/>
        <w:ind w:left="720"/>
        <w:jc w:val="left"/>
      </w:pPr>
      <w:r>
        <w:rPr>
          <w:rFonts w:ascii="Consolas" w:hAnsi="Consolas"/>
          <w:b w:val="0"/>
          <w:i w:val="0"/>
          <w:color w:val="000000"/>
          <w:sz w:val="19"/>
        </w:rPr>
        <w:t xml:space="preserve">                     2021       2022   2023  2024      2025</w:t>
      </w:r>
    </w:p>
    <w:p>
      <w:pPr>
        <w:spacing w:before="40" w:after="120" w:line="312" w:lineRule="auto"/>
        <w:ind w:firstLine="0"/>
        <w:jc w:val="center"/>
      </w:pPr>
      <w:r>
        <w:rPr>
          <w:rFonts w:ascii="Times New Roman" w:hAnsi="Times New Roman"/>
          <w:b w:val="0"/>
          <w:i/>
          <w:color w:val="000000"/>
          <w:sz w:val="22"/>
        </w:rPr>
        <w:t>(Nguồn: Nhóm nghiên cứu tổng hợp từ Bảng 2.2; không gồm 21 tham luận hội thảo quốc gia do danh mục không ghi nhận trường thời gian cụ thể)</w:t>
      </w:r>
    </w:p>
    <w:p>
      <w:pPr>
        <w:spacing w:before="40" w:after="80" w:line="312" w:lineRule="auto"/>
        <w:ind w:firstLine="720"/>
        <w:jc w:val="both"/>
      </w:pPr>
      <w:r>
        <w:rPr>
          <w:rFonts w:ascii="Times New Roman" w:hAnsi="Times New Roman"/>
          <w:b w:val="0"/>
          <w:i w:val="0"/>
          <w:color w:val="000000"/>
          <w:sz w:val="26"/>
        </w:rPr>
        <w:t>Phân tích số liệu từ Bảng 2.2 và Hình 2.1 cho thấy những nét đặc trưng nổi bật trong hoạt động nghiên cứu khoa học của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**Tốc độ gia tăng vượt bậc:** Tổng số bản ghi sản phẩm khoa học đã tăng từ 56 bản ghi (năm 2021) lên 192 bản ghi (năm 2025), đạt mức tăng 3,43 lần, tương ứng với tốc độ tăng trưởng bình quân 36,1%/năm. Sự gia tăng này phản ánh hiệu quả từ chính sách khuyến khích nghiên cứu khoa học và cơ chế tính giờ quy đổi của Nhà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**Sự chuyển dịch cơ cấu sang bài báo khoa học:** Mức tăng trưởng đột biến của tổng sản phẩm khoa học công nghệ chủ yếu được dẫn dắt bởi số lượng bài báo. Nếu như năm 2021, toàn Trường chỉ công bố 23 bài báo (17 bài trong nước, 6 bài quốc tế), thì đến năm 2025 con số này đã vọt lên 161 bài (109 bài trong nước, 52 bài quốc tế), tăng gấp 7,0 lần. Tỷ trọng bài báo trong cơ cấu sản phẩm tăng từ 41,1% (năm 2021) lên tới 83,9% (năm 2025). Đáng chú ý, chất lượng công bố quốc tế có bước nhảy vọt: trong tổng số 115 bài báo quốc tế của cả giai đoạn, có tới 71 bài được đăng trên các tạp chí quốc tế uy tín thuộc danh mục có phân hạng chất lượng cao, trong đó riêng hai năm 2024 - 2025 đã đóng góp tới 68 bài (chiếm 95,8% số bài quốc tế có phân hạng).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**Hoạt động biên soạn giáo trình và tài liệu giảng dạy:** Toàn Trường ghi nhận 87 giáo trình và tài liệu học liệu được biên soạn và nghiệm thu nội bộ. Diễn biến số lượng có chiều hướng giảm dần từ 26 tài liệu (năm 2021) xuống 11 tài liệu (năm 2025). Thực tế này xuất phát từ việc trong giai đoạn đầu trường hoàn thiện hệ thống giáo trình khung, sau đó chuyển hướng tập trung nâng cấp sang các bài giảng điện tử và học liệu số phục vụ đào tạo kết hợp.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**Quy mô triển khai các đề tài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đề tài cấp cơ sở: Trong 5 năm, Trường đã giao và nghiệm thu 38 đề tài nghiên cứu khoa học cấp cơ sở với kinh phí Nhà trường tài trợ ổn định. Các đề tài phân bổ ở các lĩnh vực: Y - Dược học thực nghiệm, Công nghệ thông tin, Tự động hóa và Khoa học quản lý kinh tế.</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đề tài cấp quốc gia: Trong hai năm cuối kỳ (2024 - 2025), Trường Đại học Thành Đô đã ghi dấu ấn học thuật lớn khi chính thức được giao chủ trì 03 đề tài khoa học công nghệ cấp quốc gia do Quỹ Phát triển khoa học và công nghệ quốc gia tài trợ với tổng kinh phí lên tới 4,67 tỷ đồng (01 đề tài phê duyệt ngày 26/3/2024; 02 đề tài phê duyệt ngày 30/9/2025 và 15/12/2025). Đây là minh chứng rõ nét cho năng lực nghiên cứu khoa học chuyên sâu của đội ngũ giảng viên Nhà trường.</w:t>
      </w:r>
    </w:p>
    <w:p>
      <w:pPr>
        <w:spacing w:before="40" w:after="80" w:line="312" w:lineRule="auto"/>
        <w:ind w:firstLine="720"/>
        <w:jc w:val="both"/>
      </w:pPr>
      <w:r>
        <w:rPr>
          <w:rFonts w:ascii="Times New Roman" w:hAnsi="Times New Roman"/>
          <w:b w:val="0"/>
          <w:i w:val="0"/>
          <w:color w:val="000000"/>
          <w:sz w:val="26"/>
        </w:rPr>
        <w:t>Dưới lăng kính quản lý quyền sở hữu trí tuệ, bức tranh hoạt động khoa học công nghệ giai đoạn 2021 - 2025 mang lại ba hàm ý bối cảnh rất sâu sắc: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nhất, tiềm năng tài sản trí tuệ là rất lớn nhưng đang tồn tại chủ yếu dưới dạng quyền tác giả phi thương mại.* Bài báo khoa học chiếm tới hơn 80% sản phẩm nghiên cứu, đây là đối tượng chỉ phát sinh quyền tác giả bảo hộ tự động và hầu như không có giá trị thương mại hóa trực tiếp ra thị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hai, có sự bất tương xứng rõ rệt giữa số lượng bài báo công bố và số lượng văn bằng bảo hộ độc quyền được nộp đơn.* Trong khi công bố quốc tế tăng gấp 7 lần thì trong cả kỳ Nhà trường chỉ ghi nhận rất ít đơn đăng ký sở hữu công nghiệp. Tình trạng này phản ánh một thực tế: giảng viên có xu hướng vội vã gửi bài báo công bố để hoàn thành định mức giờ nghiên cứu hoặc tiêu chí thi đua, vô tình làm bộc lộ công khai giải pháp kỹ thuật trước khi nộp đơn, dẫn tới nguy cơ mất tính mới tuyệt đối của sáng chế theo Điều 60 Luật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ba, sự tập trung công bố và năng lực tạo lập tài sản độc quyền.* Khảo sát phân bố tác giả cho thấy hoạt động công bố tập trung vào một nhóm nghiên cứu nòng cốt: hệ số bất bình đẳng phân phối Gini về số lượt đứng tên bài báo đạt mức 0,836 (nhóm 10% tác giả dẫn đầu chiếm tới 38,3% tổng lượt đứng tên tác giả). Đặc biệt, Viện Y - Dược vừa là đơn vị công bố quốc tế mạnh, vừa là nơi sản sinh ra phần lớn các đề tài có sản phẩm tiềm năng đăng ký sáng chế và giải pháp hữu ích.</w:t>
      </w:r>
    </w:p>
    <w:p>
      <w:pPr>
        <w:spacing w:before="40" w:after="80" w:line="312" w:lineRule="auto"/>
        <w:ind w:firstLine="720"/>
        <w:jc w:val="both"/>
      </w:pPr>
      <w:r>
        <w:rPr>
          <w:rFonts w:ascii="Times New Roman" w:hAnsi="Times New Roman"/>
          <w:b w:val="0"/>
          <w:i w:val="0"/>
          <w:color w:val="000000"/>
          <w:sz w:val="26"/>
        </w:rPr>
        <w:t>Những nét khái quát về mô hình tổ chức, lực lượng nghiên cứu và bối cảnh hoạt động khoa học công nghệ tại Mục 2.1 chính là cơ sở thực chứng nền tảng để Đề tài đi sâu phân tích, mổ xẻ thực trạng quản lý quyền sở hữu trí tuệ qua bốn khâu nghiệp vụ cốt lõi tại Mục 2.2 tiếp theo.</w:t>
      </w:r>
    </w:p>
    <w:p>
      <w:pPr>
        <w:spacing w:before="240" w:after="120" w:line="312" w:lineRule="auto"/>
        <w:ind w:firstLine="0"/>
        <w:jc w:val="both"/>
      </w:pPr>
      <w:r>
        <w:rPr>
          <w:rFonts w:ascii="Times New Roman" w:hAnsi="Times New Roman"/>
          <w:b/>
          <w:i w:val="0"/>
          <w:color w:val="000000"/>
          <w:sz w:val="26"/>
        </w:rPr>
        <w:t>2.2. Thực trạng quản lý quyền sở hữu trí tuệ</w:t>
      </w:r>
    </w:p>
    <w:p>
      <w:pPr>
        <w:spacing w:before="40" w:after="80" w:line="312" w:lineRule="auto"/>
        <w:ind w:firstLine="720"/>
        <w:jc w:val="both"/>
      </w:pPr>
      <w:r>
        <w:rPr>
          <w:rFonts w:ascii="Times New Roman" w:hAnsi="Times New Roman"/>
          <w:b w:val="0"/>
          <w:i w:val="0"/>
          <w:color w:val="000000"/>
          <w:sz w:val="26"/>
        </w:rPr>
        <w:t>Quản lý quyền sở hữu trí tuệ tại Trường Đại học Thành Đô được triển khai dựa trên chu trình khép kín gồm bốn khâu nghiệp vụ cốt lõi: sáng tạo, xác lập, khai thác và bảo vệ tài sản trí tuệ. Đây là trục nội dung trọng tâm nhằm đánh giá năng lực nội sinh, hiệu lực quản trị và khả năng chuyển hóa kết quả nghiên cứu khoa học của Nhà trường thành các tài sản có giá trị pháp lý và kinh tế.</w:t>
      </w:r>
    </w:p>
    <w:p>
      <w:pPr>
        <w:spacing w:before="160" w:after="80" w:line="312" w:lineRule="auto"/>
        <w:ind w:firstLine="0"/>
        <w:jc w:val="both"/>
      </w:pPr>
      <w:r>
        <w:rPr>
          <w:rFonts w:ascii="Times New Roman" w:hAnsi="Times New Roman"/>
          <w:b/>
          <w:i/>
          <w:color w:val="000000"/>
          <w:sz w:val="26"/>
        </w:rPr>
        <w:t>2.2.1. Sáng tạo tài sản trí tuệ</w:t>
      </w:r>
    </w:p>
    <w:p>
      <w:pPr>
        <w:spacing w:before="40" w:after="80" w:line="312" w:lineRule="auto"/>
        <w:ind w:firstLine="720"/>
        <w:jc w:val="both"/>
      </w:pPr>
      <w:r>
        <w:rPr>
          <w:rFonts w:ascii="Times New Roman" w:hAnsi="Times New Roman"/>
          <w:b w:val="0"/>
          <w:i w:val="0"/>
          <w:color w:val="000000"/>
          <w:sz w:val="26"/>
        </w:rPr>
        <w:t>Khâu sáng tạo tài sản trí tuệ giữ vai trò quyết định đầu vào cho toàn bộ chu trình quản lý. Tại Trường Đại học Thành Đô, hoạt động sáng tạo được hình thành từ ba nguồn chính: các đề tài nghiên cứu khoa học các cấp, nhiệm vụ biên soạn giáo trình học liệu và các giải pháp kỹ thuật do giảng viên phát triển độc lập hoặc phối hợp với doanh nghiệp.</w:t>
      </w:r>
    </w:p>
    <w:p>
      <w:pPr>
        <w:spacing w:before="40" w:after="80" w:line="312" w:lineRule="auto"/>
        <w:ind w:firstLine="720"/>
        <w:jc w:val="both"/>
      </w:pPr>
      <w:r>
        <w:rPr>
          <w:rFonts w:ascii="Times New Roman" w:hAnsi="Times New Roman"/>
          <w:b w:val="0"/>
          <w:i w:val="0"/>
          <w:color w:val="000000"/>
          <w:sz w:val="26"/>
        </w:rPr>
        <w:t>*Cơ chế khuyến khích nghiên cứu khoa học và các kênh tài trợ:*</w:t>
      </w:r>
    </w:p>
    <w:p>
      <w:pPr>
        <w:spacing w:before="40" w:after="80" w:line="312" w:lineRule="auto"/>
        <w:ind w:firstLine="720"/>
        <w:jc w:val="both"/>
      </w:pPr>
      <w:r>
        <w:rPr>
          <w:rFonts w:ascii="Times New Roman" w:hAnsi="Times New Roman"/>
          <w:b w:val="0"/>
          <w:i w:val="0"/>
          <w:color w:val="000000"/>
          <w:sz w:val="26"/>
        </w:rPr>
        <w:t>Để thúc đẩy hoạt động sáng tạo, Nhà trường đã thiết lập ba kênh tài trợ nghiên cứu khoa học với quy mô và cơ chế vận hành khác nhau. Bảng 2.4 tổng hợp đặc điểm của ba kênh tài trợ này:</w:t>
      </w:r>
    </w:p>
    <w:p>
      <w:pPr>
        <w:spacing w:before="160" w:after="80" w:line="312" w:lineRule="auto"/>
        <w:ind w:firstLine="0"/>
        <w:jc w:val="center"/>
      </w:pPr>
      <w:r>
        <w:rPr>
          <w:rFonts w:ascii="Times New Roman" w:hAnsi="Times New Roman"/>
          <w:b/>
          <w:i w:val="0"/>
          <w:color w:val="000000"/>
          <w:sz w:val="24"/>
        </w:rPr>
        <w:t>Bảng 2.4. Ba kênh tài trợ nghiên cứu và cơ chế chi cho xác lập quyền</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Kênh tài trợ</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Quy mô</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Cơ chế chi cho xác lập quyền</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Kết quả tài sản trí tuệ trong kỳ</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**Đề tài cấp cơ sở, ngân sách của Trường**</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38 đề tài giai đoạn 2021 - 2025; 19 đề tài được cấp tổng 424,75 triệu đồng, 16 đề tài chỉ quy đổi giờ, 3 đề tài tự tìm tài trợ</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Quyết định số 213/QĐ-ĐHTĐ giao Phòng Khoa học Công nghệ nộp đơn, nộp lệ phí và cho phép chi thuê ngoài; chưa có dòng dự toán riêng</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11 đề tài có sản phẩm tiềm năng, trong đó 9 đề tài thuộc sở hữu công nghiệp; 1 đơn sáng chế</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**Quỹ Học bổng sau tiến sĩ Ngô Xuân Độ**</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Ngân sách 5 tỷ đồng giai đoạn 2025 - 2029; 10 đến 15 học bổng mỗi năm, mức 50 đến 500 triệu đồng</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Khoản chi phí khác tối đa bằng 50% chi trực tiếp</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Quỹ hoạt động từ năm 2025, đang triển khai tuyển chọn</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**Đề tài cấp quốc gia, Quỹ NAFOSTED**</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3 đề tài, tổng kinh phí 4,67 tỷ đồng, phê duyệt năm 2024 và 2025</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Thực hiện theo quy định quản lý tài chính của cơ quan tài trợ quốc gia</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Đang thực hiện nghiên cứu, chưa nghiệm thu</w:t>
            </w:r>
          </w:p>
        </w:tc>
      </w:tr>
    </w:tbl>
    <w:p>
      <w:pPr>
        <w:spacing w:before="40" w:after="120" w:line="312" w:lineRule="auto"/>
        <w:ind w:firstLine="0"/>
        <w:jc w:val="center"/>
      </w:pPr>
      <w:r>
        <w:rPr>
          <w:rFonts w:ascii="Times New Roman" w:hAnsi="Times New Roman"/>
          <w:b w:val="0"/>
          <w:i/>
          <w:color w:val="000000"/>
          <w:sz w:val="22"/>
        </w:rPr>
        <w:t>(Nguồn: Nhóm nghiên cứu tổng hợp từ danh mục đề tài cấp cơ sở, danh mục đề tài cấp quốc gia và Quyết định số 213/QĐ-ĐHTĐ)</w:t>
      </w:r>
    </w:p>
    <w:p>
      <w:pPr>
        <w:spacing w:before="40" w:after="80" w:line="312" w:lineRule="auto"/>
        <w:ind w:firstLine="720"/>
        <w:jc w:val="both"/>
      </w:pPr>
      <w:r>
        <w:rPr>
          <w:rFonts w:ascii="Times New Roman" w:hAnsi="Times New Roman"/>
          <w:b w:val="0"/>
          <w:i w:val="0"/>
          <w:color w:val="000000"/>
          <w:sz w:val="26"/>
        </w:rPr>
        <w:t>Phân tích số liệu từ Bảng 2.4 cho thấy đề tài cấp cơ sở là kênh tài trợ trực tiếp và duy nhất trong giai đoạn 2021 - 2025 đã sản sinh ra các sản phẩm cụ thể có tiềm năng xác lập quyền sở hữu công nghiệp. Trong năm năm qua, tổng kinh phí Nhà trường cấp cho các đề tài này đạt 424,75 triệu đồng. Diễn biến hình thức cấp kinh phí có sự thay đổi mang tính bước ngoặt sau năm 2022, được thể hiện rõ qua Hình 2.4 dưới đây:</w:t>
      </w:r>
    </w:p>
    <w:p>
      <w:pPr>
        <w:spacing w:before="160" w:after="80" w:line="312" w:lineRule="auto"/>
        <w:ind w:firstLine="0"/>
        <w:jc w:val="center"/>
      </w:pPr>
      <w:r>
        <w:rPr>
          <w:rFonts w:ascii="Times New Roman" w:hAnsi="Times New Roman"/>
          <w:b/>
          <w:i w:val="0"/>
          <w:color w:val="000000"/>
          <w:sz w:val="24"/>
        </w:rPr>
        <w:t>Hình 2.4. Số đề tài cấp cơ sở theo hình thức kinh phí và kinh phí Nhà trường cấp, giai đoạn 2021 - 2025</w:t>
      </w:r>
    </w:p>
    <w:p>
      <w:pPr>
        <w:spacing w:before="20" w:after="20" w:line="252" w:lineRule="auto"/>
        <w:ind w:left="720"/>
        <w:jc w:val="left"/>
      </w:pPr>
      <w:r>
        <w:rPr>
          <w:rFonts w:ascii="Consolas" w:hAnsi="Consolas"/>
          <w:b w:val="0"/>
          <w:i w:val="0"/>
          <w:color w:val="000000"/>
          <w:sz w:val="19"/>
        </w:rPr>
        <w:t>Kinh phí (triệu đồng)                                    Số đề tài</w:t>
      </w:r>
    </w:p>
    <w:p>
      <w:pPr>
        <w:spacing w:before="20" w:after="20" w:line="252" w:lineRule="auto"/>
        <w:ind w:left="720"/>
        <w:jc w:val="left"/>
      </w:pPr>
      <w:r>
        <w:rPr>
          <w:rFonts w:ascii="Consolas" w:hAnsi="Consolas"/>
          <w:b w:val="0"/>
          <w:i w:val="0"/>
          <w:color w:val="000000"/>
          <w:sz w:val="19"/>
        </w:rPr>
        <w:t xml:space="preserve">  160 |                                                  [145 trđ]  | 12</w:t>
      </w:r>
    </w:p>
    <w:p>
      <w:pPr>
        <w:spacing w:before="20" w:after="20" w:line="252" w:lineRule="auto"/>
        <w:ind w:left="720"/>
        <w:jc w:val="left"/>
      </w:pPr>
      <w:r>
        <w:rPr>
          <w:rFonts w:ascii="Consolas" w:hAnsi="Consolas"/>
          <w:b w:val="0"/>
          <w:i w:val="0"/>
          <w:color w:val="000000"/>
          <w:sz w:val="19"/>
        </w:rPr>
        <w:t xml:space="preserve">      |                                                  (7 đề tài) |</w:t>
      </w:r>
    </w:p>
    <w:p>
      <w:pPr>
        <w:spacing w:before="20" w:after="20" w:line="252" w:lineRule="auto"/>
        <w:ind w:left="720"/>
        <w:jc w:val="left"/>
      </w:pPr>
      <w:r>
        <w:rPr>
          <w:rFonts w:ascii="Consolas" w:hAnsi="Consolas"/>
          <w:b w:val="0"/>
          <w:i w:val="0"/>
          <w:color w:val="000000"/>
          <w:sz w:val="19"/>
        </w:rPr>
        <w:t xml:space="preserve">  120 |                                        [110 trđ]            | 9</w:t>
      </w:r>
    </w:p>
    <w:p>
      <w:pPr>
        <w:spacing w:before="20" w:after="20" w:line="252" w:lineRule="auto"/>
        <w:ind w:left="720"/>
        <w:jc w:val="left"/>
      </w:pPr>
      <w:r>
        <w:rPr>
          <w:rFonts w:ascii="Consolas" w:hAnsi="Consolas"/>
          <w:b w:val="0"/>
          <w:i w:val="0"/>
          <w:color w:val="000000"/>
          <w:sz w:val="19"/>
        </w:rPr>
        <w:t xml:space="preserve">      |                                        (6 đề tài)           |</w:t>
      </w:r>
    </w:p>
    <w:p>
      <w:pPr>
        <w:spacing w:before="20" w:after="20" w:line="252" w:lineRule="auto"/>
        <w:ind w:left="720"/>
        <w:jc w:val="left"/>
      </w:pPr>
      <w:r>
        <w:rPr>
          <w:rFonts w:ascii="Consolas" w:hAnsi="Consolas"/>
          <w:b w:val="0"/>
          <w:i w:val="0"/>
          <w:color w:val="000000"/>
          <w:sz w:val="19"/>
        </w:rPr>
        <w:t xml:space="preserve">   80 |                             [89,75 trđ]                     | 6</w:t>
      </w:r>
    </w:p>
    <w:p>
      <w:pPr>
        <w:spacing w:before="20" w:after="20" w:line="252" w:lineRule="auto"/>
        <w:ind w:left="720"/>
        <w:jc w:val="left"/>
      </w:pPr>
      <w:r>
        <w:rPr>
          <w:rFonts w:ascii="Consolas" w:hAnsi="Consolas"/>
          <w:b w:val="0"/>
          <w:i w:val="0"/>
          <w:color w:val="000000"/>
          <w:sz w:val="19"/>
        </w:rPr>
        <w:t xml:space="preserve">      |                             (4 đề tài)                      |</w:t>
      </w:r>
    </w:p>
    <w:p>
      <w:pPr>
        <w:spacing w:before="20" w:after="20" w:line="252" w:lineRule="auto"/>
        <w:ind w:left="720"/>
        <w:jc w:val="left"/>
      </w:pPr>
      <w:r>
        <w:rPr>
          <w:rFonts w:ascii="Consolas" w:hAnsi="Consolas"/>
          <w:b w:val="0"/>
          <w:i w:val="0"/>
          <w:color w:val="000000"/>
          <w:sz w:val="19"/>
        </w:rPr>
        <w:t xml:space="preserve">   40 |                             +----+                          | 3</w:t>
      </w:r>
    </w:p>
    <w:p>
      <w:pPr>
        <w:spacing w:before="20" w:after="20" w:line="252" w:lineRule="auto"/>
        <w:ind w:left="720"/>
        <w:jc w:val="left"/>
      </w:pPr>
      <w:r>
        <w:rPr>
          <w:rFonts w:ascii="Consolas" w:hAnsi="Consolas"/>
          <w:b w:val="0"/>
          <w:i w:val="0"/>
          <w:color w:val="000000"/>
          <w:sz w:val="19"/>
        </w:rPr>
        <w:t xml:space="preserve">      |     [0 trđ]       [80 trđ]  |    |                          |</w:t>
      </w:r>
    </w:p>
    <w:p>
      <w:pPr>
        <w:spacing w:before="20" w:after="20" w:line="252" w:lineRule="auto"/>
        <w:ind w:left="720"/>
        <w:jc w:val="left"/>
      </w:pPr>
      <w:r>
        <w:rPr>
          <w:rFonts w:ascii="Consolas" w:hAnsi="Consolas"/>
          <w:b w:val="0"/>
          <w:i w:val="0"/>
          <w:color w:val="000000"/>
          <w:sz w:val="19"/>
        </w:rPr>
        <w:t xml:space="preserve">    0 +-----+-------------+---------+----+---------------+----------+ 0</w:t>
      </w:r>
    </w:p>
    <w:p>
      <w:pPr>
        <w:spacing w:before="20" w:after="20" w:line="252" w:lineRule="auto"/>
        <w:ind w:left="720"/>
        <w:jc w:val="left"/>
      </w:pPr>
      <w:r>
        <w:rPr>
          <w:rFonts w:ascii="Consolas" w:hAnsi="Consolas"/>
          <w:b w:val="0"/>
          <w:i w:val="0"/>
          <w:color w:val="000000"/>
          <w:sz w:val="19"/>
        </w:rPr>
        <w:t xml:space="preserve">           2021          2022      2023                 2025        Năm</w:t>
      </w:r>
    </w:p>
    <w:p>
      <w:pPr>
        <w:spacing w:before="20" w:after="20" w:line="252" w:lineRule="auto"/>
        <w:ind w:left="720"/>
        <w:jc w:val="left"/>
      </w:pPr>
      <w:r>
        <w:rPr>
          <w:rFonts w:ascii="Consolas" w:hAnsi="Consolas"/>
          <w:b w:val="0"/>
          <w:i w:val="0"/>
          <w:color w:val="000000"/>
          <w:sz w:val="19"/>
        </w:rPr>
        <w:t xml:space="preserve">       (6 đề tài     (3 đề tài cấp;                 (7 đề tài cấp)</w:t>
      </w:r>
    </w:p>
    <w:p>
      <w:pPr>
        <w:spacing w:before="20" w:after="20" w:line="252" w:lineRule="auto"/>
        <w:ind w:left="720"/>
        <w:jc w:val="left"/>
      </w:pPr>
      <w:r>
        <w:rPr>
          <w:rFonts w:ascii="Consolas" w:hAnsi="Consolas"/>
          <w:b w:val="0"/>
          <w:i w:val="0"/>
          <w:color w:val="000000"/>
          <w:sz w:val="19"/>
        </w:rPr>
        <w:t xml:space="preserve">        chỉ giờ)      7 chỉ giờ)</w:t>
      </w:r>
    </w:p>
    <w:p>
      <w:pPr>
        <w:spacing w:before="40" w:after="120" w:line="312" w:lineRule="auto"/>
        <w:ind w:firstLine="0"/>
        <w:jc w:val="center"/>
      </w:pPr>
      <w:r>
        <w:rPr>
          <w:rFonts w:ascii="Times New Roman" w:hAnsi="Times New Roman"/>
          <w:b w:val="0"/>
          <w:i/>
          <w:color w:val="000000"/>
          <w:sz w:val="22"/>
        </w:rPr>
        <w:t>(Nguồn: Nhóm nghiên cứu tổng hợp từ danh mục đề tài khoa học công nghệ cấp cơ sở giai đoạn 2021 - 2025. Đề tài xếp theo năm ghi trong mã số)</w:t>
      </w:r>
    </w:p>
    <w:p>
      <w:pPr>
        <w:spacing w:before="40" w:after="80" w:line="312" w:lineRule="auto"/>
        <w:ind w:firstLine="720"/>
        <w:jc w:val="both"/>
      </w:pPr>
      <w:r>
        <w:rPr>
          <w:rFonts w:ascii="Times New Roman" w:hAnsi="Times New Roman"/>
          <w:b w:val="0"/>
          <w:i w:val="0"/>
          <w:color w:val="000000"/>
          <w:sz w:val="26"/>
        </w:rPr>
        <w:t>Cụ thể, trong hai năm đầu kỳ (2021 - 2022), hoạt động nghiên cứu chủ yếu được ghi nhận bằng hình thức quy đổi giờ nghiên cứu khoa học: toàn bộ 6 đề tài năm 2021 và 7 trên 10 đề tài năm 2022 hoàn toàn không được cấp kinh phí trực tiếp. Từ năm 2023, cơ chế tài chính nội bộ có sự chuyển dịch căn bản sang hình thức cấp kinh phí thực chi bằng tiền mặt: năm 2023 cấp 89,75 triệu đồng; năm 2024 cấp 110 triệu đồng và năm 2025 đạt mức cao nhất 145 triệu đồng. Mức kinh phí phân bổ có độ phân tán lớn: mức trung vị là 8,5 triệu đồng một đề tài, trong khi mức cao nhất lên tới 80 triệu đồng.</w:t>
      </w:r>
    </w:p>
    <w:p>
      <w:pPr>
        <w:spacing w:before="40" w:after="80" w:line="312" w:lineRule="auto"/>
        <w:ind w:firstLine="720"/>
        <w:jc w:val="both"/>
      </w:pPr>
      <w:r>
        <w:rPr>
          <w:rFonts w:ascii="Times New Roman" w:hAnsi="Times New Roman"/>
          <w:b w:val="0"/>
          <w:i w:val="0"/>
          <w:color w:val="000000"/>
          <w:sz w:val="26"/>
        </w:rPr>
        <w:t>Đáng chú ý, toàn bộ 11 đề tài có sản phẩm tiềm năng tạo lập tài sản trí tuệ đều nằm trong nhóm được cấp kinh phí bằng tiền mặt, sử dụng tổng cộng 396,75 triệu đồng (chiếm 93,4% tổng nguồn kinh phí Nhà trường đã cấp). Điều này chứng minh rằng việc bảo đảm nguồn lực tài chính trực tiếp là điều kiện tiên quyết để thúc đẩy nghiên cứu thực nghiệm tạo ra sản phẩm vật chất, đặc biệt trong lĩnh vực Y - Dược học.</w:t>
      </w:r>
    </w:p>
    <w:p>
      <w:pPr>
        <w:spacing w:before="40" w:after="80" w:line="312" w:lineRule="auto"/>
        <w:ind w:firstLine="720"/>
        <w:jc w:val="both"/>
      </w:pPr>
      <w:r>
        <w:rPr>
          <w:rFonts w:ascii="Times New Roman" w:hAnsi="Times New Roman"/>
          <w:b w:val="0"/>
          <w:i w:val="0"/>
          <w:color w:val="000000"/>
          <w:sz w:val="26"/>
        </w:rPr>
        <w:t>Bên cạnh nguồn kinh phí đề tài, động lực sáng tạo của giảng viên còn chịu sự chi phối mạnh mẽ bởi cơ chế khen thưởng và tính giờ quy đổi theo Quy chế chi tiêu nội bộ. Hình 2.5 đối sánh tương quan giữa giờ nghiên cứu quy đổi và mức thưởng bằng tiền theo loại sản phẩm khoa học:</w:t>
      </w:r>
    </w:p>
    <w:p>
      <w:pPr>
        <w:spacing w:before="160" w:after="80" w:line="312" w:lineRule="auto"/>
        <w:ind w:firstLine="0"/>
        <w:jc w:val="center"/>
      </w:pPr>
      <w:r>
        <w:rPr>
          <w:rFonts w:ascii="Times New Roman" w:hAnsi="Times New Roman"/>
          <w:b/>
          <w:i w:val="0"/>
          <w:color w:val="000000"/>
          <w:sz w:val="24"/>
        </w:rPr>
        <w:t>Hình 2.5. Giờ nghiên cứu quy đổi và mức thưởng bằng tiền theo loại sản phẩm khoa học</w:t>
      </w:r>
    </w:p>
    <w:p>
      <w:pPr>
        <w:spacing w:before="20" w:after="20" w:line="252" w:lineRule="auto"/>
        <w:ind w:left="720"/>
        <w:jc w:val="left"/>
      </w:pPr>
      <w:r>
        <w:rPr>
          <w:rFonts w:ascii="Consolas" w:hAnsi="Consolas"/>
          <w:b w:val="0"/>
          <w:i w:val="0"/>
          <w:color w:val="000000"/>
          <w:sz w:val="19"/>
        </w:rPr>
        <w:t>Sản phẩm                 Giờ quy đổi                     Mức thưởng tiền mặt</w:t>
      </w:r>
    </w:p>
    <w:p>
      <w:pPr>
        <w:spacing w:before="20" w:after="20" w:line="252" w:lineRule="auto"/>
        <w:ind w:left="720"/>
        <w:jc w:val="left"/>
      </w:pPr>
      <w:r>
        <w:rPr>
          <w:rFonts w:ascii="Consolas" w:hAnsi="Consolas"/>
          <w:b w:val="0"/>
          <w:i w:val="0"/>
          <w:color w:val="000000"/>
          <w:sz w:val="19"/>
        </w:rPr>
        <w:t>Sáng chế quốc tế         |============================== 600 giờ   (Chưa có thưởng tiền mặt)</w:t>
      </w:r>
    </w:p>
    <w:p>
      <w:pPr>
        <w:spacing w:before="20" w:after="20" w:line="252" w:lineRule="auto"/>
        <w:ind w:left="720"/>
        <w:jc w:val="left"/>
      </w:pPr>
      <w:r>
        <w:rPr>
          <w:rFonts w:ascii="Consolas" w:hAnsi="Consolas"/>
          <w:b w:val="0"/>
          <w:i w:val="0"/>
          <w:color w:val="000000"/>
          <w:sz w:val="19"/>
        </w:rPr>
        <w:t>Sáng chế Việt Nam        |================== 360 giờ               (Chưa có thưởng tiền mặt)</w:t>
      </w:r>
    </w:p>
    <w:p>
      <w:pPr>
        <w:spacing w:before="20" w:after="20" w:line="252" w:lineRule="auto"/>
        <w:ind w:left="720"/>
        <w:jc w:val="left"/>
      </w:pPr>
      <w:r>
        <w:rPr>
          <w:rFonts w:ascii="Consolas" w:hAnsi="Consolas"/>
          <w:b w:val="0"/>
          <w:i w:val="0"/>
          <w:color w:val="000000"/>
          <w:sz w:val="19"/>
        </w:rPr>
        <w:t>Giải pháp hữu ích        |============ 240 giờ                     (Chưa có thưởng tiền mặt)</w:t>
      </w:r>
    </w:p>
    <w:p>
      <w:pPr>
        <w:spacing w:before="20" w:after="20" w:line="252" w:lineRule="auto"/>
        <w:ind w:left="720"/>
        <w:jc w:val="left"/>
      </w:pPr>
      <w:r>
        <w:rPr>
          <w:rFonts w:ascii="Consolas" w:hAnsi="Consolas"/>
          <w:b w:val="0"/>
          <w:i w:val="0"/>
          <w:color w:val="000000"/>
          <w:sz w:val="19"/>
        </w:rPr>
        <w:t>Bài báo quốc tế Q1       |=============== 300 giờ        [$$$] 20 triệu đồng</w:t>
      </w:r>
    </w:p>
    <w:p>
      <w:pPr>
        <w:spacing w:before="20" w:after="20" w:line="252" w:lineRule="auto"/>
        <w:ind w:left="720"/>
        <w:jc w:val="left"/>
      </w:pPr>
      <w:r>
        <w:rPr>
          <w:rFonts w:ascii="Consolas" w:hAnsi="Consolas"/>
          <w:b w:val="0"/>
          <w:i w:val="0"/>
          <w:color w:val="000000"/>
          <w:sz w:val="19"/>
        </w:rPr>
        <w:t>Bài báo quốc tế Q2       |============ 240 giờ           [$$]  15 triệu đồng</w:t>
      </w:r>
    </w:p>
    <w:p>
      <w:pPr>
        <w:spacing w:before="20" w:after="20" w:line="252" w:lineRule="auto"/>
        <w:ind w:left="720"/>
        <w:jc w:val="left"/>
      </w:pPr>
      <w:r>
        <w:rPr>
          <w:rFonts w:ascii="Consolas" w:hAnsi="Consolas"/>
          <w:b w:val="0"/>
          <w:i w:val="0"/>
          <w:color w:val="000000"/>
          <w:sz w:val="19"/>
        </w:rPr>
        <w:t>Bài báo quốc tế Q3, Q4   |========= 180 giờ              [$]   10 triệu đồng</w:t>
      </w:r>
    </w:p>
    <w:p>
      <w:pPr>
        <w:spacing w:before="20" w:after="20" w:line="252" w:lineRule="auto"/>
        <w:ind w:left="720"/>
        <w:jc w:val="left"/>
      </w:pPr>
      <w:r>
        <w:rPr>
          <w:rFonts w:ascii="Consolas" w:hAnsi="Consolas"/>
          <w:b w:val="0"/>
          <w:i w:val="0"/>
          <w:color w:val="000000"/>
          <w:sz w:val="19"/>
        </w:rPr>
        <w:t>Bài báo trong nước       |=== 60 giờ                     (Quy đổi giờ nghĩa vụ)</w:t>
      </w:r>
    </w:p>
    <w:p>
      <w:pPr>
        <w:spacing w:before="40" w:after="120" w:line="312" w:lineRule="auto"/>
        <w:ind w:firstLine="0"/>
        <w:jc w:val="center"/>
      </w:pPr>
      <w:r>
        <w:rPr>
          <w:rFonts w:ascii="Times New Roman" w:hAnsi="Times New Roman"/>
          <w:b w:val="0"/>
          <w:i/>
          <w:color w:val="000000"/>
          <w:sz w:val="22"/>
        </w:rPr>
        <w:t>(Nguồn: Nhóm nghiên cứu tổng hợp từ Bảng 6 và Bảng 7, Quy chế chi tiêu nội bộ Trường Đại học Thành Đô ban hành ngày 01 tháng 8 năm 2026)</w:t>
      </w:r>
    </w:p>
    <w:p>
      <w:pPr>
        <w:spacing w:before="40" w:after="80" w:line="312" w:lineRule="auto"/>
        <w:ind w:firstLine="720"/>
        <w:jc w:val="both"/>
      </w:pPr>
      <w:r>
        <w:rPr>
          <w:rFonts w:ascii="Times New Roman" w:hAnsi="Times New Roman"/>
          <w:b w:val="0"/>
          <w:i w:val="0"/>
          <w:color w:val="000000"/>
          <w:sz w:val="26"/>
        </w:rPr>
        <w:t>Phân tích chính sách khuyến khích tại Hình 2.5 cho thấy một nghịch lý quản lý:</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quy đổi giờ: Nhà trường đánh giá rất cao giá trị học thuật của văn bằng độc quyền sở hữu công nghiệp. Một bằng sáng chế chuẩn Việt Nam được quy đổi tới 360 giờ (cao hơn bài báo quốc tế hạng Q1 với 300 giờ); giải pháp hữu ích được tính 240 giờ (tương đương bài báo hạng Q2).</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thưởng tiền mặt: Quy chế chi tiêu nội bộ hiện hành chỉ áp dụng cơ chế thưởng tiền mặt tức thời cho các bài báo khoa học quốc tế (từ 10 đến 20 triệu đồng một bài) và được chi trả ngay sau khi bài báo xuất bản. Ngược lại, văn bằng sở hữu công nghiệp chưa được bố trí định mức tiền thưởng trực tiếp khi được cấp.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thời gian ghi nhận: Bài báo khoa học được Hội đồng nghiệm thu và Nhà trường ghi nhận ngay tại thời điểm đăng tải, trong khi quy trình thẩm định cấp văn bằng sáng chế kéo dài từ 2 đến 3 năm và chỉ được quy đổi giờ khi đã có bằng chính thức.</w:t>
      </w:r>
    </w:p>
    <w:p>
      <w:pPr>
        <w:spacing w:before="40" w:after="80" w:line="312" w:lineRule="auto"/>
        <w:ind w:firstLine="720"/>
        <w:jc w:val="both"/>
      </w:pPr>
      <w:r>
        <w:rPr>
          <w:rFonts w:ascii="Times New Roman" w:hAnsi="Times New Roman"/>
          <w:b w:val="0"/>
          <w:i w:val="0"/>
          <w:color w:val="000000"/>
          <w:sz w:val="26"/>
        </w:rPr>
        <w:t>*Nhận thức của giảng viên và nguồn hình thành tài sản trí tuệ:*</w:t>
      </w:r>
    </w:p>
    <w:p>
      <w:pPr>
        <w:spacing w:before="40" w:after="80" w:line="312" w:lineRule="auto"/>
        <w:ind w:firstLine="720"/>
        <w:jc w:val="both"/>
      </w:pPr>
      <w:r>
        <w:rPr>
          <w:rFonts w:ascii="Times New Roman" w:hAnsi="Times New Roman"/>
          <w:b w:val="0"/>
          <w:i w:val="0"/>
          <w:color w:val="000000"/>
          <w:sz w:val="26"/>
        </w:rPr>
        <w:t>Nghịch lý khuyến khích nêu trên tạo ra một lực đẩy tâm lý rất lớn: giảng viên có xu hướng ưu tiên viết bài báo để hoàn thành định mức giờ và nhận thưởng nhanh chóng. Nhận thức của đa số giảng viên về sở hữu trí tuệ còn dừng ở mức độ cơ bản; nhiều cán bộ nghiên cứu chưa hiểu rõ ranh giới giữa quyền tác giả và quyền sở hữu công nghiệp, chưa nhận thức được rằng việc vội vàng công bố kết quả nghiên cứu trên tạp chí hay kỷ yếu hội thảo sẽ bộc lộ công khai giải pháp kỹ thuật, làm mất đi tính mới tuyệt đối của sáng chế theo Điều 60 Luật Sở hữu trí tuệ. Khảo sát công bố cũng cho thấy sự tập trung học thuật: hệ số bất bình đẳng Gini về lượt đứng tên tác giả bài báo khoa học đạt 0,836; nhóm 10% tác giả đứng đầu đóng góp tới 38,3% tổng số công bố toàn trường.</w:t>
      </w:r>
    </w:p>
    <w:p>
      <w:pPr>
        <w:spacing w:before="40" w:after="80" w:line="312" w:lineRule="auto"/>
        <w:ind w:firstLine="720"/>
        <w:jc w:val="both"/>
      </w:pPr>
      <w:r>
        <w:rPr>
          <w:rFonts w:ascii="Times New Roman" w:hAnsi="Times New Roman"/>
          <w:b w:val="0"/>
          <w:i w:val="0"/>
          <w:color w:val="000000"/>
          <w:sz w:val="26"/>
        </w:rPr>
        <w:t>*Các sản phẩm có khả năng bảo hộ độc quyền:*</w:t>
      </w:r>
    </w:p>
    <w:p>
      <w:pPr>
        <w:spacing w:before="40" w:after="80" w:line="312" w:lineRule="auto"/>
        <w:ind w:firstLine="720"/>
        <w:jc w:val="both"/>
      </w:pPr>
      <w:r>
        <w:rPr>
          <w:rFonts w:ascii="Times New Roman" w:hAnsi="Times New Roman"/>
          <w:b w:val="0"/>
          <w:i w:val="0"/>
          <w:color w:val="000000"/>
          <w:sz w:val="26"/>
        </w:rPr>
        <w:t>Mặc dù nhận thức còn hạn chế, tiềm năng nghiên cứu thực nghiệm tại các đơn vị là rất đáng kể. Qua rà soát sản phẩm nghiệm thu của 38 đề tài cấp cơ sở giai đoạn 2021 - 2025, Đề tài đã nhận diện được 11 đề tài có sản phẩm cụ thể ngoài báo cáo và bài báo, có tiềm năng tạo lập tài sản trí tuệ. Chi tiết được tổng hợp tại Bảng 2.7:</w:t>
      </w:r>
    </w:p>
    <w:p>
      <w:pPr>
        <w:spacing w:before="160" w:after="80" w:line="312" w:lineRule="auto"/>
        <w:ind w:firstLine="0"/>
        <w:jc w:val="center"/>
      </w:pPr>
      <w:r>
        <w:rPr>
          <w:rFonts w:ascii="Times New Roman" w:hAnsi="Times New Roman"/>
          <w:b/>
          <w:i w:val="0"/>
          <w:color w:val="000000"/>
          <w:sz w:val="24"/>
        </w:rPr>
        <w:t>Bảng 2.7. Đề tài cấp cơ sở có sản phẩm tiềm năng tạo lập tài sản trí tuệ, giai đoạn 2021 - 2025</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Mã số đề tài</w:t>
            </w:r>
          </w:p>
        </w:tc>
        <w:tc>
          <w:tcPr>
            <w:tcW w:type="dxa" w:w="1567"/>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Đơn vị chủ trì</w:t>
            </w:r>
          </w:p>
        </w:tc>
        <w:tc>
          <w:tcPr>
            <w:tcW w:type="dxa" w:w="1567"/>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Sản phẩm nghiệm thu thực tế</w:t>
            </w:r>
          </w:p>
        </w:tc>
        <w:tc>
          <w:tcPr>
            <w:tcW w:type="dxa" w:w="1567"/>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Nhóm quyền dự kiến</w:t>
            </w:r>
          </w:p>
        </w:tc>
        <w:tc>
          <w:tcPr>
            <w:tcW w:type="dxa" w:w="1567"/>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Ngày nghiệm thu</w:t>
            </w:r>
          </w:p>
        </w:tc>
        <w:tc>
          <w:tcPr>
            <w:tcW w:type="dxa" w:w="1567"/>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Tình trạng đăng ký</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**37-2022**</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Công nghệ kỹ thuật Ô tô</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Mô hình kiểm tra và sửa chữa hệ thống khởi động điện trên ô tô</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Kiểu dáng công nghiệp hoặc giải pháp hữu ích</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09/11/2022</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**39-2022**</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Sản phẩm cầm máu dạng màng sinh học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 hoặc sáng chế</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10/11/2022</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**40-2022**</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Bộ mẫu cây thuốc phục vụ giảng dạy và nghiên cứu</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Quyền tác giả, sưu tập dữ liệu</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10/11/2022</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đăng ký</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**08-2023**</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Viện Nghiên cứu giáo dục và Chuyển giao tri thức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Tinh dầu Citrus grandis kèm sản phẩm mẫu</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13/11/2023</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**06-2024**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Xà phòng hữu cơ tảo biển kèm quy trình sản xuất và công thức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15/11/2024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**07-2024**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100 tiêu bản hiển vi và cẩm nang phát hiện giun sán</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Quyền tác giả, sưu tập dữ liệu</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15/11/2024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đăng ký</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**08-2024**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Rutin độ tinh khiết 90% kèm quy trình chiết xuất và tinh chế</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 hoặc sáng chế</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15/11/2024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**09-2024**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Khoa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Thang thuốc thảo dược 100 ml kèm công thức và quy trình sắc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15/11/2024</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**06-2025**</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Viện Y -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Công thức cồn thuốc xoa bóp trị đau nhức xương khớp</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25/12/2025</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**07-2025**</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Viện Y -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 trình bào chế viên ngậm thảo dược giảm ho</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25/12/2025</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w:t>
            </w:r>
          </w:p>
        </w:tc>
      </w:tr>
      <w:tr>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**09-2025**</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Viện Y - Dược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Cao chiết lá Quế hoa giàu hoạt chất sinh học</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Bằng độc quyền sáng chế</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25/12/2025</w:t>
            </w:r>
          </w:p>
        </w:tc>
        <w:tc>
          <w:tcPr>
            <w:tcW w:type="dxa" w:w="1567"/>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nộp đơn năm 2025</w:t>
            </w:r>
          </w:p>
        </w:tc>
      </w:tr>
    </w:tbl>
    <w:p>
      <w:pPr>
        <w:spacing w:before="40" w:after="120" w:line="312" w:lineRule="auto"/>
        <w:ind w:firstLine="0"/>
        <w:jc w:val="center"/>
      </w:pPr>
      <w:r>
        <w:rPr>
          <w:rFonts w:ascii="Times New Roman" w:hAnsi="Times New Roman"/>
          <w:b w:val="0"/>
          <w:i/>
          <w:color w:val="000000"/>
          <w:sz w:val="22"/>
        </w:rPr>
        <w:t>(Nguồn: Nhóm nghiên cứu tổng hợp từ danh mục đề tài khoa học công nghệ cấp cơ sở giai đoạn 2021 - 2025 của Trường Đại học Thành Đô)</w:t>
      </w:r>
    </w:p>
    <w:p>
      <w:pPr>
        <w:spacing w:before="40" w:after="80" w:line="312" w:lineRule="auto"/>
        <w:ind w:firstLine="720"/>
        <w:jc w:val="both"/>
      </w:pPr>
      <w:r>
        <w:rPr>
          <w:rFonts w:ascii="Times New Roman" w:hAnsi="Times New Roman"/>
          <w:b w:val="0"/>
          <w:i w:val="0"/>
          <w:color w:val="000000"/>
          <w:sz w:val="26"/>
        </w:rPr>
        <w:t>Cơ cấu phân bổ nhóm quyền của 11 sản phẩm tiềm năng tại Bảng 2.7 được khái quát qua Hình 2.8:</w:t>
      </w:r>
    </w:p>
    <w:p>
      <w:pPr>
        <w:spacing w:before="160" w:after="80" w:line="312" w:lineRule="auto"/>
        <w:ind w:firstLine="0"/>
        <w:jc w:val="center"/>
      </w:pPr>
      <w:r>
        <w:rPr>
          <w:rFonts w:ascii="Times New Roman" w:hAnsi="Times New Roman"/>
          <w:b/>
          <w:i w:val="0"/>
          <w:color w:val="000000"/>
          <w:sz w:val="24"/>
        </w:rPr>
        <w:t>Hình 2.8. Sản phẩm đề tài cấp cơ sở có tiềm năng tạo lập tài sản trí tuệ theo nhóm quyền dự kiến</w:t>
      </w:r>
    </w:p>
    <w:p>
      <w:pPr>
        <w:spacing w:before="20" w:after="20" w:line="252" w:lineRule="auto"/>
        <w:ind w:left="720"/>
        <w:jc w:val="left"/>
      </w:pPr>
      <w:r>
        <w:rPr>
          <w:rFonts w:ascii="Consolas" w:hAnsi="Consolas"/>
          <w:b w:val="0"/>
          <w:i w:val="0"/>
          <w:color w:val="000000"/>
          <w:sz w:val="19"/>
        </w:rPr>
        <w:t xml:space="preserve">  Sở hữu công nghiệp (9 sản phẩm - 81,8%)</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  Giải pháp hữu ích: 8 sản phẩm (72,7%)                |</w:t>
      </w:r>
    </w:p>
    <w:p>
      <w:pPr>
        <w:spacing w:before="20" w:after="20" w:line="252" w:lineRule="auto"/>
        <w:ind w:left="720"/>
        <w:jc w:val="left"/>
      </w:pPr>
      <w:r>
        <w:rPr>
          <w:rFonts w:ascii="Consolas" w:hAnsi="Consolas"/>
          <w:b w:val="0"/>
          <w:i w:val="0"/>
          <w:color w:val="000000"/>
          <w:sz w:val="19"/>
        </w:rPr>
        <w:t xml:space="preserve">  |  - Quy trình chiết xuất Rutin                         |</w:t>
      </w:r>
    </w:p>
    <w:p>
      <w:pPr>
        <w:spacing w:before="20" w:after="20" w:line="252" w:lineRule="auto"/>
        <w:ind w:left="720"/>
        <w:jc w:val="left"/>
      </w:pPr>
      <w:r>
        <w:rPr>
          <w:rFonts w:ascii="Consolas" w:hAnsi="Consolas"/>
          <w:b w:val="0"/>
          <w:i w:val="0"/>
          <w:color w:val="000000"/>
          <w:sz w:val="19"/>
        </w:rPr>
        <w:t xml:space="preserve">  |  - Công thức viên ngậm giảm ho                        |</w:t>
      </w:r>
    </w:p>
    <w:p>
      <w:pPr>
        <w:spacing w:before="20" w:after="20" w:line="252" w:lineRule="auto"/>
        <w:ind w:left="720"/>
        <w:jc w:val="left"/>
      </w:pPr>
      <w:r>
        <w:rPr>
          <w:rFonts w:ascii="Consolas" w:hAnsi="Consolas"/>
          <w:b w:val="0"/>
          <w:i w:val="0"/>
          <w:color w:val="000000"/>
          <w:sz w:val="19"/>
        </w:rPr>
        <w:t xml:space="preserve">  |  - Công thức cồn thuốc xoa bóp                        |</w:t>
      </w:r>
    </w:p>
    <w:p>
      <w:pPr>
        <w:spacing w:before="20" w:after="20" w:line="252" w:lineRule="auto"/>
        <w:ind w:left="720"/>
        <w:jc w:val="left"/>
      </w:pPr>
      <w:r>
        <w:rPr>
          <w:rFonts w:ascii="Consolas" w:hAnsi="Consolas"/>
          <w:b w:val="0"/>
          <w:i w:val="0"/>
          <w:color w:val="000000"/>
          <w:sz w:val="19"/>
        </w:rPr>
        <w:t xml:space="preserve">  |  - Công thức xà phòng tảo biển...                     |</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  Sáng chế: 1 sản phẩm (9,1%)                          |</w:t>
      </w:r>
    </w:p>
    <w:p>
      <w:pPr>
        <w:spacing w:before="20" w:after="20" w:line="252" w:lineRule="auto"/>
        <w:ind w:left="720"/>
        <w:jc w:val="left"/>
      </w:pPr>
      <w:r>
        <w:rPr>
          <w:rFonts w:ascii="Consolas" w:hAnsi="Consolas"/>
          <w:b w:val="0"/>
          <w:i w:val="0"/>
          <w:color w:val="000000"/>
          <w:sz w:val="19"/>
        </w:rPr>
        <w:t xml:space="preserve">  |  - Chiết xuất lá Quế hoa (Đơn nộp năm 2025)           |</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Quyền tác giả (2 sản phẩm - 18,2%)</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  Sưu tập dữ liệu khoa học: 2 sản phẩm (18,2%)         |</w:t>
      </w:r>
    </w:p>
    <w:p>
      <w:pPr>
        <w:spacing w:before="20" w:after="20" w:line="252" w:lineRule="auto"/>
        <w:ind w:left="720"/>
        <w:jc w:val="left"/>
      </w:pPr>
      <w:r>
        <w:rPr>
          <w:rFonts w:ascii="Consolas" w:hAnsi="Consolas"/>
          <w:b w:val="0"/>
          <w:i w:val="0"/>
          <w:color w:val="000000"/>
          <w:sz w:val="19"/>
        </w:rPr>
        <w:t xml:space="preserve">  |  - Bộ mẫu cây thuốc, 100 tiêu bản hiển vi             |</w:t>
      </w:r>
    </w:p>
    <w:p>
      <w:pPr>
        <w:spacing w:before="20" w:after="20" w:line="252" w:lineRule="auto"/>
        <w:ind w:left="720"/>
        <w:jc w:val="left"/>
      </w:pPr>
      <w:r>
        <w:rPr>
          <w:rFonts w:ascii="Consolas" w:hAnsi="Consolas"/>
          <w:b w:val="0"/>
          <w:i w:val="0"/>
          <w:color w:val="000000"/>
          <w:sz w:val="19"/>
        </w:rPr>
        <w:t xml:space="preserve">  +-------------------------------------------------------+</w:t>
      </w:r>
    </w:p>
    <w:p>
      <w:pPr>
        <w:spacing w:before="40" w:after="120" w:line="312" w:lineRule="auto"/>
        <w:ind w:firstLine="0"/>
        <w:jc w:val="center"/>
      </w:pPr>
      <w:r>
        <w:rPr>
          <w:rFonts w:ascii="Times New Roman" w:hAnsi="Times New Roman"/>
          <w:b w:val="0"/>
          <w:i/>
          <w:color w:val="000000"/>
          <w:sz w:val="22"/>
        </w:rPr>
        <w:t>(Nguồn: Nhóm nghiên cứu tổng hợp từ Bảng 2.7)</w:t>
      </w:r>
    </w:p>
    <w:p>
      <w:pPr>
        <w:spacing w:before="40" w:after="80" w:line="312" w:lineRule="auto"/>
        <w:ind w:firstLine="720"/>
        <w:jc w:val="both"/>
      </w:pPr>
      <w:r>
        <w:rPr>
          <w:rFonts w:ascii="Times New Roman" w:hAnsi="Times New Roman"/>
          <w:b w:val="0"/>
          <w:i w:val="0"/>
          <w:color w:val="000000"/>
          <w:sz w:val="26"/>
        </w:rPr>
        <w:t>Dữ liệu tại Bảng 2.7 và Hình 2.8 khẳng định hai đặc điểm nổi bật: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nhất, lĩnh vực Dược học thực nghiệm là cái nôi chủ lực sản sinh tài sản trí tuệ của Nhà trường: 10 trên 11 đề tài có sản phẩm tiềm năng thuộc về Khoa Dược và Viện Y - Dược.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hai, giải pháp hữu ích là đối tượng phù hợp nhất với quy mô nghiên cứu ứng dụng của trường đại học định hướng thực hành (chiếm tới 72,7% tổng số sản phẩm tiềm năng). Loại hình này không đòi hỏi trình độ sáng tạo quá cao như sáng chế nhưng lại có tính ứng dụng thực tiễn rất lớn, thời gian thẩm định nhanh hơn. Tuy nhiên, ngoại trừ đề tài Quế hoa nộp đơn sáng chế, toàn bộ 8 sản phẩm giải pháp hữu ích còn lại đều chưa được tiến hành nộp đơn đăng ký bảo hộ độc quyền.</w:t>
      </w:r>
    </w:p>
    <w:p>
      <w:pPr>
        <w:spacing w:before="160" w:after="80" w:line="312" w:lineRule="auto"/>
        <w:ind w:firstLine="0"/>
        <w:jc w:val="both"/>
      </w:pPr>
      <w:r>
        <w:rPr>
          <w:rFonts w:ascii="Times New Roman" w:hAnsi="Times New Roman"/>
          <w:b/>
          <w:i/>
          <w:color w:val="000000"/>
          <w:sz w:val="26"/>
        </w:rPr>
        <w:t>2.2.2. Xác lập quyền sở hữu trí tuệ</w:t>
      </w:r>
    </w:p>
    <w:p>
      <w:pPr>
        <w:spacing w:before="40" w:after="80" w:line="312" w:lineRule="auto"/>
        <w:ind w:firstLine="720"/>
        <w:jc w:val="both"/>
      </w:pPr>
      <w:r>
        <w:rPr>
          <w:rFonts w:ascii="Times New Roman" w:hAnsi="Times New Roman"/>
          <w:b w:val="0"/>
          <w:i w:val="0"/>
          <w:color w:val="000000"/>
          <w:sz w:val="26"/>
        </w:rPr>
        <w:t>Xác lập quyền sở hữu trí tuệ là bước chuyển hóa then chốt để hợp pháp hóa các kết quả sáng tạo thành tài sản pháp lý độc quyền được pháp luật bảo vệ.</w:t>
      </w:r>
    </w:p>
    <w:p>
      <w:pPr>
        <w:spacing w:before="40" w:after="80" w:line="312" w:lineRule="auto"/>
        <w:ind w:firstLine="720"/>
        <w:jc w:val="both"/>
      </w:pPr>
      <w:r>
        <w:rPr>
          <w:rFonts w:ascii="Times New Roman" w:hAnsi="Times New Roman"/>
          <w:b w:val="0"/>
          <w:i w:val="0"/>
          <w:color w:val="000000"/>
          <w:sz w:val="26"/>
        </w:rPr>
        <w:t>*Quy định và quy trình nội bộ về xác lập quyền:*</w:t>
      </w:r>
    </w:p>
    <w:p>
      <w:pPr>
        <w:spacing w:before="40" w:after="80" w:line="312" w:lineRule="auto"/>
        <w:ind w:firstLine="720"/>
        <w:jc w:val="both"/>
      </w:pPr>
      <w:r>
        <w:rPr>
          <w:rFonts w:ascii="Times New Roman" w:hAnsi="Times New Roman"/>
          <w:b w:val="0"/>
          <w:i w:val="0"/>
          <w:color w:val="000000"/>
          <w:sz w:val="26"/>
        </w:rPr>
        <w:t>Về mặt thể chế nội bộ, Trường Đại học Thành Đô là một trong những đơn vị có nhận thức sớm về quản lý tài sản trí tuệ khi đã ban hành Quyết định số 213/QĐ-ĐHTĐ năm 2021 dành riêng Chương VI điều chỉnh công tác này, sau đó tiếp tục ban hành Quyết định số 217/QĐ-ĐHTĐ ngày 21 tháng 11 năm 2024 quy định chuyên biệt về quản lý quyền sở hữu trí tuệ. Bảng 2.5 đối sánh ba lớp thông tin: đối tượng quyền theo Luật Sở hữu trí tuệ, phạm vi quy chế nội bộ và thực tế phát sinh trong giai đoạn 2021 - 2025:</w:t>
      </w:r>
    </w:p>
    <w:p>
      <w:pPr>
        <w:spacing w:before="160" w:after="80" w:line="312" w:lineRule="auto"/>
        <w:ind w:firstLine="0"/>
        <w:jc w:val="center"/>
      </w:pPr>
      <w:r>
        <w:rPr>
          <w:rFonts w:ascii="Times New Roman" w:hAnsi="Times New Roman"/>
          <w:b/>
          <w:i w:val="0"/>
          <w:color w:val="000000"/>
          <w:sz w:val="24"/>
        </w:rPr>
        <w:t>Bảng 2.5. Đối sánh đối tượng quyền theo Luật, theo quy chế nội bộ và theo thực tế phát sinh</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Nhóm quyền</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Đối tượng cụ thể</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Quy chế nội bộ có liệt kê</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Thực tế phát sinh tại Trường</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Tình trạng xác lập, đăng ký</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**Quyền tác giả**</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Bài báo khoa học, sách chuyên khảo</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405 bài báo, 12 cuốn sách</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Quyền phát sinh tự động; chưa nộp đơn đăng ký</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**Quyền tác giả**</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Giáo trình, tài liệu giảng dạy</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87 giáo trình, học liệu</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Quyền phát sinh tự động; chưa nộp đơn đăng ký</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**Quyền tác giả**</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Sưu tập dữ liệu, bộ tiêu bản</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Bộ mẫu cây thuốc, 100 tiêu bản</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đơn đăng ký bản quyền</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**Quyền tác giả**</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Biểu trưng, bộ nhận diện thương hiệu</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Bộ biểu trưng Nhà trường và Hệ sinh thái</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Đã được cấp 2 Giấy chứng nhận quyền tác giả</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**Sở hữu công nghiệp**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Bằng độc quyền sáng chế</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Hợp chất chiết xuất từ lá Quế hoa</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nộp 01 đơn năm 2025; 01 đơn năm 2026</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**Sở hữu công nghiệp**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hữu ích</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8 sản phẩm công thức, quy trình từ đề tài</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nộp hồ sơ đăng ký đơn nào</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**Sở hữu công nghiệp**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công nghiệp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bao bì, chai lọ sản phẩm dược</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5 hồ sơ có số hiệu văn bằng, trạng thái chờ xác minh</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**Sở hữu công nghiệp**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Nhãn hiệu</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Nhãn hiệu Trường, Edupark, Double2n</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Đã cấp 2 văn bằng bảo hộ; 01 đơn đang xử lý</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**Sở hữu công nghiệp**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Bí mật kinh doanh</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Có</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Công thức và quy trình chưa bộc lộ</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Quản lý bằng bảo mật, không đăng ký</w:t>
            </w:r>
          </w:p>
        </w:tc>
      </w:tr>
    </w:tbl>
    <w:p>
      <w:pPr>
        <w:spacing w:before="40" w:after="120" w:line="312" w:lineRule="auto"/>
        <w:ind w:firstLine="0"/>
        <w:jc w:val="center"/>
      </w:pPr>
      <w:r>
        <w:rPr>
          <w:rFonts w:ascii="Times New Roman" w:hAnsi="Times New Roman"/>
          <w:b w:val="0"/>
          <w:i/>
          <w:color w:val="000000"/>
          <w:sz w:val="22"/>
        </w:rPr>
        <w:t>(Nguồn: Nhóm nghiên cứu tổng hợp từ Luật Sở hữu trí tuệ, Quyết định số 213/QĐ-ĐHTĐ, Quyết định số 217/QĐ-ĐHTĐ và dữ liệu thực tế tại Trường Đại học Thành Đô)</w:t>
      </w:r>
    </w:p>
    <w:p>
      <w:pPr>
        <w:spacing w:before="40" w:after="80" w:line="312" w:lineRule="auto"/>
        <w:ind w:firstLine="720"/>
        <w:jc w:val="both"/>
      </w:pPr>
      <w:r>
        <w:rPr>
          <w:rFonts w:ascii="Times New Roman" w:hAnsi="Times New Roman"/>
          <w:b w:val="0"/>
          <w:i w:val="0"/>
          <w:color w:val="000000"/>
          <w:sz w:val="26"/>
        </w:rPr>
        <w:t>Kết quả đối sánh tại Bảng 2.5 cho thấy quy chế nội bộ của Nhà trường đã bao quát tương đối đầy đủ các đối tượng tài sản trí tuệ theo luật định. Tuy nhiên, khoảng trống quản lý xuất hiện rõ rệt ở việc hiện thực hóa quy chế: các nhóm đối tượng có thế mạnh vượt trội như giáo trình, sưu tập dữ liệu và đặc biệt là giải pháp hữu ích từ các đề tài cấp cơ sở hoàn toàn chưa có hồ sơ đăng ký.</w:t>
      </w:r>
    </w:p>
    <w:p>
      <w:pPr>
        <w:spacing w:before="40" w:after="80" w:line="312" w:lineRule="auto"/>
        <w:ind w:firstLine="720"/>
        <w:jc w:val="both"/>
      </w:pPr>
      <w:r>
        <w:rPr>
          <w:rFonts w:ascii="Times New Roman" w:hAnsi="Times New Roman"/>
          <w:b w:val="0"/>
          <w:i w:val="0"/>
          <w:color w:val="000000"/>
          <w:sz w:val="26"/>
        </w:rPr>
        <w:t>*Kết quả nộp đơn và cấp văn bằng bảo hộ:*</w:t>
      </w:r>
    </w:p>
    <w:p>
      <w:pPr>
        <w:spacing w:before="40" w:after="80" w:line="312" w:lineRule="auto"/>
        <w:ind w:firstLine="720"/>
        <w:jc w:val="both"/>
      </w:pPr>
      <w:r>
        <w:rPr>
          <w:rFonts w:ascii="Times New Roman" w:hAnsi="Times New Roman"/>
          <w:b w:val="0"/>
          <w:i w:val="0"/>
          <w:color w:val="000000"/>
          <w:sz w:val="26"/>
        </w:rPr>
        <w:t>Trong giai đoạn 2021 - 2025, tổng số hồ sơ tài sản trí tuệ do Trường Đại học Thành Đô đứng tên sở hữu hoặc đồng sở hữu được tổng hợp chi tiết tại Bảng 2.6:</w:t>
      </w:r>
    </w:p>
    <w:p>
      <w:pPr>
        <w:spacing w:before="160" w:after="80" w:line="312" w:lineRule="auto"/>
        <w:ind w:firstLine="0"/>
        <w:jc w:val="center"/>
      </w:pPr>
      <w:r>
        <w:rPr>
          <w:rFonts w:ascii="Times New Roman" w:hAnsi="Times New Roman"/>
          <w:b/>
          <w:i w:val="0"/>
          <w:color w:val="000000"/>
          <w:sz w:val="24"/>
        </w:rPr>
        <w:t>Bảng 2.6. Hồ sơ tài sản trí tuệ thuộc sở hữu hoặc đồng sở hữu của Trường Đại học Thành Đô</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Số TT</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Loại hình đối tượng</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Tên tài sản trí tuệ</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Số đơn hoặc số hiệu văn bằng</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Năm ghi nhận</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Trạng thái pháp lý</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Chủ sở hữu</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Quyền tác giả</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Bộ Biểu trưng Trường Đại học Thành Đô</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Giấy chứng nhận số 6534/2021/QTG</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cấp Giấy chứng nhận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Trường Đại học Thành Đô</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Quyền tác giả</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Bộ Biểu trưng Hệ sinh thái giáo dục Thành Đô</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Giấy chứng nhận số 5790/2023/QTG</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cấp Giấy chứng nhận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Trường Đại học Thành Đô</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Nhãn hiệu</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Chữ và hình: Thanh do University</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4-2021-34771; Bằng số 468353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cấp Văn bằng bảo hộ</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Trường Đại học Thành Đô</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Nhãn hiệu</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Chữ và hình: Thado Edupark</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4-2023-22141; Bằng số 545780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cấp Văn bằng bảo hộ</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Trường Đại học Thành Đô</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Nhãn hiệu</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Chữ: Double2n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số 4-2023-42540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2023</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nộp đơn, đang thẩm định</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Đồng sở hữu với Doanh nghiệp</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công nghiệp</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Bao bì dung dịch vệ sinh phụ nữ</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3-2023-02841; Số 3-0039693-000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xác minh trạng thái</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Đồng sở hữu với Doanh nghiệp</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công nghiệp</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Bao bì tinh dầu vỏ bưởi đào</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3-2023-02842; Số 3-0039694-000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xác minh trạng thái</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Đồng sở hữu với Doanh nghiệp</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công nghiệp</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Bao bì xịt miệng họng thảo dược</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3-2023-02843; Số 3-0039902-000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xác minh trạng thái</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Đồng sở hữu với Doanh nghiệp</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**9**</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công nghiệp</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Bao bì dầu gội nha đam bưởi đào</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3-2023-02844; Số 3-0039695-000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xác minh trạng thái</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Đồng sở hữu với Doanh nghiệp</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**10**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Kiểu dáng công nghiệp</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Bao bì kem ủ xả tóc thảo mộc</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3-2023-02845; Số 3-0039696-000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2024</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Chưa xác minh trạng thái</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Đồng sở hữu với Doanh nghiệp</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**11**</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Sáng chế</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Hợp chất furofuran lignan glucoside từ lá Quế hoa</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số 1-2025-07378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nộp đơn, chấp nhận hợp lệ</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Trường Đại học Thành Đô</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*12*</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Sáng chế</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Phương pháp chiết hợp chất Isoembigenin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Đơn số 1-2026-07185</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2026</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Đã nộp đơn (ngoài kỳ đánh giá)</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Trường Đại học Thành Đô</w:t>
            </w:r>
          </w:p>
        </w:tc>
      </w:tr>
    </w:tbl>
    <w:p>
      <w:pPr>
        <w:spacing w:before="40" w:after="120" w:line="312" w:lineRule="auto"/>
        <w:ind w:firstLine="0"/>
        <w:jc w:val="center"/>
      </w:pPr>
      <w:r>
        <w:rPr>
          <w:rFonts w:ascii="Times New Roman" w:hAnsi="Times New Roman"/>
          <w:b w:val="0"/>
          <w:i/>
          <w:color w:val="000000"/>
          <w:sz w:val="22"/>
        </w:rPr>
        <w:t>(Nguồn: Nhóm nghiên cứu tổng hợp từ sổ theo dõi nhãn hiệu, kiểu dáng công nghiệp và thống kê văn bằng của Trường Đại học Thành Đô. Hồ sơ số 12 nộp vào đầu năm 2026 nên chỉ ghi nhận mang tính cập nhật)</w:t>
      </w:r>
    </w:p>
    <w:p>
      <w:pPr>
        <w:spacing w:before="40" w:after="80" w:line="312" w:lineRule="auto"/>
        <w:ind w:firstLine="720"/>
        <w:jc w:val="both"/>
      </w:pPr>
      <w:r>
        <w:rPr>
          <w:rFonts w:ascii="Times New Roman" w:hAnsi="Times New Roman"/>
          <w:b w:val="0"/>
          <w:i w:val="0"/>
          <w:color w:val="000000"/>
          <w:sz w:val="26"/>
        </w:rPr>
        <w:t>Cơ cấu loại hình và trạng thái pháp lý của 11 hồ sơ tài sản trí tuệ trong giai đoạn 2021 - 2025 được minh họa tại Hình 2.7:</w:t>
      </w:r>
    </w:p>
    <w:p>
      <w:pPr>
        <w:spacing w:before="160" w:after="80" w:line="312" w:lineRule="auto"/>
        <w:ind w:firstLine="0"/>
        <w:jc w:val="center"/>
      </w:pPr>
      <w:r>
        <w:rPr>
          <w:rFonts w:ascii="Times New Roman" w:hAnsi="Times New Roman"/>
          <w:b/>
          <w:i w:val="0"/>
          <w:color w:val="000000"/>
          <w:sz w:val="24"/>
        </w:rPr>
        <w:t>Hình 2.7. Hồ sơ tài sản trí tuệ của Nhà trường trong kỳ 2021 - 2025 theo loại hình và tình trạng pháp lý</w:t>
      </w:r>
    </w:p>
    <w:p>
      <w:pPr>
        <w:spacing w:before="20" w:after="20" w:line="252" w:lineRule="auto"/>
        <w:ind w:left="720"/>
        <w:jc w:val="left"/>
      </w:pPr>
      <w:r>
        <w:rPr>
          <w:rFonts w:ascii="Consolas" w:hAnsi="Consolas"/>
          <w:b w:val="0"/>
          <w:i w:val="0"/>
          <w:color w:val="000000"/>
          <w:sz w:val="19"/>
        </w:rPr>
        <w:t xml:space="preserve">  TỔNG SỐ: 11 HỒ SƠ TÀI SẢN TRÍ TUỆ</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+---&gt; [ Đã cấp văn bằng, chứng nhận: 4 hồ sơ (36,4%) ]</w:t>
      </w:r>
    </w:p>
    <w:p>
      <w:pPr>
        <w:spacing w:before="20" w:after="20" w:line="252" w:lineRule="auto"/>
        <w:ind w:left="720"/>
        <w:jc w:val="left"/>
      </w:pPr>
      <w:r>
        <w:rPr>
          <w:rFonts w:ascii="Consolas" w:hAnsi="Consolas"/>
          <w:b w:val="0"/>
          <w:i w:val="0"/>
          <w:color w:val="000000"/>
          <w:sz w:val="19"/>
        </w:rPr>
        <w:t xml:space="preserve">  |     - 2 Giấy chứng nhận quyền tác giả bộ biểu trưng</w:t>
      </w:r>
    </w:p>
    <w:p>
      <w:pPr>
        <w:spacing w:before="20" w:after="20" w:line="252" w:lineRule="auto"/>
        <w:ind w:left="720"/>
        <w:jc w:val="left"/>
      </w:pPr>
      <w:r>
        <w:rPr>
          <w:rFonts w:ascii="Consolas" w:hAnsi="Consolas"/>
          <w:b w:val="0"/>
          <w:i w:val="0"/>
          <w:color w:val="000000"/>
          <w:sz w:val="19"/>
        </w:rPr>
        <w:t xml:space="preserve">  |     - 2 Bằng bảo hộ nhãn hiệu (Thanh do University, Thado Edupark)</w:t>
      </w:r>
    </w:p>
    <w:p>
      <w:pPr>
        <w:spacing w:before="20" w:after="20" w:line="252" w:lineRule="auto"/>
        <w:ind w:left="720"/>
        <w:jc w:val="left"/>
      </w:pPr>
      <w:r>
        <w:rPr>
          <w:rFonts w:ascii="Consolas" w:hAnsi="Consolas"/>
          <w:b w:val="0"/>
          <w:i w:val="0"/>
          <w:color w:val="000000"/>
          <w:sz w:val="19"/>
        </w:rPr>
        <w:t xml:space="preserve">  |     (Đều thuộc sở hữu riêng của Nhà trường - Luồng thương hiệu)</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+---&gt; [ Chưa xác minh trạng thái: 5 hồ sơ (45,5%) ]</w:t>
      </w:r>
    </w:p>
    <w:p>
      <w:pPr>
        <w:spacing w:before="20" w:after="20" w:line="252" w:lineRule="auto"/>
        <w:ind w:left="720"/>
        <w:jc w:val="left"/>
      </w:pPr>
      <w:r>
        <w:rPr>
          <w:rFonts w:ascii="Consolas" w:hAnsi="Consolas"/>
          <w:b w:val="0"/>
          <w:i w:val="0"/>
          <w:color w:val="000000"/>
          <w:sz w:val="19"/>
        </w:rPr>
        <w:t xml:space="preserve">  |     - 5 Kiểu dáng công nghiệp bao bì sản phẩm thảo dược</w:t>
      </w:r>
    </w:p>
    <w:p>
      <w:pPr>
        <w:spacing w:before="20" w:after="20" w:line="252" w:lineRule="auto"/>
        <w:ind w:left="720"/>
        <w:jc w:val="left"/>
      </w:pPr>
      <w:r>
        <w:rPr>
          <w:rFonts w:ascii="Consolas" w:hAnsi="Consolas"/>
          <w:b w:val="0"/>
          <w:i w:val="0"/>
          <w:color w:val="000000"/>
          <w:sz w:val="19"/>
        </w:rPr>
        <w:t xml:space="preserve">  |     (Đồng sở hữu với Doanh nghiệp - Luồng hợp tác)</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+---&gt; [ Đang thẩm định đơn: 2 hồ sơ (18,2%) ]</w:t>
      </w:r>
    </w:p>
    <w:p>
      <w:pPr>
        <w:spacing w:before="20" w:after="20" w:line="252" w:lineRule="auto"/>
        <w:ind w:left="720"/>
        <w:jc w:val="left"/>
      </w:pPr>
      <w:r>
        <w:rPr>
          <w:rFonts w:ascii="Consolas" w:hAnsi="Consolas"/>
          <w:b w:val="0"/>
          <w:i w:val="0"/>
          <w:color w:val="000000"/>
          <w:sz w:val="19"/>
        </w:rPr>
        <w:t xml:space="preserve">        - 1 Đơn nhãn hiệu Double2n (Đồng sở hữu)</w:t>
      </w:r>
    </w:p>
    <w:p>
      <w:pPr>
        <w:spacing w:before="20" w:after="20" w:line="252" w:lineRule="auto"/>
        <w:ind w:left="720"/>
        <w:jc w:val="left"/>
      </w:pPr>
      <w:r>
        <w:rPr>
          <w:rFonts w:ascii="Consolas" w:hAnsi="Consolas"/>
          <w:b w:val="0"/>
          <w:i w:val="0"/>
          <w:color w:val="000000"/>
          <w:sz w:val="19"/>
        </w:rPr>
        <w:t xml:space="preserve">        - 1 Đơn bằng độc quyền sáng chế lá Quế hoa (Trường sở hữu riêng)</w:t>
      </w:r>
    </w:p>
    <w:p>
      <w:pPr>
        <w:spacing w:before="40" w:after="120" w:line="312" w:lineRule="auto"/>
        <w:ind w:firstLine="0"/>
        <w:jc w:val="center"/>
      </w:pPr>
      <w:r>
        <w:rPr>
          <w:rFonts w:ascii="Times New Roman" w:hAnsi="Times New Roman"/>
          <w:b w:val="0"/>
          <w:i/>
          <w:color w:val="000000"/>
          <w:sz w:val="22"/>
        </w:rPr>
        <w:t>(Nguồn: Nhóm nghiên cứu tổng hợp từ Bảng 2.6; chưa tính đơn sáng chế nộp năm 2026)</w:t>
      </w:r>
    </w:p>
    <w:p>
      <w:pPr>
        <w:spacing w:before="40" w:after="80" w:line="312" w:lineRule="auto"/>
        <w:ind w:firstLine="720"/>
        <w:jc w:val="both"/>
      </w:pPr>
      <w:r>
        <w:rPr>
          <w:rFonts w:ascii="Times New Roman" w:hAnsi="Times New Roman"/>
          <w:b w:val="0"/>
          <w:i w:val="0"/>
          <w:color w:val="000000"/>
          <w:sz w:val="26"/>
        </w:rPr>
        <w:t>Phân tích dữ liệu từ Bảng 2.6 và Hình 2.7 phản ánh rõ ba luồng tài sản: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Luồng tài sản thương hiệu: Gồm 4 tài sản do Nhà trường đứng tên đơn sở hữu, đạt tỷ lệ bảo hộ thành công 100% với 2 giấy chứng nhận quyền tác giả và 2 văn bằng bảo hộ nhãn hiệu. Đây là luồng tài sản phục vụ trực tiếp cho hoạt động định vị thương hiệu và tuyển sinh.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Luồng hợp tác doanh nghiệp: Gồm 5 kiểu dáng công nghiệp và 1 nhãn hiệu đồng sở hữu với doanh nghiệp đối tác sản xuất dược phẩm. Đây là minh chứng tích cực cho mô hình gắn kết nhà trường và doanh nghiệp. Tuy nhiên, trạng thái pháp lý của 5 kiểu dáng này đang có sự mâu thuẫn giữa sổ thống kê văn bằng (ghi nhận đã có số bằng) và sổ theo dõi đơn (ghi nhận đang chờ cấp), đòi hỏi Phòng Khoa học Công nghệ và Bộ phận Pháp chế phải rà soát, xác minh lại với Cục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Luồng kết quả nghiên cứu khoa học: Trong cả giai đoạn 5 năm, Nhà trường chỉ nộp được duy nhất 01 đơn đăng ký sáng chế (đơn số 1-2025-07378 đối với hợp chất chiết xuất từ lá Quế hoa do Viện Y - Dược thực hiện).</w:t>
      </w:r>
    </w:p>
    <w:p>
      <w:pPr>
        <w:spacing w:before="40" w:after="80" w:line="312" w:lineRule="auto"/>
        <w:ind w:firstLine="720"/>
        <w:jc w:val="both"/>
      </w:pPr>
      <w:r>
        <w:rPr>
          <w:rFonts w:ascii="Times New Roman" w:hAnsi="Times New Roman"/>
          <w:b w:val="0"/>
          <w:i w:val="0"/>
          <w:color w:val="000000"/>
          <w:sz w:val="26"/>
        </w:rPr>
        <w:t>*Phân tích điểm nghẽn và phễu hao hụt chuyển hóa:*</w:t>
      </w:r>
    </w:p>
    <w:p>
      <w:pPr>
        <w:spacing w:before="40" w:after="80" w:line="312" w:lineRule="auto"/>
        <w:ind w:firstLine="720"/>
        <w:jc w:val="both"/>
      </w:pPr>
      <w:r>
        <w:rPr>
          <w:rFonts w:ascii="Times New Roman" w:hAnsi="Times New Roman"/>
          <w:b w:val="0"/>
          <w:i w:val="0"/>
          <w:color w:val="000000"/>
          <w:sz w:val="26"/>
        </w:rPr>
        <w:t>Sự đứt gãy giữa năng lực nghiên cứu khoa học và kết quả xác lập quyền sở hữu công nghiệp thể hiện rõ nét qua mô hình phễu chuyển hóa tại Hình 2.9:</w:t>
      </w:r>
    </w:p>
    <w:p>
      <w:pPr>
        <w:spacing w:before="160" w:after="80" w:line="312" w:lineRule="auto"/>
        <w:ind w:firstLine="0"/>
        <w:jc w:val="center"/>
      </w:pPr>
      <w:r>
        <w:rPr>
          <w:rFonts w:ascii="Times New Roman" w:hAnsi="Times New Roman"/>
          <w:b/>
          <w:i w:val="0"/>
          <w:color w:val="000000"/>
          <w:sz w:val="24"/>
        </w:rPr>
        <w:t>Hình 2.9. Chuỗi chuyển hóa từ đề tài cấp cơ sở sang đơn đăng ký sở hữu công nghiệp</w:t>
      </w:r>
    </w:p>
    <w:p>
      <w:pPr>
        <w:spacing w:before="20" w:after="20" w:line="252" w:lineRule="auto"/>
        <w:ind w:left="720"/>
        <w:jc w:val="left"/>
      </w:pPr>
      <w:r>
        <w:rPr>
          <w:rFonts w:ascii="Consolas" w:hAnsi="Consolas"/>
          <w:b w:val="0"/>
          <w:i w:val="0"/>
          <w:color w:val="000000"/>
          <w:sz w:val="19"/>
        </w:rPr>
        <w:t xml:space="preserve">  [ TỔNG SỐ ĐỀ TÀI CẤP CƠ SỞ ]</w:t>
      </w:r>
    </w:p>
    <w:p>
      <w:pPr>
        <w:spacing w:before="20" w:after="20" w:line="252" w:lineRule="auto"/>
        <w:ind w:left="720"/>
        <w:jc w:val="left"/>
      </w:pPr>
      <w:r>
        <w:rPr>
          <w:rFonts w:ascii="Consolas" w:hAnsi="Consolas"/>
          <w:b w:val="0"/>
          <w:i w:val="0"/>
          <w:color w:val="000000"/>
          <w:sz w:val="19"/>
        </w:rPr>
        <w:t xml:space="preserve">            38 đề tài (100%)</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 (Hao hụt 76,3% do thiếu hướng nghiên cứu ứng dụng thực nghiệm)</w:t>
      </w:r>
    </w:p>
    <w:p>
      <w:pPr>
        <w:spacing w:before="20" w:after="20" w:line="252" w:lineRule="auto"/>
        <w:ind w:left="720"/>
        <w:jc w:val="left"/>
      </w:pPr>
      <w:r>
        <w:rPr>
          <w:rFonts w:ascii="Consolas" w:hAnsi="Consolas"/>
          <w:b w:val="0"/>
          <w:i w:val="0"/>
          <w:color w:val="000000"/>
          <w:sz w:val="19"/>
        </w:rPr>
        <w:t xml:space="preserve">  [ ĐỀ TÀI CÓ SẢN PHẨM TIỀM NĂNG SỞ HỮU CÔNG NGHIỆP ]</w:t>
      </w:r>
    </w:p>
    <w:p>
      <w:pPr>
        <w:spacing w:before="20" w:after="20" w:line="252" w:lineRule="auto"/>
        <w:ind w:left="720"/>
        <w:jc w:val="left"/>
      </w:pPr>
      <w:r>
        <w:rPr>
          <w:rFonts w:ascii="Consolas" w:hAnsi="Consolas"/>
          <w:b w:val="0"/>
          <w:i w:val="0"/>
          <w:color w:val="000000"/>
          <w:sz w:val="19"/>
        </w:rPr>
        <w:t xml:space="preserve">            9 đề tài (23,7%)</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 (Hao hụt 88,9% do đứt gãy quy trình xác lập quyền)</w:t>
      </w:r>
    </w:p>
    <w:p>
      <w:pPr>
        <w:spacing w:before="20" w:after="20" w:line="252" w:lineRule="auto"/>
        <w:ind w:left="720"/>
        <w:jc w:val="left"/>
      </w:pPr>
      <w:r>
        <w:rPr>
          <w:rFonts w:ascii="Consolas" w:hAnsi="Consolas"/>
          <w:b w:val="0"/>
          <w:i w:val="0"/>
          <w:color w:val="000000"/>
          <w:sz w:val="19"/>
        </w:rPr>
        <w:t xml:space="preserve">  [ ĐỀ TÀI THỰC TẾ NỘP ĐƠN ĐĂNG KÝ BẢO HỘ ]</w:t>
      </w:r>
    </w:p>
    <w:p>
      <w:pPr>
        <w:spacing w:before="20" w:after="20" w:line="252" w:lineRule="auto"/>
        <w:ind w:left="720"/>
        <w:jc w:val="left"/>
      </w:pPr>
      <w:r>
        <w:rPr>
          <w:rFonts w:ascii="Consolas" w:hAnsi="Consolas"/>
          <w:b w:val="0"/>
          <w:i w:val="0"/>
          <w:color w:val="000000"/>
          <w:sz w:val="19"/>
        </w:rPr>
        <w:t xml:space="preserve">            1 đề tài (2,6% trên tổng số đề tài; 11,1% trong nhóm tiềm năng)</w:t>
      </w:r>
    </w:p>
    <w:p>
      <w:pPr>
        <w:spacing w:before="20" w:after="20" w:line="252" w:lineRule="auto"/>
        <w:ind w:left="720"/>
        <w:jc w:val="left"/>
      </w:pPr>
      <w:r>
        <w:rPr>
          <w:rFonts w:ascii="Consolas" w:hAnsi="Consolas"/>
          <w:b w:val="0"/>
          <w:i w:val="0"/>
          <w:color w:val="000000"/>
          <w:sz w:val="19"/>
        </w:rPr>
        <w:t xml:space="preserve">            (Duy nhất Đề tài mã số 09-2025 nộp đơn sáng chế)</w:t>
      </w:r>
    </w:p>
    <w:p>
      <w:pPr>
        <w:spacing w:before="40" w:after="120" w:line="312" w:lineRule="auto"/>
        <w:ind w:firstLine="0"/>
        <w:jc w:val="center"/>
      </w:pPr>
      <w:r>
        <w:rPr>
          <w:rFonts w:ascii="Times New Roman" w:hAnsi="Times New Roman"/>
          <w:b w:val="0"/>
          <w:i/>
          <w:color w:val="000000"/>
          <w:sz w:val="22"/>
        </w:rPr>
        <w:t>(Nguồn: Nhóm nghiên cứu tính toán từ danh mục đề tài cấp cơ sở và Bảng 2.7. Chuỗi chỉ xét đối tượng sở hữu công nghiệp)</w:t>
      </w:r>
    </w:p>
    <w:p>
      <w:pPr>
        <w:spacing w:before="40" w:after="80" w:line="312" w:lineRule="auto"/>
        <w:ind w:firstLine="720"/>
        <w:jc w:val="both"/>
      </w:pPr>
      <w:r>
        <w:rPr>
          <w:rFonts w:ascii="Times New Roman" w:hAnsi="Times New Roman"/>
          <w:b w:val="0"/>
          <w:i w:val="0"/>
          <w:color w:val="000000"/>
          <w:sz w:val="26"/>
        </w:rPr>
        <w:t>Mô hình tại Hình 2.9 bộc lộ tỷ lệ hao hụt cực kỳ lớn: từ 9 đề tài cấp cơ sở tạo ra sản phẩm thực nghiệm có tiềm năng sở hữu công nghiệp, chỉ có duy nhất 1 đề tài chuyển hóa thành đơn đăng ký bảo hộ độc quyền (tỷ lệ hao hụt lên tới 88,9%).</w:t>
      </w:r>
    </w:p>
    <w:p>
      <w:pPr>
        <w:spacing w:before="40" w:after="80" w:line="312" w:lineRule="auto"/>
        <w:ind w:firstLine="720"/>
        <w:jc w:val="both"/>
      </w:pPr>
      <w:r>
        <w:rPr>
          <w:rFonts w:ascii="Times New Roman" w:hAnsi="Times New Roman"/>
          <w:b w:val="0"/>
          <w:i w:val="0"/>
          <w:color w:val="000000"/>
          <w:sz w:val="26"/>
        </w:rPr>
        <w:t>Đặc biệt nghiêm trọng hơn, khi xét nhóm 31 đề tài mang mã số từ năm 2021 đến năm 2024 (tất cả đều đã nghiệm thu chính thức trước ngày 31 tháng 5 năm 2025), có tới 6 đề tài có sản phẩm vật chất tiềm năng (như màng sinh học cầm máu, xà phòng hữu cơ tảo biển, rutin tinh chế, công thức sắc thuốc...), nhưng không có bất kỳ một đề tài nào được nộp đơn đăng ký bảo hộ độc quyền.</w:t>
      </w:r>
    </w:p>
    <w:p>
      <w:pPr>
        <w:spacing w:before="40" w:after="80" w:line="312" w:lineRule="auto"/>
        <w:ind w:firstLine="720"/>
        <w:jc w:val="both"/>
      </w:pPr>
      <w:r>
        <w:rPr>
          <w:rFonts w:ascii="Times New Roman" w:hAnsi="Times New Roman"/>
          <w:b w:val="0"/>
          <w:i w:val="0"/>
          <w:color w:val="000000"/>
          <w:sz w:val="26"/>
        </w:rPr>
        <w:t>Bản chất quản lý đằng sau điểm đứt gãy này nằm ở ba nguyên nhân trực tiếp: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nhất, quy trình quản lý đề tài khoa học của Trường chỉ dừng lại ở khâu nghiệm thu báo cáo tổng kết và kiểm tra định mức bài báo, hoàn toàn thiếu vắng bước sàng lọc khả năng bảo hộ và tình trạng bộc lộ công nghệ trước khi công bố bài báo.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hai, các biểu mẫu nghiệm thu đề tài theo Quyết định số 213/QĐ-ĐHTĐ tuy có mục hỏi về đăng ký sở hữu trí tuệ nhưng mang tính hình thức, không bắt buộc chủ nhiệm đề tài phải cung cấp biên bản tra cứu đơn sáng chế hay giải pháp hữu ích.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Thứ ba, thiếu dòng dự toán riêng và cơ chế tạm ứng kinh phí làm đơn đăng ký sở hữu công nghiệp. Khi đề tài đã nghiệm thu và quyết toán xong kinh phí, chủ nhiệm đề tài không còn nguồn tài chính để trang trải phí tra cứu và đại diện sở hữu trí tuệ, dẫn tới việc các kết quả có giá trị bị bỏ quên trong ngăn kéo học thuật hoặc bị mất tính mới do đã công bố bài báo khoa học.</w:t>
      </w:r>
    </w:p>
    <w:p>
      <w:pPr>
        <w:spacing w:before="160" w:after="80" w:line="312" w:lineRule="auto"/>
        <w:ind w:firstLine="0"/>
        <w:jc w:val="both"/>
      </w:pPr>
      <w:r>
        <w:rPr>
          <w:rFonts w:ascii="Times New Roman" w:hAnsi="Times New Roman"/>
          <w:b/>
          <w:i/>
          <w:color w:val="000000"/>
          <w:sz w:val="26"/>
        </w:rPr>
        <w:t>2.2.3. Khai thác quyền sở hữu trí tuệ</w:t>
      </w:r>
    </w:p>
    <w:p>
      <w:pPr>
        <w:spacing w:before="40" w:after="80" w:line="312" w:lineRule="auto"/>
        <w:ind w:firstLine="720"/>
        <w:jc w:val="both"/>
      </w:pPr>
      <w:r>
        <w:rPr>
          <w:rFonts w:ascii="Times New Roman" w:hAnsi="Times New Roman"/>
          <w:b w:val="0"/>
          <w:i w:val="0"/>
          <w:color w:val="000000"/>
          <w:sz w:val="26"/>
        </w:rPr>
        <w:t>Khai thác quyền sở hữu trí tuệ là khâu tạo ra giá trị kinh tế, hoàn lưu vốn đầu tư cho nghiên cứu và đem lại lợi ích vật chất, tinh thần cho nhà trường cùng đội ngũ tác giả sáng chế.</w:t>
      </w:r>
    </w:p>
    <w:p>
      <w:pPr>
        <w:spacing w:before="40" w:after="80" w:line="312" w:lineRule="auto"/>
        <w:ind w:firstLine="720"/>
        <w:jc w:val="both"/>
      </w:pPr>
      <w:r>
        <w:rPr>
          <w:rFonts w:ascii="Times New Roman" w:hAnsi="Times New Roman"/>
          <w:b w:val="0"/>
          <w:i w:val="0"/>
          <w:color w:val="000000"/>
          <w:sz w:val="26"/>
        </w:rPr>
        <w:t>*Thực trạng hoạt động khai thác và thương mại hóa:*</w:t>
      </w:r>
    </w:p>
    <w:p>
      <w:pPr>
        <w:spacing w:before="40" w:after="80" w:line="312" w:lineRule="auto"/>
        <w:ind w:firstLine="720"/>
        <w:jc w:val="both"/>
      </w:pPr>
      <w:r>
        <w:rPr>
          <w:rFonts w:ascii="Times New Roman" w:hAnsi="Times New Roman"/>
          <w:b w:val="0"/>
          <w:i w:val="0"/>
          <w:color w:val="000000"/>
          <w:sz w:val="26"/>
        </w:rPr>
        <w:t>Khảo sát thực tiễn tại Trường Đại học Thành Đô cho thấy hoạt động khai thác tài sản trí tuệ đang diễn ra ở ba cấp độ khác nhau: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Khai thác sử dụng nội bộ: Đây là hình thức phổ biến nhất. Toàn bộ 61 giáo trình và tài liệu giảng dạy nghiệm thu trong giai đoạn 2022 - 2025 đều được đưa vào giảng dạy trực tiếp cho sinh viên theo đúng số tín chỉ phân bổ, góp phần nâng cao chất lượng đào tạo và chuẩn hóa học liệu nội bộ.</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Chuyển giao nội bộ trong hệ sinh thái Nhà trường: Điển hình là sản phẩm tinh dầu bưởi từ Đề tài nghiên cứu khoa học mã số 08-2023 của Viện Nghiên cứu giáo dục và Chuyển giao tri thức. Sau khi nghiệm thu, đề tài đã bàn giao toàn bộ quy trình và sản phẩm mẫu cho Nhà trường để thương mại hóa phục vụ quà tặng và giới thiệu sản phẩm của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Khai thác thương mại có thu phí ra bên ngoài: Theo số liệu của Viện Nghiên cứu giáo dục và Chuyển giao tri thức, trong hai năm 2023 - 2024, Nhà trường đã ký kết được 02 hợp đồng chuyển giao quyền sử dụng tác phẩm đối với sách chuyên khảo với đối tác xuất bản bên ngoài, mang lại nguồn thu ổn định 5 triệu đồng một hợp đồng mỗi năm. Tuy nhiên, đối với mảng sở hữu công nghiệp, chưa có bất kỳ một sáng chế, kiểu dáng công nghiệp hay giải pháp hữu ích nào được thương mại hóa hoặc chuyển giao công nghệ cho doanh nghiệp bên ngoài.</w:t>
      </w:r>
    </w:p>
    <w:p>
      <w:pPr>
        <w:spacing w:before="40" w:after="80" w:line="312" w:lineRule="auto"/>
        <w:ind w:firstLine="720"/>
        <w:jc w:val="both"/>
      </w:pPr>
      <w:r>
        <w:rPr>
          <w:rFonts w:ascii="Times New Roman" w:hAnsi="Times New Roman"/>
          <w:b w:val="0"/>
          <w:i w:val="0"/>
          <w:color w:val="000000"/>
          <w:sz w:val="26"/>
        </w:rPr>
        <w:t>*Cơ chế phân chia lợi ích và thù lao cho tác giả:*</w:t>
      </w:r>
    </w:p>
    <w:p>
      <w:pPr>
        <w:spacing w:before="40" w:after="80" w:line="312" w:lineRule="auto"/>
        <w:ind w:firstLine="720"/>
        <w:jc w:val="both"/>
      </w:pPr>
      <w:r>
        <w:rPr>
          <w:rFonts w:ascii="Times New Roman" w:hAnsi="Times New Roman"/>
          <w:b w:val="0"/>
          <w:i w:val="0"/>
          <w:color w:val="000000"/>
          <w:sz w:val="26"/>
        </w:rPr>
        <w:t>Cơ chế phân chia nguồn thu và chi trả thù lao cho tác giả là đòn bẩy kinh tế quyết định mức độ gắn bó và tinh thần sáng tạo của nhà khoa học. Bảng 2.3 tổng hợp toàn bộ các quy định nội bộ và đối sánh với luật định hiện hành:</w:t>
      </w:r>
    </w:p>
    <w:p>
      <w:pPr>
        <w:spacing w:before="160" w:after="80" w:line="312" w:lineRule="auto"/>
        <w:ind w:firstLine="0"/>
        <w:jc w:val="center"/>
      </w:pPr>
      <w:r>
        <w:rPr>
          <w:rFonts w:ascii="Times New Roman" w:hAnsi="Times New Roman"/>
          <w:b/>
          <w:i w:val="0"/>
          <w:color w:val="000000"/>
          <w:sz w:val="24"/>
        </w:rPr>
        <w:t>Bảng 2.3. Các quy định về lợi ích của tác giả và phân chia nguồn thu từ tài sản trí tuệ</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Văn bản, điều khoản</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Phạm vi và nguồn kinh phí</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Tỷ lệ phân chia và đối tượng hưởng</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Cơ sở tính toán</w:t>
            </w:r>
          </w:p>
        </w:tc>
        <w:tc>
          <w:tcPr>
            <w:tcW w:type="dxa" w:w="188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Điều kiện và mức trần áp dụng</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**Quyết định 213, điểm a khoản 4 Điều 36 (2021)**</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Đề tài sử dụng ngân sách nhà nước do Trường chủ trì, đã nghiệm thu và thương mại hóa</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40% nộp ngân sách nhà nước; 30% nộp Nhà trường; 30% khen thưởng tập thể tác giả</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Nguồn thu sau khi trừ các khoản chi phí cần thiết, hợp lệ</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Khen thưởng tối đa 100 triệu đồng một đề tài; phần vượt chuyển vào quỹ khen thưởng chung</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**Quyết định 213, điểm b khoản 4 Điều 36 (2021)**</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Tài sản trí tuệ thuộc sở hữu của Trường: sáng chế, giải pháp hữu ích, giải pháp kỹ thuật</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Tác giả hưởng 30%; Khoa hoặc đơn vị có tác giả hưởng 20%; Quỹ nghiên cứu khoa học của Trường hưởng 50%</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Kinh phí chuyển giao sau khi trừ các chi phí hợp lệ</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Không đặt mức trần khống chế</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**Quyết định 217, Điều 13 (2024)**</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Tài sản trí tuệ thuộc sở hữu của Trường Đại học Thành Đô</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Hiệu trưởng quyết định tỷ lệ cụ thể trên cơ sở tham mưu của Hội đồng và các phòng chức năng</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Nguồn thu sau khi trừ thuế, phí, lệ phí xác lập quyền và chi phí hợp lệ</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Áp dụng khi hợp đồng không có thỏa thuận riêng hoặc quy chế chưa quy định</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**Quy chế chi tiêu nội bộ, Bảng 7 (2026)**</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Đề tài cấp cơ sở có đăng ký bảo hộ sở hữu trí tuệ</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Trích nộp 50% kinh phí chuyển giao công nghệ về Nhà trường; chưa quy định rõ phần tác giả</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Toàn bộ kinh phí chuyển giao công nghệ</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Đề tài cấp kinh phí tối đa 50 triệu đồng; nghiệm thu phải có đơn hoặc bằng</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**Điều lệ Quỹ Ngô Xuân Độ, Điều 9 (2025)**</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Sản phẩm hình thành từ kinh phí của Quỹ Học bổng</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Năm đầu: 50% tác giả, 50% Trường; Từ năm thứ hai: 20% tác giả, 80% Trường</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Nguồn thu thương mại hóa</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Áp dụng cho đối tượng nhận học bổng sau tiến sĩ của Quỹ</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**Luật KH,CN&amp;ĐMST, khoản 3 Điều 28 (2025)**</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Nhiệm vụ khoa học sử dụng ngân sách nhà nước</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Thưởng cho tác giả tối thiểu 30%; phần còn lại thưởng người xúc tiến, tái đầu tư khoa học</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Lợi nhuận sau thuế từ thương mại hóa hoặc giá trị kết quả góp vốn</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Áp dụng bắt buộc từ ngày 01 tháng 10 năm 2025; tuyệt đối không áp đặt mức trần</w:t>
            </w:r>
          </w:p>
        </w:tc>
      </w:tr>
      <w:tr>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**Luật Sở hữu trí tuệ, Điều 135 (sửa đổi)**</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Sáng chế, kiểu dáng, thiết kế bố trí, không phân biệt nguồn vốn</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Thù lao trả cho tác giả theo thỏa thuận; nếu không thỏa thuận thì áp dụng mức tối thiểu luật định</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10% lợi nhuận trước thuế nếu tự khai thác; 15% tổng doanh thu trước thuế nếu cấp phép</w:t>
            </w:r>
          </w:p>
        </w:tc>
        <w:tc>
          <w:tcPr>
            <w:tcW w:type="dxa" w:w="188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Trả thù lao trong suốt thời hạn bảo hộ độc quyền; không được áp đặt mức trần</w:t>
            </w:r>
          </w:p>
        </w:tc>
      </w:tr>
    </w:tbl>
    <w:p>
      <w:pPr>
        <w:spacing w:before="40" w:after="120" w:line="312" w:lineRule="auto"/>
        <w:ind w:firstLine="0"/>
        <w:jc w:val="center"/>
      </w:pPr>
      <w:r>
        <w:rPr>
          <w:rFonts w:ascii="Times New Roman" w:hAnsi="Times New Roman"/>
          <w:b w:val="0"/>
          <w:i/>
          <w:color w:val="000000"/>
          <w:sz w:val="22"/>
        </w:rPr>
        <w:t>(Nguồn: Nhóm nghiên cứu tổng hợp từ các văn bản nội bộ của Trường Đại học Thành Đô và văn bản quy phạm pháp luật hiện hành)</w:t>
      </w:r>
    </w:p>
    <w:p>
      <w:pPr>
        <w:spacing w:before="40" w:after="80" w:line="312" w:lineRule="auto"/>
        <w:ind w:firstLine="720"/>
        <w:jc w:val="both"/>
      </w:pPr>
      <w:r>
        <w:rPr>
          <w:rFonts w:ascii="Times New Roman" w:hAnsi="Times New Roman"/>
          <w:b w:val="0"/>
          <w:i w:val="0"/>
          <w:color w:val="000000"/>
          <w:sz w:val="26"/>
        </w:rPr>
        <w:t>Hình 2.2 mô phỏng so sánh phần thu nhập dành cho tác giả theo điểm a và điểm b Điều 36 Quyết định số 213/QĐ-ĐHTĐ trên cùng một cơ sở tính:</w:t>
      </w:r>
    </w:p>
    <w:p>
      <w:pPr>
        <w:spacing w:before="160" w:after="80" w:line="312" w:lineRule="auto"/>
        <w:ind w:firstLine="0"/>
        <w:jc w:val="center"/>
      </w:pPr>
      <w:r>
        <w:rPr>
          <w:rFonts w:ascii="Times New Roman" w:hAnsi="Times New Roman"/>
          <w:b/>
          <w:i w:val="0"/>
          <w:color w:val="000000"/>
          <w:sz w:val="24"/>
        </w:rPr>
        <w:t>Hình 2.2. Mô phỏng phần dành cho tác giả theo điểm a và điểm b Điều 36 Quyết định 213 trên cùng cơ sở tính</w:t>
      </w:r>
    </w:p>
    <w:p>
      <w:pPr>
        <w:spacing w:before="20" w:after="20" w:line="252" w:lineRule="auto"/>
        <w:ind w:left="720"/>
        <w:jc w:val="left"/>
      </w:pPr>
      <w:r>
        <w:rPr>
          <w:rFonts w:ascii="Consolas" w:hAnsi="Consolas"/>
          <w:b w:val="0"/>
          <w:i w:val="0"/>
          <w:color w:val="000000"/>
          <w:sz w:val="19"/>
        </w:rPr>
        <w:t>Phần dành cho tác giả (triệu đồng)</w:t>
      </w:r>
    </w:p>
    <w:p>
      <w:pPr>
        <w:spacing w:before="20" w:after="20" w:line="252" w:lineRule="auto"/>
        <w:ind w:left="720"/>
        <w:jc w:val="left"/>
      </w:pPr>
      <w:r>
        <w:rPr>
          <w:rFonts w:ascii="Consolas" w:hAnsi="Consolas"/>
          <w:b w:val="0"/>
          <w:i w:val="0"/>
          <w:color w:val="000000"/>
          <w:sz w:val="19"/>
        </w:rPr>
        <w:t xml:space="preserve">  150 |                                                  [Điểm b: Không trần]</w:t>
      </w:r>
    </w:p>
    <w:p>
      <w:pPr>
        <w:spacing w:before="20" w:after="20" w:line="252" w:lineRule="auto"/>
        <w:ind w:left="720"/>
        <w:jc w:val="left"/>
      </w:pPr>
      <w:r>
        <w:rPr>
          <w:rFonts w:ascii="Consolas" w:hAnsi="Consolas"/>
          <w:b w:val="0"/>
          <w:i w:val="0"/>
          <w:color w:val="000000"/>
          <w:sz w:val="19"/>
        </w:rPr>
        <w:t xml:space="preserve">      |                                                 /</w:t>
      </w:r>
    </w:p>
    <w:p>
      <w:pPr>
        <w:spacing w:before="20" w:after="20" w:line="252" w:lineRule="auto"/>
        <w:ind w:left="720"/>
        <w:jc w:val="left"/>
      </w:pPr>
      <w:r>
        <w:rPr>
          <w:rFonts w:ascii="Consolas" w:hAnsi="Consolas"/>
          <w:b w:val="0"/>
          <w:i w:val="0"/>
          <w:color w:val="000000"/>
          <w:sz w:val="19"/>
        </w:rPr>
        <w:t xml:space="preserve">  120 |                                                /</w:t>
      </w:r>
    </w:p>
    <w:p>
      <w:pPr>
        <w:spacing w:before="20" w:after="20" w:line="252" w:lineRule="auto"/>
        <w:ind w:left="720"/>
        <w:jc w:val="left"/>
      </w:pPr>
      <w:r>
        <w:rPr>
          <w:rFonts w:ascii="Consolas" w:hAnsi="Consolas"/>
          <w:b w:val="0"/>
          <w:i w:val="0"/>
          <w:color w:val="000000"/>
          <w:sz w:val="19"/>
        </w:rPr>
        <w:t xml:space="preserve">      |                                 [333 trđ; 100 trđ]</w:t>
      </w:r>
    </w:p>
    <w:p>
      <w:pPr>
        <w:spacing w:before="20" w:after="20" w:line="252" w:lineRule="auto"/>
        <w:ind w:left="720"/>
        <w:jc w:val="left"/>
      </w:pPr>
      <w:r>
        <w:rPr>
          <w:rFonts w:ascii="Consolas" w:hAnsi="Consolas"/>
          <w:b w:val="0"/>
          <w:i w:val="0"/>
          <w:color w:val="000000"/>
          <w:sz w:val="19"/>
        </w:rPr>
        <w:t xml:space="preserve">  100 |--------------------------------+...............+-------------------- (Mức trần Điểm a)</w:t>
      </w:r>
    </w:p>
    <w:p>
      <w:pPr>
        <w:spacing w:before="20" w:after="20" w:line="252" w:lineRule="auto"/>
        <w:ind w:left="720"/>
        <w:jc w:val="left"/>
      </w:pPr>
      <w:r>
        <w:rPr>
          <w:rFonts w:ascii="Consolas" w:hAnsi="Consolas"/>
          <w:b w:val="0"/>
          <w:i w:val="0"/>
          <w:color w:val="000000"/>
          <w:sz w:val="19"/>
        </w:rPr>
        <w:t xml:space="preserve">      |                               /                : [Điểm a: Tối đa 100 triệu]</w:t>
      </w:r>
    </w:p>
    <w:p>
      <w:pPr>
        <w:spacing w:before="20" w:after="20" w:line="252" w:lineRule="auto"/>
        <w:ind w:left="720"/>
        <w:jc w:val="left"/>
      </w:pPr>
      <w:r>
        <w:rPr>
          <w:rFonts w:ascii="Consolas" w:hAnsi="Consolas"/>
          <w:b w:val="0"/>
          <w:i w:val="0"/>
          <w:color w:val="000000"/>
          <w:sz w:val="19"/>
        </w:rPr>
        <w:t xml:space="preserve">   60 |                              /                 :</w:t>
      </w:r>
    </w:p>
    <w:p>
      <w:pPr>
        <w:spacing w:before="20" w:after="20" w:line="252" w:lineRule="auto"/>
        <w:ind w:left="720"/>
        <w:jc w:val="left"/>
      </w:pPr>
      <w:r>
        <w:rPr>
          <w:rFonts w:ascii="Consolas" w:hAnsi="Consolas"/>
          <w:b w:val="0"/>
          <w:i w:val="0"/>
          <w:color w:val="000000"/>
          <w:sz w:val="19"/>
        </w:rPr>
        <w:t xml:space="preserve">      |                             /                  :</w:t>
      </w:r>
    </w:p>
    <w:p>
      <w:pPr>
        <w:spacing w:before="20" w:after="20" w:line="252" w:lineRule="auto"/>
        <w:ind w:left="720"/>
        <w:jc w:val="left"/>
      </w:pPr>
      <w:r>
        <w:rPr>
          <w:rFonts w:ascii="Consolas" w:hAnsi="Consolas"/>
          <w:b w:val="0"/>
          <w:i w:val="0"/>
          <w:color w:val="000000"/>
          <w:sz w:val="19"/>
        </w:rPr>
        <w:t xml:space="preserve">    0 +----------------------------+-------------------+--------------------&gt; Nguồn thu sau chi phí</w:t>
      </w:r>
    </w:p>
    <w:p>
      <w:pPr>
        <w:spacing w:before="20" w:after="20" w:line="252" w:lineRule="auto"/>
        <w:ind w:left="720"/>
        <w:jc w:val="left"/>
      </w:pPr>
      <w:r>
        <w:rPr>
          <w:rFonts w:ascii="Consolas" w:hAnsi="Consolas"/>
          <w:b w:val="0"/>
          <w:i w:val="0"/>
          <w:color w:val="000000"/>
          <w:sz w:val="19"/>
        </w:rPr>
        <w:t xml:space="preserve">      0                           200                 333            500     (triệu đồng)</w:t>
      </w:r>
    </w:p>
    <w:p>
      <w:pPr>
        <w:spacing w:before="40" w:after="120" w:line="312" w:lineRule="auto"/>
        <w:ind w:firstLine="0"/>
        <w:jc w:val="center"/>
      </w:pPr>
      <w:r>
        <w:rPr>
          <w:rFonts w:ascii="Times New Roman" w:hAnsi="Times New Roman"/>
          <w:b w:val="0"/>
          <w:i/>
          <w:color w:val="000000"/>
          <w:sz w:val="22"/>
        </w:rPr>
        <w:t>(Nguồn: Nhóm nghiên cứu mô phỏng từ Điều 36 Quyết định số 213/QĐ-ĐHTĐ)</w:t>
      </w:r>
    </w:p>
    <w:p>
      <w:pPr>
        <w:spacing w:before="40" w:after="80" w:line="312" w:lineRule="auto"/>
        <w:ind w:firstLine="720"/>
        <w:jc w:val="both"/>
      </w:pPr>
      <w:r>
        <w:rPr>
          <w:rFonts w:ascii="Times New Roman" w:hAnsi="Times New Roman"/>
          <w:b w:val="0"/>
          <w:i w:val="0"/>
          <w:color w:val="000000"/>
          <w:sz w:val="26"/>
        </w:rPr>
        <w:t>Phân tích đồ thị Hình 2.2 và Bảng 2.3 làm sáng tỏ những xung đột và bất cập thể chế rất lớn: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Tác động tiêu cực của mức trần 100 triệu đồng: Tại điểm a Điều 36 Quyết định số 213/QĐ-ĐHTĐ, khi nguồn thu ròng sau chi phí vượt qua ngưỡng 333 triệu đồng, phần khen thưởng cho tác giả bị chặn cứng ở mức trần 100 triệu đồng, toàn bộ phần thặng dư vượt quá bị chuyển vào quỹ khen thưởng chung của Trường. Quy định này làm triệt tiêu động lực chuyển giao thương mại quy mô lớn của các nhà khoa học đối với các nhiệm vụ khoa học sử dụng ngân sách nhà nước.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Mâu thuẫn với khung pháp luật mới: Khoản 3 Điều 28 Luật Khoa học, Công nghệ và Đổi mới sáng tạo năm 2025 quy định mức thưởng cho tác giả là "tối thiểu 30% lợi nhuận sau thuế" và tuyệt đối không cho phép đặt mức trần khống chế. Đồng thời, nghĩa vụ nộp 40% về ngân sách nhà nước tại điểm a Quyết định số 213/QĐ-ĐHTĐ cũng đã hoàn toàn hết hiệu lực theo luật mới (toàn bộ lợi nhuận từ kết quả nghiên cứu dùng ngân sách được giữ lại trọn vẹn tại trường đại học để phân chia thưởng và tái đầu tư khoa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Xung đột giữa thù lao và doanh thu gộp: Điểm b Điều 36 Quyết định số 213/QĐ-ĐHTĐ tính 30% cho tác giả trên "kinh phí sau chi phí", trong khi khoản 1 Điều 135 Luật Sở hữu trí tuệ quy định mức thù lao tối thiểu theo luật định là 15% tính trên "tổng số tiền nhận được trước thuế" mỗi lần cấp phép. Trong trường hợp chi phí trung gian của Nhà trường vượt quá 50% tổng doanh thu hợp đồng, tỷ lệ 30% sau chi phí sẽ cho ra số tiền thấp hơn mức sàn 15% doanh thu gộp theo luật định, đẩy Nhà trường vào nguy cơ tranh chấp pháp lý với chính giảng viên của mình.</w:t>
      </w:r>
    </w:p>
    <w:p>
      <w:pPr>
        <w:spacing w:before="160" w:after="80" w:line="312" w:lineRule="auto"/>
        <w:ind w:firstLine="0"/>
        <w:jc w:val="both"/>
      </w:pPr>
      <w:r>
        <w:rPr>
          <w:rFonts w:ascii="Times New Roman" w:hAnsi="Times New Roman"/>
          <w:b/>
          <w:i/>
          <w:color w:val="000000"/>
          <w:sz w:val="26"/>
        </w:rPr>
        <w:t>2.2.4. Bảo vệ quyền sở hữu trí tuệ</w:t>
      </w:r>
    </w:p>
    <w:p>
      <w:pPr>
        <w:spacing w:before="40" w:after="80" w:line="312" w:lineRule="auto"/>
        <w:ind w:firstLine="720"/>
        <w:jc w:val="both"/>
      </w:pPr>
      <w:r>
        <w:rPr>
          <w:rFonts w:ascii="Times New Roman" w:hAnsi="Times New Roman"/>
          <w:b w:val="0"/>
          <w:i w:val="0"/>
          <w:color w:val="000000"/>
          <w:sz w:val="26"/>
        </w:rPr>
        <w:t>Bảo vệ quyền sở hữu trí tuệ là khâu bảo đảm sự tôn trọng quyền độc quyền, ngăn chặn các hành vi xâm phạm, đạo văn và duy trì hệ thống quản trị dữ liệu phục vụ giám sát và công khai minh bạch.</w:t>
      </w:r>
    </w:p>
    <w:p>
      <w:pPr>
        <w:spacing w:before="40" w:after="80" w:line="312" w:lineRule="auto"/>
        <w:ind w:firstLine="720"/>
        <w:jc w:val="both"/>
      </w:pPr>
      <w:r>
        <w:rPr>
          <w:rFonts w:ascii="Times New Roman" w:hAnsi="Times New Roman"/>
          <w:b w:val="0"/>
          <w:i w:val="0"/>
          <w:color w:val="000000"/>
          <w:sz w:val="26"/>
        </w:rPr>
        <w:t>*Bảo vệ quyền tác giả học liệu và phần mềm:*</w:t>
      </w:r>
    </w:p>
    <w:p>
      <w:pPr>
        <w:spacing w:before="40" w:after="80" w:line="312" w:lineRule="auto"/>
        <w:ind w:firstLine="720"/>
        <w:jc w:val="both"/>
      </w:pPr>
      <w:r>
        <w:rPr>
          <w:rFonts w:ascii="Times New Roman" w:hAnsi="Times New Roman"/>
          <w:b w:val="0"/>
          <w:i w:val="0"/>
          <w:color w:val="000000"/>
          <w:sz w:val="26"/>
        </w:rPr>
        <w:t>Quyết định số 217/QĐ-ĐHTĐ đã có các điều khoản tiến bộ khi quy định cụ thể các hành vi bị coi là xâm phạm quyền sở hữu trí tuệ trong phạm vi Nhà trường, bao gồm việc sao chép giáo trình, sử dụng bài giảng điện tử không xin phép và chia sẻ trái phép dữ liệu đào tạo. Tuy nhiên, hoạt động bảo hộ học liệu số và phần mềm tại Trường vẫn đối mặt với thách thức: các bài giảng điện tử và học liệu trực tuyến trên hệ thống quản lý học tập chưa được gắn chữ ký số hay cơ chế quản lý quyền số để kiểm soát việc tải về và phát tán ra ngoài khuôn viên trường.</w:t>
      </w:r>
    </w:p>
    <w:p>
      <w:pPr>
        <w:spacing w:before="40" w:after="80" w:line="312" w:lineRule="auto"/>
        <w:ind w:firstLine="720"/>
        <w:jc w:val="both"/>
      </w:pPr>
      <w:r>
        <w:rPr>
          <w:rFonts w:ascii="Times New Roman" w:hAnsi="Times New Roman"/>
          <w:b w:val="0"/>
          <w:i w:val="0"/>
          <w:color w:val="000000"/>
          <w:sz w:val="26"/>
        </w:rPr>
        <w:t>*Kiểm soát đạo văn và liêm chính học thuật:*</w:t>
      </w:r>
    </w:p>
    <w:p>
      <w:pPr>
        <w:spacing w:before="40" w:after="80" w:line="312" w:lineRule="auto"/>
        <w:ind w:firstLine="720"/>
        <w:jc w:val="both"/>
      </w:pPr>
      <w:r>
        <w:rPr>
          <w:rFonts w:ascii="Times New Roman" w:hAnsi="Times New Roman"/>
          <w:b w:val="0"/>
          <w:i w:val="0"/>
          <w:color w:val="000000"/>
          <w:sz w:val="26"/>
        </w:rPr>
        <w:t>Nhà trường đã triển khai phần mềm kiểm tra tính trùng lặp đối với các khóa luận tốt nghiệp, luận văn thạc sĩ và báo cáo đề tài nghiên cứu khoa học. Tỷ lệ trùng lặp tối đa được khống chế ở mức 20% đến 25% tùy bậc đào tạo. Đây là bước đi đúng đắn nhằm bảo đảm liêm chính học thuật theo yêu cầu của Bộ Giáo dục và Đào tạo tại Thông tư số 01/2024/TT-BGDĐT về Chuẩn cơ sở giáo dục đại học. Dẫu vậy, khâu kiểm tra mới dừng ở góc độ phát hiện trùng lặp cơ học câu chữ, chưa có hội đồng chuyên môn thẩm định về sự trùng lặp ý tưởng sáng chế hay công bố kép.</w:t>
      </w:r>
    </w:p>
    <w:p>
      <w:pPr>
        <w:spacing w:before="40" w:after="80" w:line="312" w:lineRule="auto"/>
        <w:ind w:firstLine="720"/>
        <w:jc w:val="both"/>
      </w:pPr>
      <w:r>
        <w:rPr>
          <w:rFonts w:ascii="Times New Roman" w:hAnsi="Times New Roman"/>
          <w:b w:val="0"/>
          <w:i w:val="0"/>
          <w:color w:val="000000"/>
          <w:sz w:val="26"/>
        </w:rPr>
        <w:t>*Hệ thống dữ liệu phục vụ quản lý và ma trận 16 chỉ tiêu hiệu quả:*</w:t>
      </w:r>
    </w:p>
    <w:p>
      <w:pPr>
        <w:spacing w:before="40" w:after="80" w:line="312" w:lineRule="auto"/>
        <w:ind w:firstLine="720"/>
        <w:jc w:val="both"/>
      </w:pPr>
      <w:r>
        <w:rPr>
          <w:rFonts w:ascii="Times New Roman" w:hAnsi="Times New Roman"/>
          <w:b w:val="0"/>
          <w:i w:val="0"/>
          <w:color w:val="000000"/>
          <w:sz w:val="26"/>
        </w:rPr>
        <w:t>Điểm yếu lớn nhất trong khâu bảo vệ và quản trị nằm ở hệ thống lưu trữ dữ liệu. Hiện nay, dữ liệu sở hữu trí tuệ của Nhà trường bị phân tán rời rạc qua nhiều tệp theo dõi độc lập: danh mục đề tài do Phòng Khoa học Công nghệ quản lý; hồ sơ nhãn hiệu và kiểu dáng do Bộ phận Pháp chế quản lý; danh mục bài báo không ghi nhận mã số đề tài gốc; thông tin về khai thác hợp đồng do Viện Nghiên cứu giáo dục quản lý.</w:t>
      </w:r>
    </w:p>
    <w:p>
      <w:pPr>
        <w:spacing w:before="40" w:after="80" w:line="312" w:lineRule="auto"/>
        <w:ind w:firstLine="720"/>
        <w:jc w:val="both"/>
      </w:pPr>
      <w:r>
        <w:rPr>
          <w:rFonts w:ascii="Times New Roman" w:hAnsi="Times New Roman"/>
          <w:b w:val="0"/>
          <w:i w:val="0"/>
          <w:color w:val="000000"/>
          <w:sz w:val="26"/>
        </w:rPr>
        <w:t>Khi nhóm nghiên cứu tiến hành đo lường Bộ tiêu chí đánh giá hiệu quả quản lý quyền sở hữu trí tuệ theo chuỗi kết quả (gồm 16 chỉ tiêu đã xác lập tại Mục 1.4.1 ở Chương 1), kết quả được thể hiện cụ thể tại Hình 2.6:</w:t>
      </w:r>
    </w:p>
    <w:p>
      <w:pPr>
        <w:spacing w:before="160" w:after="80" w:line="312" w:lineRule="auto"/>
        <w:ind w:firstLine="0"/>
        <w:jc w:val="center"/>
      </w:pPr>
      <w:r>
        <w:rPr>
          <w:rFonts w:ascii="Times New Roman" w:hAnsi="Times New Roman"/>
          <w:b/>
          <w:i w:val="0"/>
          <w:color w:val="000000"/>
          <w:sz w:val="24"/>
        </w:rPr>
        <w:t>Hình 2.6. Khả năng tính toán bộ tiêu chí đánh giá hiệu quả quản lý quyền sở hữu trí tuệ từ dữ liệu hiện có</w:t>
      </w:r>
    </w:p>
    <w:p>
      <w:pPr>
        <w:spacing w:before="20" w:after="20" w:line="252" w:lineRule="auto"/>
        <w:ind w:left="720"/>
        <w:jc w:val="left"/>
      </w:pPr>
      <w:r>
        <w:rPr>
          <w:rFonts w:ascii="Consolas" w:hAnsi="Consolas"/>
          <w:b w:val="0"/>
          <w:i w:val="0"/>
          <w:color w:val="000000"/>
          <w:sz w:val="19"/>
        </w:rPr>
        <w:t xml:space="preserve">  TỔNG SỐ 16 TIÊU CHÍ ĐÁNH GIÁ CHUỖI KẾT QUẢ</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+---&gt; [ Tính toán được đầy đủ: 4 tiêu chí (25,0%) ]</w:t>
      </w:r>
    </w:p>
    <w:p>
      <w:pPr>
        <w:spacing w:before="20" w:after="20" w:line="252" w:lineRule="auto"/>
        <w:ind w:left="720"/>
        <w:jc w:val="left"/>
      </w:pPr>
      <w:r>
        <w:rPr>
          <w:rFonts w:ascii="Consolas" w:hAnsi="Consolas"/>
          <w:b w:val="0"/>
          <w:i w:val="0"/>
          <w:color w:val="000000"/>
          <w:sz w:val="19"/>
        </w:rPr>
        <w:t xml:space="preserve">  |     - Tiêu chí 1: Số lượng công bố khoa học (Bảng 2.2)</w:t>
      </w:r>
    </w:p>
    <w:p>
      <w:pPr>
        <w:spacing w:before="20" w:after="20" w:line="252" w:lineRule="auto"/>
        <w:ind w:left="720"/>
        <w:jc w:val="left"/>
      </w:pPr>
      <w:r>
        <w:rPr>
          <w:rFonts w:ascii="Consolas" w:hAnsi="Consolas"/>
          <w:b w:val="0"/>
          <w:i w:val="0"/>
          <w:color w:val="000000"/>
          <w:sz w:val="19"/>
        </w:rPr>
        <w:t xml:space="preserve">  |     - Tiêu chí 2: Số đề tài nghiên cứu có sản phẩm tiềm năng (Bảng 2.7)</w:t>
      </w:r>
    </w:p>
    <w:p>
      <w:pPr>
        <w:spacing w:before="20" w:after="20" w:line="252" w:lineRule="auto"/>
        <w:ind w:left="720"/>
        <w:jc w:val="left"/>
      </w:pPr>
      <w:r>
        <w:rPr>
          <w:rFonts w:ascii="Consolas" w:hAnsi="Consolas"/>
          <w:b w:val="0"/>
          <w:i w:val="0"/>
          <w:color w:val="000000"/>
          <w:sz w:val="19"/>
        </w:rPr>
        <w:t xml:space="preserve">  |     - Tiêu chí 4: Số đơn đăng ký sở hữu trí tuệ đã nộp (Bảng 2.6)</w:t>
      </w:r>
    </w:p>
    <w:p>
      <w:pPr>
        <w:spacing w:before="20" w:after="20" w:line="252" w:lineRule="auto"/>
        <w:ind w:left="720"/>
        <w:jc w:val="left"/>
      </w:pPr>
      <w:r>
        <w:rPr>
          <w:rFonts w:ascii="Consolas" w:hAnsi="Consolas"/>
          <w:b w:val="0"/>
          <w:i w:val="0"/>
          <w:color w:val="000000"/>
          <w:sz w:val="19"/>
        </w:rPr>
        <w:t xml:space="preserve">  |     - Tiêu chí 5: Số văn bằng bảo hộ độc quyền đã được cấp (Bảng 2.6)</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+---&gt; [ Tính toán được một phần: 5 tiêu chí (31,3%) ]</w:t>
      </w:r>
    </w:p>
    <w:p>
      <w:pPr>
        <w:spacing w:before="20" w:after="20" w:line="252" w:lineRule="auto"/>
        <w:ind w:left="720"/>
        <w:jc w:val="left"/>
      </w:pPr>
      <w:r>
        <w:rPr>
          <w:rFonts w:ascii="Consolas" w:hAnsi="Consolas"/>
          <w:b w:val="0"/>
          <w:i w:val="0"/>
          <w:color w:val="000000"/>
          <w:sz w:val="19"/>
        </w:rPr>
        <w:t xml:space="preserve">  |     - Tiêu chí 3: Kinh phí cấp cho nghiên cứu và đăng ký (thiếu số chi đăng ký)</w:t>
      </w:r>
    </w:p>
    <w:p>
      <w:pPr>
        <w:spacing w:before="20" w:after="20" w:line="252" w:lineRule="auto"/>
        <w:ind w:left="720"/>
        <w:jc w:val="left"/>
      </w:pPr>
      <w:r>
        <w:rPr>
          <w:rFonts w:ascii="Consolas" w:hAnsi="Consolas"/>
          <w:b w:val="0"/>
          <w:i w:val="0"/>
          <w:color w:val="000000"/>
          <w:sz w:val="19"/>
        </w:rPr>
        <w:t xml:space="preserve">  |     - Tiêu chí 6: Tỷ lệ đề tài được cấp văn bằng bảo hộ</w:t>
      </w:r>
    </w:p>
    <w:p>
      <w:pPr>
        <w:spacing w:before="20" w:after="20" w:line="252" w:lineRule="auto"/>
        <w:ind w:left="720"/>
        <w:jc w:val="left"/>
      </w:pPr>
      <w:r>
        <w:rPr>
          <w:rFonts w:ascii="Consolas" w:hAnsi="Consolas"/>
          <w:b w:val="0"/>
          <w:i w:val="0"/>
          <w:color w:val="000000"/>
          <w:sz w:val="19"/>
        </w:rPr>
        <w:t xml:space="preserve">  |     - Tiêu chí 7: Tỷ lệ giảng viên tham gia sáng tạo tài sản trí tuệ</w:t>
      </w:r>
    </w:p>
    <w:p>
      <w:pPr>
        <w:spacing w:before="20" w:after="20" w:line="252" w:lineRule="auto"/>
        <w:ind w:left="720"/>
        <w:jc w:val="left"/>
      </w:pPr>
      <w:r>
        <w:rPr>
          <w:rFonts w:ascii="Consolas" w:hAnsi="Consolas"/>
          <w:b w:val="0"/>
          <w:i w:val="0"/>
          <w:color w:val="000000"/>
          <w:sz w:val="19"/>
        </w:rPr>
        <w:t xml:space="preserve">  |     - Tiêu chí 11: Số hợp đồng chuyển giao quyền sử dụng nội bộ</w:t>
      </w:r>
    </w:p>
    <w:p>
      <w:pPr>
        <w:spacing w:before="20" w:after="20" w:line="252" w:lineRule="auto"/>
        <w:ind w:left="720"/>
        <w:jc w:val="left"/>
      </w:pPr>
      <w:r>
        <w:rPr>
          <w:rFonts w:ascii="Consolas" w:hAnsi="Consolas"/>
          <w:b w:val="0"/>
          <w:i w:val="0"/>
          <w:color w:val="000000"/>
          <w:sz w:val="19"/>
        </w:rPr>
        <w:t xml:space="preserve">  |     - Tiêu chí 15: Mức độ hoàn thiện hệ thống quy chế nội bộ</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+---&gt; [ Hoàn toàn chưa tính toán được: 7 tiêu chí (43,7%) ]</w:t>
      </w:r>
    </w:p>
    <w:p>
      <w:pPr>
        <w:spacing w:before="20" w:after="20" w:line="252" w:lineRule="auto"/>
        <w:ind w:left="720"/>
        <w:jc w:val="left"/>
      </w:pPr>
      <w:r>
        <w:rPr>
          <w:rFonts w:ascii="Consolas" w:hAnsi="Consolas"/>
          <w:b w:val="0"/>
          <w:i w:val="0"/>
          <w:color w:val="000000"/>
          <w:sz w:val="19"/>
        </w:rPr>
        <w:t xml:space="preserve">        - Tiêu chí 8: Tổng doanh thu từ thương mại hóa sở hữu công nghiệp (Số liệu = 0)</w:t>
      </w:r>
    </w:p>
    <w:p>
      <w:pPr>
        <w:spacing w:before="20" w:after="20" w:line="252" w:lineRule="auto"/>
        <w:ind w:left="720"/>
        <w:jc w:val="left"/>
      </w:pPr>
      <w:r>
        <w:rPr>
          <w:rFonts w:ascii="Consolas" w:hAnsi="Consolas"/>
          <w:b w:val="0"/>
          <w:i w:val="0"/>
          <w:color w:val="000000"/>
          <w:sz w:val="19"/>
        </w:rPr>
        <w:t xml:space="preserve">        - Tiêu chí 9: Tỷ trọng nguồn thu sở hữu trí tuệ trên tổng kinh phí nghiên cứu</w:t>
      </w:r>
    </w:p>
    <w:p>
      <w:pPr>
        <w:spacing w:before="20" w:after="20" w:line="252" w:lineRule="auto"/>
        <w:ind w:left="720"/>
        <w:jc w:val="left"/>
      </w:pPr>
      <w:r>
        <w:rPr>
          <w:rFonts w:ascii="Consolas" w:hAnsi="Consolas"/>
          <w:b w:val="0"/>
          <w:i w:val="0"/>
          <w:color w:val="000000"/>
          <w:sz w:val="19"/>
        </w:rPr>
        <w:t xml:space="preserve">        - Tiêu chí 10: Tỷ lệ thù lao chi trả cho tác giả sáng chế</w:t>
      </w:r>
    </w:p>
    <w:p>
      <w:pPr>
        <w:spacing w:before="20" w:after="20" w:line="252" w:lineRule="auto"/>
        <w:ind w:left="720"/>
        <w:jc w:val="left"/>
      </w:pPr>
      <w:r>
        <w:rPr>
          <w:rFonts w:ascii="Consolas" w:hAnsi="Consolas"/>
          <w:b w:val="0"/>
          <w:i w:val="0"/>
          <w:color w:val="000000"/>
          <w:sz w:val="19"/>
        </w:rPr>
        <w:t xml:space="preserve">        - Tiêu chí 12: Số doanh nghiệp khởi nghiệp đổi mới sáng tạo trong trường</w:t>
      </w:r>
    </w:p>
    <w:p>
      <w:pPr>
        <w:spacing w:before="20" w:after="20" w:line="252" w:lineRule="auto"/>
        <w:ind w:left="720"/>
        <w:jc w:val="left"/>
      </w:pPr>
      <w:r>
        <w:rPr>
          <w:rFonts w:ascii="Consolas" w:hAnsi="Consolas"/>
          <w:b w:val="0"/>
          <w:i w:val="0"/>
          <w:color w:val="000000"/>
          <w:sz w:val="19"/>
        </w:rPr>
        <w:t xml:space="preserve">        - Tiêu chí 13: Số vụ tranh chấp và xâm phạm quyền được giải quyết</w:t>
      </w:r>
    </w:p>
    <w:p>
      <w:pPr>
        <w:spacing w:before="20" w:after="20" w:line="252" w:lineRule="auto"/>
        <w:ind w:left="720"/>
        <w:jc w:val="left"/>
      </w:pPr>
      <w:r>
        <w:rPr>
          <w:rFonts w:ascii="Consolas" w:hAnsi="Consolas"/>
          <w:b w:val="0"/>
          <w:i w:val="0"/>
          <w:color w:val="000000"/>
          <w:sz w:val="19"/>
        </w:rPr>
        <w:t xml:space="preserve">        - Tiêu chí 14: Chi phí duy trì hiệu lực các văn bằng bảo hộ</w:t>
      </w:r>
    </w:p>
    <w:p>
      <w:pPr>
        <w:spacing w:before="20" w:after="20" w:line="252" w:lineRule="auto"/>
        <w:ind w:left="720"/>
        <w:jc w:val="left"/>
      </w:pPr>
      <w:r>
        <w:rPr>
          <w:rFonts w:ascii="Consolas" w:hAnsi="Consolas"/>
          <w:b w:val="0"/>
          <w:i w:val="0"/>
          <w:color w:val="000000"/>
          <w:sz w:val="19"/>
        </w:rPr>
        <w:t xml:space="preserve">        - Tiêu chí 16: Mức độ hài lòng của giảng viên về quy trình sở hữu trí tuệ</w:t>
      </w:r>
    </w:p>
    <w:p>
      <w:pPr>
        <w:spacing w:before="40" w:after="120" w:line="312" w:lineRule="auto"/>
        <w:ind w:firstLine="0"/>
        <w:jc w:val="center"/>
      </w:pPr>
      <w:r>
        <w:rPr>
          <w:rFonts w:ascii="Times New Roman" w:hAnsi="Times New Roman"/>
          <w:b w:val="0"/>
          <w:i/>
          <w:color w:val="000000"/>
          <w:sz w:val="22"/>
        </w:rPr>
        <w:t>(Nguồn: Nhóm nghiên cứu đánh giá đối với 16 tiêu chí tại Chương 1, căn cứ vào dữ liệu thực tế của Trường Đại học Thành Đô)</w:t>
      </w:r>
    </w:p>
    <w:p>
      <w:pPr>
        <w:spacing w:before="40" w:after="80" w:line="312" w:lineRule="auto"/>
        <w:ind w:firstLine="720"/>
        <w:jc w:val="both"/>
      </w:pPr>
      <w:r>
        <w:rPr>
          <w:rFonts w:ascii="Times New Roman" w:hAnsi="Times New Roman"/>
          <w:b w:val="0"/>
          <w:i w:val="0"/>
          <w:color w:val="000000"/>
          <w:sz w:val="26"/>
        </w:rPr>
        <w:t>Kết quả phân tích tại Hình 2.6 cho thấy một khoảng trống quản trị dữ liệu rất lớn: có tới 43,7% số tiêu chí hoàn toàn chưa thể tính toán được, tập trung tuyệt đối vào nhóm kết quả đầu ra kinh tế và tác động thương mại. Nhà trường mới chỉ đếm được số lượng cơ học (số bài báo, số đơn, số văn bằng thương hiệu), nhưng chưa đo lường được hiệu quả kinh tế và giá trị gia tăng mà quyền sở hữu trí tuệ đem lại.</w:t>
      </w:r>
    </w:p>
    <w:p>
      <w:pPr>
        <w:spacing w:before="40" w:after="80" w:line="312" w:lineRule="auto"/>
        <w:ind w:firstLine="720"/>
        <w:jc w:val="both"/>
      </w:pPr>
      <w:r>
        <w:rPr>
          <w:rFonts w:ascii="Times New Roman" w:hAnsi="Times New Roman"/>
          <w:b w:val="0"/>
          <w:i w:val="0"/>
          <w:color w:val="000000"/>
          <w:sz w:val="26"/>
        </w:rPr>
        <w:t>*Xử lý tranh chấp và bảo vệ quyền trên thị trường:*</w:t>
      </w:r>
    </w:p>
    <w:p>
      <w:pPr>
        <w:spacing w:before="40" w:after="80" w:line="312" w:lineRule="auto"/>
        <w:ind w:firstLine="720"/>
        <w:jc w:val="both"/>
      </w:pPr>
      <w:r>
        <w:rPr>
          <w:rFonts w:ascii="Times New Roman" w:hAnsi="Times New Roman"/>
          <w:b w:val="0"/>
          <w:i w:val="0"/>
          <w:color w:val="000000"/>
          <w:sz w:val="26"/>
        </w:rPr>
        <w:t>Trong giai đoạn 2021 - 2025, hồ sơ quản lý của Nhà trường chưa ghi nhận bất kỳ một khiếu nại hay tranh chấp quyền sở hữu trí tuệ nào phát sinh từ phía giảng viên hoặc đối tác bên ngoài. Tuy nhiên, điều này không đồng nghĩa với việc quyền của Nhà trường tuyệt đối an toàn, mà phản ánh việc trường chưa thiết lập cơ chế giám sát chủ động trên thị trường. Đặc biệt, 5 kiểu dáng công nghiệp bao bì sản phẩm thảo dược đồng sở hữu với doanh nghiệp có ngày nộp đơn và cấp bằng đồng loạt trong năm 2023 - 2024, do đó thời hạn gia hạn hiệu lực 5 năm lần thứ nhất sẽ cùng rơi vào giai đoạn 2028 - 2029. Nếu Nhà trường không thiết lập sổ theo dõi kỳ hạn tập trung, rủi ro mất quyền do quên nộp phí duy trì hiệu lực văn bằng là hoàn toàn hiện hữu.</w:t>
      </w:r>
    </w:p>
    <w:p>
      <w:pPr>
        <w:spacing w:before="240" w:after="120" w:line="312" w:lineRule="auto"/>
        <w:ind w:firstLine="0"/>
        <w:jc w:val="both"/>
      </w:pPr>
      <w:r>
        <w:rPr>
          <w:rFonts w:ascii="Times New Roman" w:hAnsi="Times New Roman"/>
          <w:b/>
          <w:i w:val="0"/>
          <w:color w:val="000000"/>
          <w:sz w:val="26"/>
        </w:rPr>
        <w:t>2.3. Đánh giá chung về thực trạng quản lý quyền sở hữu trí tuệ</w:t>
      </w:r>
    </w:p>
    <w:p>
      <w:pPr>
        <w:spacing w:before="40" w:after="80" w:line="312" w:lineRule="auto"/>
        <w:ind w:firstLine="720"/>
        <w:jc w:val="both"/>
      </w:pPr>
      <w:r>
        <w:rPr>
          <w:rFonts w:ascii="Times New Roman" w:hAnsi="Times New Roman"/>
          <w:b w:val="0"/>
          <w:i w:val="0"/>
          <w:color w:val="000000"/>
          <w:sz w:val="26"/>
        </w:rPr>
        <w:t>Dựa trên kết quả khảo sát thực tế và phân tích chuyên sâu bốn khâu nghiệp vụ tại Mục 2.2, phần này tiến hành đánh giá tổng hợp bức tranh quản lý quyền sở hữu trí tuệ tại Trường Đại học Thành Đô, đối chiếu với các mục tiêu chiến lược nội bộ, chỉ rõ các tồn tại hạn chế và mổ xẻ chuỗi nguyên nhân gốc rễ.</w:t>
      </w:r>
    </w:p>
    <w:p>
      <w:pPr>
        <w:spacing w:before="160" w:after="80" w:line="312" w:lineRule="auto"/>
        <w:ind w:firstLine="0"/>
        <w:jc w:val="both"/>
      </w:pPr>
      <w:r>
        <w:rPr>
          <w:rFonts w:ascii="Times New Roman" w:hAnsi="Times New Roman"/>
          <w:b/>
          <w:i/>
          <w:color w:val="000000"/>
          <w:sz w:val="26"/>
        </w:rPr>
        <w:t>2.3.1. Kết quả đạt được</w:t>
      </w:r>
    </w:p>
    <w:p>
      <w:pPr>
        <w:spacing w:before="40" w:after="80" w:line="312" w:lineRule="auto"/>
        <w:ind w:firstLine="720"/>
        <w:jc w:val="both"/>
      </w:pPr>
      <w:r>
        <w:rPr>
          <w:rFonts w:ascii="Times New Roman" w:hAnsi="Times New Roman"/>
          <w:b w:val="0"/>
          <w:i w:val="0"/>
          <w:color w:val="000000"/>
          <w:sz w:val="26"/>
        </w:rPr>
        <w:t>Để bảo đảm tính khách quan và khoa học, kết quả triển khai công tác nghiên cứu và sở hữu trí tuệ trong hai năm gần nhất (2024 - 2025) được đặt trong mối tương quan đối sánh với các chỉ tiêu định lượng do chính Nhà trường ban hành tại Kế hoạch hoạt động khoa học công nghệ giai đoạn 2024 - 2028 (Kế hoạch số 07/KH-ĐHTĐ). Kết quả được thể hiện qua Hình 2.10:</w:t>
      </w:r>
    </w:p>
    <w:p>
      <w:pPr>
        <w:spacing w:before="160" w:after="80" w:line="312" w:lineRule="auto"/>
        <w:ind w:firstLine="0"/>
        <w:jc w:val="center"/>
      </w:pPr>
      <w:r>
        <w:rPr>
          <w:rFonts w:ascii="Times New Roman" w:hAnsi="Times New Roman"/>
          <w:b/>
          <w:i w:val="0"/>
          <w:color w:val="000000"/>
          <w:sz w:val="24"/>
        </w:rPr>
        <w:t>Hình 2.10. Tỷ lệ thực hiện so với chỉ tiêu Kế hoạch 07, cộng dồn hai năm 2024 - 2025</w:t>
      </w:r>
    </w:p>
    <w:p>
      <w:pPr>
        <w:spacing w:before="20" w:after="20" w:line="252" w:lineRule="auto"/>
        <w:ind w:left="720"/>
        <w:jc w:val="left"/>
      </w:pPr>
      <w:r>
        <w:rPr>
          <w:rFonts w:ascii="Consolas" w:hAnsi="Consolas"/>
          <w:b w:val="0"/>
          <w:i w:val="0"/>
          <w:color w:val="000000"/>
          <w:sz w:val="19"/>
        </w:rPr>
        <w:t>Chỉ tiêu                                         Tỷ lệ hoàn thành so với Kế hoạch (%)</w:t>
      </w:r>
    </w:p>
    <w:p>
      <w:pPr>
        <w:spacing w:before="20" w:after="20" w:line="252" w:lineRule="auto"/>
        <w:ind w:left="720"/>
        <w:jc w:val="left"/>
      </w:pPr>
      <w:r>
        <w:rPr>
          <w:rFonts w:ascii="Consolas" w:hAnsi="Consolas"/>
          <w:b w:val="0"/>
          <w:i w:val="0"/>
          <w:color w:val="000000"/>
          <w:sz w:val="19"/>
        </w:rPr>
        <w:t>1. Bài báo khoa học quốc tế                      |======================================== 283%  (Đạt 85 / 30 bài)</w:t>
      </w:r>
    </w:p>
    <w:p>
      <w:pPr>
        <w:spacing w:before="20" w:after="20" w:line="252" w:lineRule="auto"/>
        <w:ind w:left="720"/>
        <w:jc w:val="left"/>
      </w:pPr>
      <w:r>
        <w:rPr>
          <w:rFonts w:ascii="Consolas" w:hAnsi="Consolas"/>
          <w:b w:val="0"/>
          <w:i w:val="0"/>
          <w:color w:val="000000"/>
          <w:sz w:val="19"/>
        </w:rPr>
        <w:t>2. Sách xuất bản có mã chuẩn ISBN                |====================================== 267%    (Đạt 8 / 3 cuốn)</w:t>
      </w:r>
    </w:p>
    <w:p>
      <w:pPr>
        <w:spacing w:before="20" w:after="20" w:line="252" w:lineRule="auto"/>
        <w:ind w:left="720"/>
        <w:jc w:val="left"/>
      </w:pPr>
      <w:r>
        <w:rPr>
          <w:rFonts w:ascii="Consolas" w:hAnsi="Consolas"/>
          <w:b w:val="0"/>
          <w:i w:val="0"/>
          <w:color w:val="000000"/>
          <w:sz w:val="19"/>
        </w:rPr>
        <w:t>3. Bài kỷ yếu hội thảo cấp Trường                |=============================== 223%           (Đạt 67 / 30 bài)</w:t>
      </w:r>
    </w:p>
    <w:p>
      <w:pPr>
        <w:spacing w:before="20" w:after="20" w:line="252" w:lineRule="auto"/>
        <w:ind w:left="720"/>
        <w:jc w:val="left"/>
      </w:pPr>
      <w:r>
        <w:rPr>
          <w:rFonts w:ascii="Consolas" w:hAnsi="Consolas"/>
          <w:b w:val="0"/>
          <w:i w:val="0"/>
          <w:color w:val="000000"/>
          <w:sz w:val="19"/>
        </w:rPr>
        <w:t>4. Bài báo tạp chí trong nước                    |======================= 165%                   (Đạt 181 / 110 bài)</w:t>
      </w:r>
    </w:p>
    <w:p>
      <w:pPr>
        <w:spacing w:before="20" w:after="20" w:line="252" w:lineRule="auto"/>
        <w:ind w:left="720"/>
        <w:jc w:val="left"/>
      </w:pPr>
      <w:r>
        <w:rPr>
          <w:rFonts w:ascii="Consolas" w:hAnsi="Consolas"/>
          <w:b w:val="0"/>
          <w:i w:val="0"/>
          <w:color w:val="000000"/>
          <w:sz w:val="19"/>
        </w:rPr>
        <w:t>5. Giáo trình, tài liệu nội bộ                   |==================== 150%                      (Đạt 18 / 12 tài liệu)</w:t>
      </w:r>
    </w:p>
    <w:p>
      <w:pPr>
        <w:spacing w:before="20" w:after="20" w:line="252" w:lineRule="auto"/>
        <w:ind w:left="720"/>
        <w:jc w:val="left"/>
      </w:pPr>
      <w:r>
        <w:rPr>
          <w:rFonts w:ascii="Consolas" w:hAnsi="Consolas"/>
          <w:b w:val="0"/>
          <w:i w:val="0"/>
          <w:color w:val="000000"/>
          <w:sz w:val="19"/>
        </w:rPr>
        <w:t>6. Đề tài khoa học công nghệ cấp cơ sở           |============= 94%                              (Đạt 15 / 16 đề tài)</w:t>
      </w:r>
    </w:p>
    <w:p>
      <w:pPr>
        <w:spacing w:before="20" w:after="20" w:line="252" w:lineRule="auto"/>
        <w:ind w:left="720"/>
        <w:jc w:val="left"/>
      </w:pPr>
      <w:r>
        <w:rPr>
          <w:rFonts w:ascii="Consolas" w:hAnsi="Consolas"/>
          <w:b w:val="0"/>
          <w:i w:val="0"/>
          <w:color w:val="000000"/>
          <w:sz w:val="19"/>
        </w:rPr>
        <w:t>7. Bài tham luận hội thảo quốc tế                |============ 91%                               (Đạt 10 / 11 bài)</w:t>
      </w:r>
    </w:p>
    <w:p>
      <w:pPr>
        <w:spacing w:before="20" w:after="20" w:line="252" w:lineRule="auto"/>
        <w:ind w:left="720"/>
        <w:jc w:val="left"/>
      </w:pPr>
      <w:r>
        <w:rPr>
          <w:rFonts w:ascii="Consolas" w:hAnsi="Consolas"/>
          <w:b w:val="0"/>
          <w:i w:val="0"/>
          <w:color w:val="000000"/>
          <w:sz w:val="19"/>
        </w:rPr>
        <w:t>8. Đề tài cấp Tỉnh, Bộ, Nhà nước                 |========== 75%                                 (Đạt 3 / 4 đề tài)</w:t>
      </w:r>
    </w:p>
    <w:p>
      <w:pPr>
        <w:spacing w:before="20" w:after="20" w:line="252" w:lineRule="auto"/>
        <w:ind w:left="720"/>
        <w:jc w:val="left"/>
      </w:pPr>
      <w:r>
        <w:rPr>
          <w:rFonts w:ascii="Consolas" w:hAnsi="Consolas"/>
          <w:b w:val="0"/>
          <w:i w:val="0"/>
          <w:color w:val="000000"/>
          <w:sz w:val="19"/>
        </w:rPr>
        <w:t>9. Hợp đồng chuyển giao công nghệ                | (Chưa phát sinh doanh thu chuyển giao ngoài)</w:t>
      </w:r>
    </w:p>
    <w:p>
      <w:pPr>
        <w:spacing w:before="40" w:after="120" w:line="312" w:lineRule="auto"/>
        <w:ind w:firstLine="0"/>
        <w:jc w:val="center"/>
      </w:pPr>
      <w:r>
        <w:rPr>
          <w:rFonts w:ascii="Times New Roman" w:hAnsi="Times New Roman"/>
          <w:b w:val="0"/>
          <w:i/>
          <w:color w:val="000000"/>
          <w:sz w:val="22"/>
        </w:rPr>
        <w:t>(Nguồn: Nhóm nghiên cứu tính toán từ mục 2.2.4 Kế hoạch số 07/KH-ĐHTĐ và dữ liệu thực tế của Phòng Khoa học Công nghệ)</w:t>
      </w:r>
    </w:p>
    <w:p>
      <w:pPr>
        <w:spacing w:before="40" w:after="80" w:line="312" w:lineRule="auto"/>
        <w:ind w:firstLine="720"/>
        <w:jc w:val="both"/>
      </w:pPr>
      <w:r>
        <w:rPr>
          <w:rFonts w:ascii="Times New Roman" w:hAnsi="Times New Roman"/>
          <w:b w:val="0"/>
          <w:i w:val="0"/>
          <w:color w:val="000000"/>
          <w:sz w:val="26"/>
        </w:rPr>
        <w:t>Phân tích Hình 2.10 cho thấy trong 9 nhóm chỉ tiêu định lượng của Kế hoạch 07, có tới 6 chỉ tiêu đạt và vượt xa kế hoạch đề ra, phản ánh 5 kết quả nổi bật trong công tác quản lý của Nhà trường:</w:t>
      </w:r>
    </w:p>
    <w:p>
      <w:pPr>
        <w:spacing w:before="40" w:after="80" w:line="312" w:lineRule="auto"/>
        <w:ind w:firstLine="720"/>
        <w:jc w:val="both"/>
      </w:pPr>
      <w:r>
        <w:rPr>
          <w:rFonts w:ascii="Times New Roman" w:hAnsi="Times New Roman"/>
          <w:b w:val="0"/>
          <w:i w:val="0"/>
          <w:color w:val="000000"/>
          <w:sz w:val="26"/>
        </w:rPr>
        <w:t>*Thứ nhất, Nhà trường có tầm nhìn thể chế sớm và chủ động:* Ngay từ năm 2021, Hội đồng trường đã ban hành Quyết định số 213/QĐ-ĐHTĐ thiết lập một chương riêng về sở hữu trí tuệ, tiếp đó là Quyết định số 217/QĐ-ĐHTĐ năm 2024 quy định chuyên biệt. Việc ban hành quy chế nội bộ trước khi các luật mới năm 2025 ra đời khẳng định nhận thức chiến lược của lãnh đạo Nhà trường đối với vai trò của tài sản trí tuệ.</w:t>
      </w:r>
    </w:p>
    <w:p>
      <w:pPr>
        <w:spacing w:before="40" w:after="80" w:line="312" w:lineRule="auto"/>
        <w:ind w:firstLine="720"/>
        <w:jc w:val="both"/>
      </w:pPr>
      <w:r>
        <w:rPr>
          <w:rFonts w:ascii="Times New Roman" w:hAnsi="Times New Roman"/>
          <w:b w:val="0"/>
          <w:i w:val="0"/>
          <w:color w:val="000000"/>
          <w:sz w:val="26"/>
        </w:rPr>
        <w:t>*Thứ hai, tích lũy được khối lượng tài sản trí tuệ bước đầu:* Toàn Trường đã xác lập và theo dõi 11 hồ sơ tài sản trí tuệ, trong đó 4 tài sản thương hiệu đã được cấp văn bằng độc quyền và giấy chứng nhận quyền tác giả; 5 kiểu dáng công nghiệp hợp tác với doanh nghiệp đã có mã số theo dõi; 01 đơn đăng ký sáng chế hợp chất chiết xuất lá Quế hoa đã được Cục Sở hữu trí tuệ chấp nhận đơn hợp lệ.</w:t>
      </w:r>
    </w:p>
    <w:p>
      <w:pPr>
        <w:spacing w:before="40" w:after="80" w:line="312" w:lineRule="auto"/>
        <w:ind w:firstLine="720"/>
        <w:jc w:val="both"/>
      </w:pPr>
      <w:r>
        <w:rPr>
          <w:rFonts w:ascii="Times New Roman" w:hAnsi="Times New Roman"/>
          <w:b w:val="0"/>
          <w:i w:val="0"/>
          <w:color w:val="000000"/>
          <w:sz w:val="26"/>
        </w:rPr>
        <w:t>*Thứ ba, năng lực nghiên cứu khoa học và công bố tăng trưởng nhảy vọt:* Số lượng bài báo khoa học tăng bình quân 62,7%/năm, đạt 161 bài vào năm 2025 (tương ứng 1,11 bài trên một giảng viên mỗi năm). Nhóm công bố quốc tế vượt tới 283% chỉ tiêu Kế hoạch 07, trong đó xuất hiện 71 bài đăng trên các tạp chí quốc tế có thứ hạng cao.</w:t>
      </w:r>
    </w:p>
    <w:p>
      <w:pPr>
        <w:spacing w:before="40" w:after="80" w:line="312" w:lineRule="auto"/>
        <w:ind w:firstLine="720"/>
        <w:jc w:val="both"/>
      </w:pPr>
      <w:r>
        <w:rPr>
          <w:rFonts w:ascii="Times New Roman" w:hAnsi="Times New Roman"/>
          <w:b w:val="0"/>
          <w:i w:val="0"/>
          <w:color w:val="000000"/>
          <w:sz w:val="26"/>
        </w:rPr>
        <w:t>*Thứ tư, tiềm năng sáng tạo công nghệ thực nghiệm tập trung rõ nét:* Nhà trường đã hình thành được lực lượng nghiên cứu chuyên sâu tại Viện Y - Dược với 10 trên 11 đề tài có sản phẩm tiềm năng tạo lập quyền sở hữu công nghiệp. Đề tài cấp quốc gia NAFOSTED đạt tổng kinh phí 4,67 tỷ đồng, tạo nền tảng vững chắc cho nghiên cứu đỉnh cao.</w:t>
      </w:r>
    </w:p>
    <w:p>
      <w:pPr>
        <w:spacing w:before="40" w:after="80" w:line="312" w:lineRule="auto"/>
        <w:ind w:firstLine="720"/>
        <w:jc w:val="both"/>
      </w:pPr>
      <w:r>
        <w:rPr>
          <w:rFonts w:ascii="Times New Roman" w:hAnsi="Times New Roman"/>
          <w:b w:val="0"/>
          <w:i w:val="0"/>
          <w:color w:val="000000"/>
          <w:sz w:val="26"/>
        </w:rPr>
        <w:t>*Thứ năm, bước đầu hình thành mô hình liên kết đào tạo - nghiên cứu - doanh nghiệp:* Việc đồng sở hữu 5 kiểu dáng công nghiệp bao bì dược liệu và 1 nhãn hiệu với doanh nghiệp đối tác khẳng định tính khả thi của mô hình hợp tác đại học với doanh nghiệp trong thương mại hóa sản phẩm.</w:t>
      </w:r>
    </w:p>
    <w:p>
      <w:pPr>
        <w:spacing w:before="160" w:after="80" w:line="312" w:lineRule="auto"/>
        <w:ind w:firstLine="0"/>
        <w:jc w:val="both"/>
      </w:pPr>
      <w:r>
        <w:rPr>
          <w:rFonts w:ascii="Times New Roman" w:hAnsi="Times New Roman"/>
          <w:b/>
          <w:i/>
          <w:color w:val="000000"/>
          <w:sz w:val="26"/>
        </w:rPr>
        <w:t>2.3.2. Tồn tại, hạn chế</w:t>
      </w:r>
    </w:p>
    <w:p>
      <w:pPr>
        <w:spacing w:before="40" w:after="80" w:line="312" w:lineRule="auto"/>
        <w:ind w:firstLine="720"/>
        <w:jc w:val="both"/>
      </w:pPr>
      <w:r>
        <w:rPr>
          <w:rFonts w:ascii="Times New Roman" w:hAnsi="Times New Roman"/>
          <w:b w:val="0"/>
          <w:i w:val="0"/>
          <w:color w:val="000000"/>
          <w:sz w:val="26"/>
        </w:rPr>
        <w:t>Bên cạnh những kết quả đạt được, thực trạng quản lý quyền sở hữu trí tuệ tại Trường Đại học Thành Đô đang bộc lộ 7 điểm nghẽn thực tiễn lớn:</w:t>
      </w:r>
    </w:p>
    <w:p>
      <w:pPr>
        <w:spacing w:before="40" w:after="80" w:line="312" w:lineRule="auto"/>
        <w:ind w:firstLine="720"/>
        <w:jc w:val="both"/>
      </w:pPr>
      <w:r>
        <w:rPr>
          <w:rFonts w:ascii="Times New Roman" w:hAnsi="Times New Roman"/>
          <w:b w:val="0"/>
          <w:i w:val="0"/>
          <w:color w:val="000000"/>
          <w:sz w:val="26"/>
        </w:rPr>
        <w:t>*Một là, kết quả nghiên cứu khoa học chưa được chuyển hóa thành văn bằng bảo hộ độc quyền tương xứng:* Trong khi số lượng bài báo tăng gấp 7 lần thì trong suốt 5 năm Trường chỉ nộp được 01 đơn sáng chế từ đề tài cấp cơ sở. Tỷ lệ hao hụt từ đề tài tiềm năng sang đơn đăng ký lên tới 88,9%. Tám sản phẩm công thức và quy trình bào chế rất có giá trị thuộc mảng Dược học bị dừng lại sau nghiệm thu mà không được làm thủ tục xác lập quyền.</w:t>
      </w:r>
    </w:p>
    <w:p>
      <w:pPr>
        <w:spacing w:before="40" w:after="80" w:line="312" w:lineRule="auto"/>
        <w:ind w:firstLine="720"/>
        <w:jc w:val="both"/>
      </w:pPr>
      <w:r>
        <w:rPr>
          <w:rFonts w:ascii="Times New Roman" w:hAnsi="Times New Roman"/>
          <w:b w:val="0"/>
          <w:i w:val="0"/>
          <w:color w:val="000000"/>
          <w:sz w:val="26"/>
        </w:rPr>
        <w:t>*Hai là, thể chế phân chia lợi ích nội bộ còn bất cập và xung đột với luật mới:* Quy chế nội bộ áp đặt mức trần khen thưởng 100 triệu đồng cho tác giả đề tài dùng ngân sách nhà nước, triệt tiêu động lực chuyển giao thương mại. Quy định chia nguồn thu chưa phân biệt mạch lạc giữa tiền thưởng từ lợi nhuận sau thuế và tiền thù lao tối thiểu trên doanh thu gộp theo Luật Sở hữu trí tuệ sửa đổi.</w:t>
      </w:r>
    </w:p>
    <w:p>
      <w:pPr>
        <w:spacing w:before="40" w:after="80" w:line="312" w:lineRule="auto"/>
        <w:ind w:firstLine="720"/>
        <w:jc w:val="both"/>
      </w:pPr>
      <w:r>
        <w:rPr>
          <w:rFonts w:ascii="Times New Roman" w:hAnsi="Times New Roman"/>
          <w:b w:val="0"/>
          <w:i w:val="0"/>
          <w:color w:val="000000"/>
          <w:sz w:val="26"/>
        </w:rPr>
        <w:t>*Ba là, luồng quản trị thương hiệu và luồng nghiên cứu khoa học vận hành tách biệt:* Bốn đầu mối quản lý phân công cho bốn đơn vị khác nhau nhưng thiếu cơ chế điều phối liên thông. Bộ phận làm thủ tục pháp lý chỉ tập trung vào nhãn hiệu, trong khi Phòng Khoa học Công nghệ quản lý đề tài lại thiếu nhân sự chuyên môn về sở hữu công nghiệp.</w:t>
      </w:r>
    </w:p>
    <w:p>
      <w:pPr>
        <w:spacing w:before="40" w:after="80" w:line="312" w:lineRule="auto"/>
        <w:ind w:firstLine="720"/>
        <w:jc w:val="both"/>
      </w:pPr>
      <w:r>
        <w:rPr>
          <w:rFonts w:ascii="Times New Roman" w:hAnsi="Times New Roman"/>
          <w:b w:val="0"/>
          <w:i w:val="0"/>
          <w:color w:val="000000"/>
          <w:sz w:val="26"/>
        </w:rPr>
        <w:t>*Bốn là, tài sản trí tuệ do Nhà trường đơn sở hữu từ nghiên cứu khoa học còn quá ít:* Ngoại trừ các nhãn hiệu phục vụ tuyển sinh, hầu hết tài sản công nghệ đều ở dạng đồng sở hữu với doanh nghiệp hoặc chưa đăng ký bảo hộ độc quyền dưới tên Trường Đại học Thành Đô.</w:t>
      </w:r>
    </w:p>
    <w:p>
      <w:pPr>
        <w:spacing w:before="40" w:after="80" w:line="312" w:lineRule="auto"/>
        <w:ind w:firstLine="720"/>
        <w:jc w:val="both"/>
      </w:pPr>
      <w:r>
        <w:rPr>
          <w:rFonts w:ascii="Times New Roman" w:hAnsi="Times New Roman"/>
          <w:b w:val="0"/>
          <w:i w:val="0"/>
          <w:color w:val="000000"/>
          <w:sz w:val="26"/>
        </w:rPr>
        <w:t>*Năm là, hệ thống dữ liệu quản lý bị phân mảnh và thiếu vắng chỉ tiêu kinh tế:* Dữ liệu về tài sản trí tuệ chưa được chuẩn hóa tập trung. Có tới 7 trên 16 chỉ tiêu đánh giá chuỗi kết quả hoàn toàn chưa đo lường được; các chỉ số về doanh thu chuyển giao, chi phí duy trì văn bằng và thù lao tác giả bị khuyết trắng số liệu.</w:t>
      </w:r>
    </w:p>
    <w:p>
      <w:pPr>
        <w:spacing w:before="40" w:after="80" w:line="312" w:lineRule="auto"/>
        <w:ind w:firstLine="720"/>
        <w:jc w:val="both"/>
      </w:pPr>
      <w:r>
        <w:rPr>
          <w:rFonts w:ascii="Times New Roman" w:hAnsi="Times New Roman"/>
          <w:b w:val="0"/>
          <w:i w:val="0"/>
          <w:color w:val="000000"/>
          <w:sz w:val="26"/>
        </w:rPr>
        <w:t>*Sáu là, khai thác thương mại có thu phí quy mô còn rất nhỏ bé:* Nhà trường mới chỉ có hai hợp đồng chuyển giao quyền sử dụng sách chuyên khảo với mức thu 5 triệu đồng/hợp đồng/năm. Hoạt động chuyển giao công nghệ có thu phí đối với các sáng chế, giải pháp hữu ích ra thị trường bên ngoài gần như chưa phát sinh doanh thu.</w:t>
      </w:r>
    </w:p>
    <w:p>
      <w:pPr>
        <w:spacing w:before="40" w:after="80" w:line="312" w:lineRule="auto"/>
        <w:ind w:firstLine="720"/>
        <w:jc w:val="both"/>
      </w:pPr>
      <w:r>
        <w:rPr>
          <w:rFonts w:ascii="Times New Roman" w:hAnsi="Times New Roman"/>
          <w:b w:val="0"/>
          <w:i w:val="0"/>
          <w:color w:val="000000"/>
          <w:sz w:val="26"/>
        </w:rPr>
        <w:t>*Bảy là, quy trình quản lý đề tài nghiên cứu thiếu bước sàng lọc bắt buộc về sở hữu trí tuệ:* Nhà trường chưa ban hành biểu mẫu và thủ tục sàng lọc khả năng bảo hộ độc quyền trước khi cho phép giảng viên xuất bản bài báo khoa học, dẫn tới rủi ro làm mất tính mới tuyệt đối của giải pháp công nghệ.</w:t>
      </w:r>
    </w:p>
    <w:p>
      <w:pPr>
        <w:spacing w:before="160" w:after="80" w:line="312" w:lineRule="auto"/>
        <w:ind w:firstLine="0"/>
        <w:jc w:val="both"/>
      </w:pPr>
      <w:r>
        <w:rPr>
          <w:rFonts w:ascii="Times New Roman" w:hAnsi="Times New Roman"/>
          <w:b/>
          <w:i/>
          <w:color w:val="000000"/>
          <w:sz w:val="26"/>
        </w:rPr>
        <w:t>2.3.3. Nguyên nhân của tồn tại, hạn chế</w:t>
      </w:r>
    </w:p>
    <w:p>
      <w:pPr>
        <w:spacing w:before="40" w:after="80" w:line="312" w:lineRule="auto"/>
        <w:ind w:firstLine="720"/>
        <w:jc w:val="both"/>
      </w:pPr>
      <w:r>
        <w:rPr>
          <w:rFonts w:ascii="Times New Roman" w:hAnsi="Times New Roman"/>
          <w:b w:val="0"/>
          <w:i w:val="0"/>
          <w:color w:val="000000"/>
          <w:sz w:val="26"/>
        </w:rPr>
        <w:t>Sự tồn tại của các hạn chế nêu trên xuất phát từ sự tương tác đan xen giữa các yếu tố khách quan của bối cảnh bên ngoài và các nguyên nhân chủ quan nội tại của Nhà trường.</w:t>
      </w:r>
    </w:p>
    <w:p>
      <w:pPr>
        <w:spacing w:before="40" w:after="80" w:line="312" w:lineRule="auto"/>
        <w:ind w:firstLine="720"/>
        <w:jc w:val="both"/>
      </w:pPr>
      <w:r>
        <w:rPr>
          <w:rFonts w:ascii="Times New Roman" w:hAnsi="Times New Roman"/>
          <w:b w:val="0"/>
          <w:i w:val="0"/>
          <w:color w:val="000000"/>
          <w:sz w:val="26"/>
        </w:rPr>
        <w:t>*Nguyên nhân khách quan:*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*Khung khổ pháp lý quốc gia thay đổi quá nhanh và dồn dập:* Giai đoạn 2025 - 2026 chứng kiến sự ra đời liên tiếp của Luật Giáo dục đại học năm 2025 (Luật số 125/2025/QH15), Luật Khoa học, Công nghệ và Đổi mới sáng tạo năm 2025 (Luật số 93/2025/QH15) cùng hàng loạt nghị định quy định chi tiết. Việc các văn bản có hiệu lực ở nhiều thời điểm khác nhau tạo ra sự lúng túng cho các cơ sở giáo dục đại học tư thục trong việc cập nhật quy chế nội bộ.</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*Thủ tục xác lập quyền sở hữu công nghiệp kéo dài và chi phí tốn kém:* Quy trình thẩm định một đơn sáng chế tại cơ quan quản lý nhà nước thường kéo dài từ 24 đến 36 tháng; chi phí tra cứu, nộp đơn, trả phí dịch vụ đại diện và phí duy trì hiệu lực hàng năm đòi hỏi nguồn tài chính lớn, tạo áp lực ngân sách cho một trường đại học tự chủ tài chính hoàn toàn.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*Đặc thù cơ cấu ngành đào tạo:* Đa số các ngành đào tạo của Trường Đại học Thành Đô thuộc khối ngành Kinh tế, Quản lý, Ngôn ngữ, Du lịch và Khoa học xã hội. Các ngành này chủ yếu tạo ra sản phẩm thuộc diện bảo hộ quyền tác giả phi thương mại, chỉ có duy nhất khối ngành Y - Dược và Kỹ thuật công nghệ là có khả năng tạo ra sản phẩm sở hữu công nghiệp.</w:t>
      </w:r>
    </w:p>
    <w:p>
      <w:pPr>
        <w:spacing w:before="40" w:after="80" w:line="312" w:lineRule="auto"/>
        <w:ind w:firstLine="720"/>
        <w:jc w:val="both"/>
      </w:pPr>
      <w:r>
        <w:rPr>
          <w:rFonts w:ascii="Times New Roman" w:hAnsi="Times New Roman"/>
          <w:b w:val="0"/>
          <w:i w:val="0"/>
          <w:color w:val="000000"/>
          <w:sz w:val="26"/>
        </w:rPr>
        <w:t>*Nguyên nhân chủ quan:*</w:t>
      </w:r>
    </w:p>
    <w:p>
      <w:pPr>
        <w:spacing w:before="40" w:after="80" w:line="312" w:lineRule="auto"/>
        <w:ind w:firstLine="720"/>
        <w:jc w:val="both"/>
      </w:pPr>
      <w:r>
        <w:rPr>
          <w:rFonts w:ascii="Times New Roman" w:hAnsi="Times New Roman"/>
          <w:b w:val="0"/>
          <w:i w:val="0"/>
          <w:color w:val="000000"/>
          <w:sz w:val="26"/>
        </w:rPr>
        <w:t>Nhóm nghiên cứu sắp xếp các nguyên nhân chủ quan thành bảy mắt xích tương ứng với các trụ cột quản trị nội bộ:</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quy trình: Chưa ban hành quy trình phối hợp liên thông và biểu mẫu rà soát khả năng bảo hộ; việc nộp đơn phụ thuộc hoàn toàn vào ý thức tự phát của chủ nhiệm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thể chế: Các quy chế ban hành qua các thời kỳ chưa được rà soát hợp nhất, chứa đựng các điều khoản xung đột về mức trần khen thưởng và căn cứ tính thù lao.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nguồn lực: Nhà trường chưa bố trí dòng ngân sách dự toán riêng cho hoạt động tra cứu, nộp đơn và duy trì văn bằng bảo hộ; chưa có quy định cho phép tạm ứng kinh phí làm đơn sau khi nghiệm thu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động lực: Quy chế chi tiêu nội bộ chỉ thưởng tiền mặt cho bài báo khoa học quốc tế mà chưa có cơ chế thưởng tiền mặt tức thời cho đơn đăng ký hoặc văn bằng độc quyền sáng chế.</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tổ chức bộ máy: Công tác quản lý bị phân mảnh qua bốn đơn vị khác nhau mà không có một đầu mối chuyên trách có chứng chỉ đại diện sở hữu công nghiệp.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quản trị dữ liệu: Chưa xây dựng được hệ thống phần mềm quản trị tài sản trí tuệ tích hợp, dữ liệu đề tài và dữ liệu sở hữu trí tuệ vận hành trên hai hệ thống riêng biệt.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con người: Đội ngũ giảng viên chưa được đào tạo, bồi dưỡng chuyên sâu về kỹ năng viết bản mô tả sáng chế và chiến lược bảo mật kết quả nghiên cứu trước khi công bố.</w:t>
      </w:r>
    </w:p>
    <w:p>
      <w:pPr>
        <w:spacing w:before="40" w:after="80" w:line="312" w:lineRule="auto"/>
        <w:ind w:firstLine="720"/>
        <w:jc w:val="both"/>
      </w:pPr>
      <w:r>
        <w:rPr>
          <w:rFonts w:ascii="Times New Roman" w:hAnsi="Times New Roman"/>
          <w:b w:val="0"/>
          <w:i w:val="0"/>
          <w:color w:val="000000"/>
          <w:sz w:val="26"/>
        </w:rPr>
        <w:t>Mối quan hệ nhân quả tương tác giữa các nguyên nhân chủ quan được mô hình hóa qua sơ đồ chuỗi nguyên nhân tại Hình 2.11:</w:t>
      </w:r>
    </w:p>
    <w:p>
      <w:pPr>
        <w:spacing w:before="160" w:after="80" w:line="312" w:lineRule="auto"/>
        <w:ind w:firstLine="0"/>
        <w:jc w:val="center"/>
      </w:pPr>
      <w:r>
        <w:rPr>
          <w:rFonts w:ascii="Times New Roman" w:hAnsi="Times New Roman"/>
          <w:b/>
          <w:i w:val="0"/>
          <w:color w:val="000000"/>
          <w:sz w:val="24"/>
        </w:rPr>
        <w:t>Hình 2.11. Giả thuyết về chuỗi nguyên nhân dẫn đến việc sản phẩm có tiềm năng chưa được đăng ký bảo hộ</w:t>
      </w:r>
    </w:p>
    <w:p>
      <w:pPr>
        <w:spacing w:before="20" w:after="20" w:line="252" w:lineRule="auto"/>
        <w:ind w:left="720"/>
        <w:jc w:val="left"/>
      </w:pPr>
      <w:r>
        <w:rPr>
          <w:rFonts w:ascii="Consolas" w:hAnsi="Consolas"/>
          <w:b w:val="0"/>
          <w:i w:val="0"/>
          <w:color w:val="000000"/>
          <w:sz w:val="19"/>
        </w:rPr>
        <w:t xml:space="preserve">  [ KẾT QUẢ NGHIÊN CỨU TIỀM NĂNG ĐƯỢC TẠO RA ] (11 đề tài cấp cơ sở có sản phẩm)</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w:t>
      </w:r>
    </w:p>
    <w:p>
      <w:pPr>
        <w:spacing w:before="20" w:after="20" w:line="252" w:lineRule="auto"/>
        <w:ind w:left="720"/>
        <w:jc w:val="left"/>
      </w:pPr>
      <w:r>
        <w:rPr>
          <w:rFonts w:ascii="Consolas" w:hAnsi="Consolas"/>
          <w:b w:val="0"/>
          <w:i w:val="0"/>
          <w:color w:val="000000"/>
          <w:sz w:val="19"/>
        </w:rPr>
        <w:t xml:space="preserve">  [ ĐIỂM NGHẼN 1: THIẾU BƯỚC SÀNG LỌC BẢO HỘ TRƯỚC CÔNG BỐ ]</w:t>
      </w:r>
    </w:p>
    <w:p>
      <w:pPr>
        <w:spacing w:before="20" w:after="20" w:line="252" w:lineRule="auto"/>
        <w:ind w:left="720"/>
        <w:jc w:val="left"/>
      </w:pPr>
      <w:r>
        <w:rPr>
          <w:rFonts w:ascii="Consolas" w:hAnsi="Consolas"/>
          <w:b w:val="0"/>
          <w:i w:val="0"/>
          <w:color w:val="000000"/>
          <w:sz w:val="19"/>
        </w:rPr>
        <w:t xml:space="preserve">  (Không có quy trình nhận diện, phụ thuộc vào ý thức tự giác của tác giả)</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w:t>
      </w:r>
    </w:p>
    <w:p>
      <w:pPr>
        <w:spacing w:before="20" w:after="20" w:line="252" w:lineRule="auto"/>
        <w:ind w:left="720"/>
        <w:jc w:val="left"/>
      </w:pPr>
      <w:r>
        <w:rPr>
          <w:rFonts w:ascii="Consolas" w:hAnsi="Consolas"/>
          <w:b w:val="0"/>
          <w:i w:val="0"/>
          <w:color w:val="000000"/>
          <w:sz w:val="19"/>
        </w:rPr>
        <w:t xml:space="preserve">  [ ĐIỂM NGHẼN 2: THIẾU DÒNG NGÂN SÁCH DỰ TOÁN VÀ NGƯỜI ĐỀ XUẤT CHI ]</w:t>
      </w:r>
    </w:p>
    <w:p>
      <w:pPr>
        <w:spacing w:before="20" w:after="20" w:line="252" w:lineRule="auto"/>
        <w:ind w:left="720"/>
        <w:jc w:val="left"/>
      </w:pPr>
      <w:r>
        <w:rPr>
          <w:rFonts w:ascii="Consolas" w:hAnsi="Consolas"/>
          <w:b w:val="0"/>
          <w:i w:val="0"/>
          <w:color w:val="000000"/>
          <w:sz w:val="19"/>
        </w:rPr>
        <w:t xml:space="preserve">  (Quy chế có giao nộp đơn nhưng không có tiền chi tra cứu, thuê viết đơn)</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w:t>
      </w:r>
    </w:p>
    <w:p>
      <w:pPr>
        <w:spacing w:before="20" w:after="20" w:line="252" w:lineRule="auto"/>
        <w:ind w:left="720"/>
        <w:jc w:val="left"/>
      </w:pPr>
      <w:r>
        <w:rPr>
          <w:rFonts w:ascii="Consolas" w:hAnsi="Consolas"/>
          <w:b w:val="0"/>
          <w:i w:val="0"/>
          <w:color w:val="000000"/>
          <w:sz w:val="19"/>
        </w:rPr>
        <w:t xml:space="preserve">  [ HÀNH VI: GIẢNG VIÊN VỘI VÃ CÔNG BỐ BÀI BÁO ĐỂ LẤY THƯỞNG VÀ TÍNH GIỜ ]</w:t>
      </w:r>
    </w:p>
    <w:p>
      <w:pPr>
        <w:spacing w:before="20" w:after="20" w:line="252" w:lineRule="auto"/>
        <w:ind w:left="720"/>
        <w:jc w:val="left"/>
      </w:pPr>
      <w:r>
        <w:rPr>
          <w:rFonts w:ascii="Consolas" w:hAnsi="Consolas"/>
          <w:b w:val="0"/>
          <w:i w:val="0"/>
          <w:color w:val="000000"/>
          <w:sz w:val="19"/>
        </w:rPr>
        <w:t xml:space="preserve">  (Thưởng tiền mặt ngay 10-20 triệu, quy đổi giờ được duyệt lập tức)</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w:t>
      </w:r>
    </w:p>
    <w:p>
      <w:pPr>
        <w:spacing w:before="20" w:after="20" w:line="252" w:lineRule="auto"/>
        <w:ind w:left="720"/>
        <w:jc w:val="left"/>
      </w:pPr>
      <w:r>
        <w:rPr>
          <w:rFonts w:ascii="Consolas" w:hAnsi="Consolas"/>
          <w:b w:val="0"/>
          <w:i w:val="0"/>
          <w:color w:val="000000"/>
          <w:sz w:val="19"/>
        </w:rPr>
        <w:t xml:space="preserve">  [ HỆ QUẢ PHÁP LÝ: BỘC LỘ KẾT QUẢ CÔNG KHAI TRÊN TẠP CHÍ / KỶ YẾU ]</w:t>
      </w:r>
    </w:p>
    <w:p>
      <w:pPr>
        <w:spacing w:before="20" w:after="20" w:line="252" w:lineRule="auto"/>
        <w:ind w:left="720"/>
        <w:jc w:val="left"/>
      </w:pPr>
      <w:r>
        <w:rPr>
          <w:rFonts w:ascii="Consolas" w:hAnsi="Consolas"/>
          <w:b w:val="0"/>
          <w:i w:val="0"/>
          <w:color w:val="000000"/>
          <w:sz w:val="19"/>
        </w:rPr>
        <w:t xml:space="preserve">                        |</w:t>
      </w:r>
    </w:p>
    <w:p>
      <w:pPr>
        <w:spacing w:before="20" w:after="20" w:line="252" w:lineRule="auto"/>
        <w:ind w:left="720"/>
        <w:jc w:val="left"/>
      </w:pPr>
      <w:r>
        <w:rPr>
          <w:rFonts w:ascii="Consolas" w:hAnsi="Consolas"/>
          <w:b w:val="0"/>
          <w:i w:val="0"/>
          <w:color w:val="000000"/>
          <w:sz w:val="19"/>
        </w:rPr>
        <w:t xml:space="preserve">                        v</w:t>
      </w:r>
    </w:p>
    <w:p>
      <w:pPr>
        <w:spacing w:before="20" w:after="20" w:line="252" w:lineRule="auto"/>
        <w:ind w:left="720"/>
        <w:jc w:val="left"/>
      </w:pPr>
      <w:r>
        <w:rPr>
          <w:rFonts w:ascii="Consolas" w:hAnsi="Consolas"/>
          <w:b w:val="0"/>
          <w:i w:val="0"/>
          <w:color w:val="000000"/>
          <w:sz w:val="19"/>
        </w:rPr>
        <w:t xml:space="preserve">  [ THẤT THOÁT TÀI SẢN: MẤT TÍNH MỚI TUYỆT ĐỐI THEO ĐIỀU 60 LUẬT SỞ HỮU TRÍ TUỆ ]</w:t>
      </w:r>
    </w:p>
    <w:p>
      <w:pPr>
        <w:spacing w:before="20" w:after="20" w:line="252" w:lineRule="auto"/>
        <w:ind w:left="720"/>
        <w:jc w:val="left"/>
      </w:pPr>
      <w:r>
        <w:rPr>
          <w:rFonts w:ascii="Consolas" w:hAnsi="Consolas"/>
          <w:b w:val="0"/>
          <w:i w:val="0"/>
          <w:color w:val="000000"/>
          <w:sz w:val="19"/>
        </w:rPr>
        <w:t xml:space="preserve">  (Không thể nộp đơn sáng chế / giải pháp hữu ích được nữa -&gt; Rơi vào quên lãng)</w:t>
      </w:r>
    </w:p>
    <w:p>
      <w:pPr>
        <w:spacing w:before="40" w:after="120" w:line="312" w:lineRule="auto"/>
        <w:ind w:firstLine="0"/>
        <w:jc w:val="center"/>
      </w:pPr>
      <w:r>
        <w:rPr>
          <w:rFonts w:ascii="Times New Roman" w:hAnsi="Times New Roman"/>
          <w:b w:val="0"/>
          <w:i/>
          <w:color w:val="000000"/>
          <w:sz w:val="22"/>
        </w:rPr>
        <w:t>(Nguồn: Nhóm nghiên cứu tổng hợp và khái quát từ phân tích thực trạng Mục 2.2 và Mục 2.3)</w:t>
      </w:r>
    </w:p>
    <w:p>
      <w:pPr>
        <w:spacing w:before="40" w:after="80" w:line="312" w:lineRule="auto"/>
        <w:ind w:firstLine="720"/>
        <w:jc w:val="both"/>
      </w:pPr>
      <w:r>
        <w:rPr>
          <w:rFonts w:ascii="Times New Roman" w:hAnsi="Times New Roman"/>
          <w:b w:val="0"/>
          <w:i w:val="0"/>
          <w:color w:val="000000"/>
          <w:sz w:val="26"/>
        </w:rPr>
        <w:t>Sơ đồ tại Hình 2.11 làm sáng rõ bản chất của chuỗi thất thoát tài sản trí tuệ tại Trường Đại học Thành Đô. Sản phẩm nghiên cứu có tiềm năng đã được tạo ra trên thực tế, nhưng do thiếu khâu sàng lọc bắt buộc và thiếu cơ chế cấp kinh phí làm đơn nộp sớm, giảng viên đã lựa chọn con đường an toàn và nhanh nhất là công bố bài báo khoa học. Hành vi này vô tình làm giải pháp kỹ thuật bị bộc lộ công khai, triệt tiêu tính mới của sáng chế và khiến kết quả nghiên cứu không thể xác lập quyền bảo hộ độc quyền được nữa. Nhận diện chuẩn xác chuỗi nguyên nhân này chính là chìa khóa then chốt để nhóm nghiên cứu đề xuất hệ thống giải pháp đột phá tại Chương 3.</w:t>
      </w:r>
    </w:p>
    <w:p>
      <w:pPr>
        <w:spacing w:before="320" w:after="240" w:line="312" w:lineRule="auto"/>
        <w:ind w:firstLine="0"/>
        <w:jc w:val="center"/>
      </w:pPr>
      <w:r>
        <w:rPr>
          <w:rFonts w:ascii="Times New Roman" w:hAnsi="Times New Roman"/>
          <w:b/>
          <w:i w:val="0"/>
          <w:color w:val="000000"/>
          <w:sz w:val="28"/>
        </w:rPr>
        <w:t>TIỂU KẾT CHƯƠNG 2</w:t>
      </w:r>
    </w:p>
    <w:p>
      <w:pPr>
        <w:spacing w:before="40" w:after="80" w:line="312" w:lineRule="auto"/>
        <w:ind w:firstLine="720"/>
        <w:jc w:val="both"/>
      </w:pPr>
      <w:r>
        <w:rPr>
          <w:rFonts w:ascii="Times New Roman" w:hAnsi="Times New Roman"/>
          <w:b w:val="0"/>
          <w:i w:val="0"/>
          <w:color w:val="000000"/>
          <w:sz w:val="26"/>
        </w:rPr>
        <w:t>Chương 2 đã hoàn thành toàn diện việc khảo sát, phân tích và đánh giá thực trạng quản lý quyền sở hữu trí tuệ tại Trường Đại học Thành Đô giai đoạn 2021 - 2025 theo chu trình bốn khâu nghiệp vụ khép kín và đối sánh với khung pháp luật hiện hành. Những kết quả nghiên cứu thực chứng làm sáng tỏ các luận điểm cốt lõi sau:</w:t>
      </w:r>
    </w:p>
    <w:p>
      <w:pPr>
        <w:spacing w:before="40" w:after="80" w:line="312" w:lineRule="auto"/>
        <w:ind w:firstLine="720"/>
        <w:jc w:val="both"/>
      </w:pPr>
      <w:r>
        <w:rPr>
          <w:rFonts w:ascii="Times New Roman" w:hAnsi="Times New Roman"/>
          <w:b w:val="0"/>
          <w:i w:val="0"/>
          <w:color w:val="000000"/>
          <w:sz w:val="26"/>
        </w:rPr>
        <w:t>*Về mặt thành tựu:* Trường Đại học Thành Đô thể hiện tư duy quản trị tiến bộ với việc sớm ban hành các quy chế nội bộ chuyên biệt về sở hữu trí tuệ; tích lũy được 11 hồ sơ tài sản trí tuệ thuộc ba luồng khác nhau; bứt phá mạnh mẽ về năng lực công bố bài báo khoa học quốc tế; hình thành được lực lượng nghiên cứu thực nghiệm nòng cốt tại Viện Y - Dược với 11 đề tài có sản phẩm tiềm năng; và bước đầu vận hành mô hình liên kết với doanh nghiệp trong xác lập kiểu dáng công nghiệp.</w:t>
      </w:r>
    </w:p>
    <w:p>
      <w:pPr>
        <w:spacing w:before="40" w:after="80" w:line="312" w:lineRule="auto"/>
        <w:ind w:firstLine="720"/>
        <w:jc w:val="both"/>
      </w:pPr>
      <w:r>
        <w:rPr>
          <w:rFonts w:ascii="Times New Roman" w:hAnsi="Times New Roman"/>
          <w:b w:val="0"/>
          <w:i w:val="0"/>
          <w:color w:val="000000"/>
          <w:sz w:val="26"/>
        </w:rPr>
        <w:t>*Về mặt tồn tại và điểm nghẽn:* Bức tranh quản lý của Nhà trường bộc lộ sự bất đối xứng sâu sắc giữa năng lực công bố học thuật và kết quả đăng ký quyền sở hữu công nghiệp độc quyền. Điểm nghẽn nghiêm trọng nhất là tỷ lệ hao hụt chuyển hóa lên tới 88,9% khi các giải pháp hữu ích từ đề tài cấp cơ sở không được làm thủ tục nộp đơn; cơ chế phân chia lợi ích nội bộ còn duy trì mức trần 100 triệu đồng xung đột với Luật Khoa học, Công nghệ và Đổi mới sáng tạo năm 2025; tổ chức bộ máy quản lý bị phân mảnh qua bốn đầu mối thiếu luồng hồ sơ liên thông; hệ thống dữ liệu chưa đo lường được các chỉ tiêu kinh tế; và hoạt động thương mại hóa có thu phí ra bên ngoài còn rất hạn chế.</w:t>
      </w:r>
    </w:p>
    <w:p>
      <w:pPr>
        <w:spacing w:before="40" w:after="80" w:line="312" w:lineRule="auto"/>
        <w:ind w:firstLine="720"/>
        <w:jc w:val="both"/>
      </w:pPr>
      <w:r>
        <w:rPr>
          <w:rFonts w:ascii="Times New Roman" w:hAnsi="Times New Roman"/>
          <w:b w:val="0"/>
          <w:i w:val="0"/>
          <w:color w:val="000000"/>
          <w:sz w:val="26"/>
        </w:rPr>
        <w:t>*Về nguyên nhân gốc rễ:* Thực trạng trên bắt nguồn từ chuỗi nguyên nhân chủ quan mang tính hệ thống: quy trình đề tài thiếu khâu sàng lọc khả năng bảo hộ độc quyền trước khi công bố; thiếu dòng dự toán kinh phí và cơ chế tạm ứng chi phí làm đơn; cơ chế khen thưởng chỉ ưu tiên tiền mặt cho bài báo khiến giảng viên công bố sớm làm mất tính mới của sáng chế; và đầu mối quản lý thiếu chuyên trách về thủ tục sở hữu công nghiệp.</w:t>
      </w:r>
    </w:p>
    <w:p>
      <w:pPr>
        <w:spacing w:before="40" w:after="80" w:line="312" w:lineRule="auto"/>
        <w:ind w:firstLine="720"/>
        <w:jc w:val="both"/>
      </w:pPr>
      <w:r>
        <w:rPr>
          <w:rFonts w:ascii="Times New Roman" w:hAnsi="Times New Roman"/>
          <w:b w:val="0"/>
          <w:i w:val="0"/>
          <w:color w:val="000000"/>
          <w:sz w:val="26"/>
        </w:rPr>
        <w:t>Những phát hiện thực tiễn và các khoảng trống quản trị được nhận diện chính xác tại Chương 2 chính là căn cứ thực chứng vững chắc, đóng vai trò bản lề để Đề tài tiến hành xây dựng ma trận phân tích điểm mạnh, điểm yếu, cơ hội, thách thức và thiết lập Hệ thống giải pháp toàn diện, đồng bộ, có tính khả thi cao tại Chương 3 nhằm nâng cao hiệu quả quản lý quyền sở hữu trí tuệ tại Trường Đại học Thành Đô trong giai đoạn mới.</w:t>
      </w:r>
    </w:p>
    <w:p>
      <w:pPr>
        <w:pageBreakBefore/>
        <w:spacing w:before="320" w:after="240" w:line="312" w:lineRule="auto"/>
        <w:ind w:firstLine="0"/>
        <w:jc w:val="center"/>
      </w:pPr>
      <w:r>
        <w:rPr>
          <w:rFonts w:ascii="Times New Roman" w:hAnsi="Times New Roman"/>
          <w:b/>
          <w:i w:val="0"/>
          <w:color w:val="000000"/>
          <w:sz w:val="28"/>
        </w:rPr>
        <w:t>CHƯƠNG 3. HỆ THỐNG GIẢI PHÁP NÂNG CAO HIỆU QUẢ QUẢN LÝ QUYỀN SỞ HỮU TRÍ TUỆ TẠI TRƯỜNG ĐẠI HỌC THÀNH ĐÔ ĐÁP ỨNG KHUNG PHÁP LÝ MỚI</w:t>
      </w:r>
    </w:p>
    <w:p>
      <w:pPr>
        <w:spacing w:before="40" w:after="80" w:line="312" w:lineRule="auto"/>
        <w:ind w:firstLine="720"/>
        <w:jc w:val="both"/>
      </w:pPr>
      <w:r>
        <w:rPr>
          <w:rFonts w:ascii="Times New Roman" w:hAnsi="Times New Roman"/>
          <w:b w:val="0"/>
          <w:i w:val="0"/>
          <w:color w:val="000000"/>
          <w:sz w:val="26"/>
        </w:rPr>
        <w:t>Trên cơ sở nhận diện đầy đủ các thành tựu, các điểm nghẽn thực tiễn và mô hình chuỗi nguyên nhân gốc rễ đã mổ xẻ tại Chương 2, kết hợp với các định hướng chiến lược quốc gia và khung pháp lý mới ban hành trong giai đoạn 2025 - 2026, Chương 3 tập trung xây dựng một hệ thống giải pháp toàn diện, đồng bộ và có tính khả thi cao nhằm nâng cao hiệu quả quản lý quyền sở hữu trí tuệ tại Trường Đại học Thành Đô đến năm 2030.</w:t>
      </w:r>
    </w:p>
    <w:p>
      <w:pPr>
        <w:spacing w:before="240" w:after="120" w:line="312" w:lineRule="auto"/>
        <w:ind w:firstLine="0"/>
        <w:jc w:val="both"/>
      </w:pPr>
      <w:r>
        <w:rPr>
          <w:rFonts w:ascii="Times New Roman" w:hAnsi="Times New Roman"/>
          <w:b/>
          <w:i w:val="0"/>
          <w:color w:val="000000"/>
          <w:sz w:val="26"/>
        </w:rPr>
        <w:t>3.1. Căn cứ, định hướng và nguyên tắc xây dựng giải pháp</w:t>
      </w:r>
    </w:p>
    <w:p>
      <w:pPr>
        <w:spacing w:before="160" w:after="80" w:line="312" w:lineRule="auto"/>
        <w:ind w:firstLine="0"/>
        <w:jc w:val="both"/>
      </w:pPr>
      <w:r>
        <w:rPr>
          <w:rFonts w:ascii="Times New Roman" w:hAnsi="Times New Roman"/>
          <w:b/>
          <w:i/>
          <w:color w:val="000000"/>
          <w:sz w:val="26"/>
        </w:rPr>
        <w:t>3.1.1. Định hướng chiến lược và yêu cầu mới từ khung pháp lý giai đoạn 2025 - 2026</w:t>
      </w:r>
    </w:p>
    <w:p>
      <w:pPr>
        <w:spacing w:before="40" w:after="80" w:line="312" w:lineRule="auto"/>
        <w:ind w:firstLine="720"/>
        <w:jc w:val="both"/>
      </w:pPr>
      <w:r>
        <w:rPr>
          <w:rFonts w:ascii="Times New Roman" w:hAnsi="Times New Roman"/>
          <w:b w:val="0"/>
          <w:i w:val="0"/>
          <w:color w:val="000000"/>
          <w:sz w:val="26"/>
        </w:rPr>
        <w:t>Hệ thống giải pháp của Đề tài được xây dựng dựa trên sự bám sát năm nhóm yêu cầu pháp lý cốt lõi phát sinh từ các đạo luật và văn bản chỉ đạo mới ban hành: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*Quyền tự chủ sở hữu và thương mại hóa kết quả sử dụng ngân sách:* Khoản 1 Điều 86a Luật Sở hữu trí tuệ và Điều 28 Luật Khoa học, Công nghệ và Đổi mới sáng tạo năm 2025 (Luật số 93/2025/QH15) quy định tổ chức chủ trì (nhà trường) tự động có quyền sở hữu không bồi hoàn đối với phần kết quả nhiệm vụ khoa học sử dụng ngân sách nhà nước, đồng thời trao toàn quyền tự chủ cho cơ sở trong việc định giá, chuyển giao, góp vốn hoặc thành lập doanh nghiệp khởi nguồn công nghệ từ kết quả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*Bảo đảm quyền lợi kinh tế của tác giả sáng tạo:* Luật Khoa học, Công nghệ và Đổi mới sáng tạo năm 2025 bắt buộc trích thưởng tối thiểu 30% lợi nhuận sau thuế cho tác giả và tuyệt đối không được khống chế mức trần; Điều 135 Luật Sở hữu trí tuệ sửa đổi quy định chế độ thù lao tối thiểu 15% tổng doanh thu gộp nếu không có thỏa thuận; Nghị định số 267/2025/NĐ-CP hướng dẫn chi tiết cách thức xác định mức đóng góp và phân chia lợi nhuận giữa các đồng tác giả.</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*Nguồn lực tài chính bền vững:* Nghị định số 100/2026/NĐ-CP cho phép Quỹ Phát triển khoa học và công nghệ của cơ sở giáo dục đại học được chi trực tiếp cho các hoạt động tra cứu, đăng ký xác lập quyền, định giá và thương mại hóa tài sản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*Chuẩn cơ sở giáo dục đại học và nghĩa vụ công khai minh bạch:* Thông tư số 01/2024/TT-BGDĐT và Thông tư số 83/2026/TT-BGDĐT của Bộ Giáo dục và Đào tạo quy định bắt buộc nhà trường phải có quy chế quản trị tài sản trí tuệ, cơ chế bảo đảm liêm chính học thuật; định giá văn bằng sáng chế gấp 5 lần và giải pháp hữu ích gấp 3 lần bài báo; bắt buộc cập nhật dữ liệu tài sản trí tuệ thống nhất lên hệ thống dữ liệu quốc gia HEMIS và công khai kết quả tự đánh giá trước ngày 31 tháng 5 hàng năm.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*Định hướng đột phá thể chế:* Kết luận số 51-KL/TW ngày 17 tháng 6 năm 2026 của Bộ Chính trị và Quyết định số 1624/QĐ-TTg ngày 21 tháng 8 năm 2026 của Thủ tướng Chính phủ xác định yêu cầu chuyển từ quản lý hành chính thụ động sang đồng hành, thúc đẩy đăng ký sở hữu trí tuệ song song với công bố khoa học, khuyến khích thí điểm định giá tài sản trí tuệ trong trường đại học.</w:t>
      </w:r>
    </w:p>
    <w:p>
      <w:pPr>
        <w:spacing w:before="160" w:after="80" w:line="312" w:lineRule="auto"/>
        <w:ind w:firstLine="0"/>
        <w:jc w:val="both"/>
      </w:pPr>
      <w:r>
        <w:rPr>
          <w:rFonts w:ascii="Times New Roman" w:hAnsi="Times New Roman"/>
          <w:b/>
          <w:i/>
          <w:color w:val="000000"/>
          <w:sz w:val="26"/>
        </w:rPr>
        <w:t>3.1.2. Phân tích ma trận điểm mạnh, điểm yếu, cơ hội và thách thức</w:t>
      </w:r>
    </w:p>
    <w:p>
      <w:pPr>
        <w:spacing w:before="40" w:after="80" w:line="312" w:lineRule="auto"/>
        <w:ind w:firstLine="720"/>
        <w:jc w:val="both"/>
      </w:pPr>
      <w:r>
        <w:rPr>
          <w:rFonts w:ascii="Times New Roman" w:hAnsi="Times New Roman"/>
          <w:b w:val="0"/>
          <w:i w:val="0"/>
          <w:color w:val="000000"/>
          <w:sz w:val="26"/>
        </w:rPr>
        <w:t>Để bảo đảm tính khoa học và luận cứ thực chứng, nhóm nghiên cứu đã tổng hợp các phát hiện từ Chương 2 đối chiếu với bối cảnh thể chế mới để thiết lập Ma trận điểm mạnh, điểm yếu, cơ hội và thách thức tại Bảng 3.1:</w:t>
      </w:r>
    </w:p>
    <w:p>
      <w:pPr>
        <w:spacing w:before="160" w:after="80" w:line="312" w:lineRule="auto"/>
        <w:ind w:firstLine="0"/>
        <w:jc w:val="center"/>
      </w:pPr>
      <w:r>
        <w:rPr>
          <w:rFonts w:ascii="Times New Roman" w:hAnsi="Times New Roman"/>
          <w:b/>
          <w:i w:val="0"/>
          <w:color w:val="000000"/>
          <w:sz w:val="24"/>
        </w:rPr>
        <w:t>Bảng 3.1. Ma trận điểm mạnh, điểm yếu, cơ hội và thách thức trong quản lý quyền sở hữu trí tuệ tại Trường Đại học Thành Đô</w:t>
      </w:r>
    </w:p>
    <w:tbl>
      <w:tblPr>
        <w:tblW w:type="auto" w:w="0"/>
        <w:jc w:val="center"/>
        <w:tblLook w:firstColumn="1" w:firstRow="1" w:lastColumn="0" w:lastRow="0" w:noHBand="0" w:noVBand="1" w:val="04A0"/>
      </w:tblPr>
      <w:tblGrid>
        <w:gridCol w:w="4702"/>
        <w:gridCol w:w="4702"/>
      </w:tblGrid>
      <w:tr>
        <w:tc>
          <w:tcPr>
            <w:tcW w:type="dxa" w:w="4702"/>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Điểm mạnh (S)</w:t>
            </w:r>
          </w:p>
        </w:tc>
        <w:tc>
          <w:tcPr>
            <w:tcW w:type="dxa" w:w="4702"/>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Điểm yếu (W)</w:t>
            </w:r>
          </w:p>
        </w:tc>
      </w:tr>
      <w:tr>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**S1.** Ban hành quy định nội bộ từ sớm: Quyết định 213 (2021) và Quyết định 217 (2024) tạo nền tảng thể chế chuyên biệt.</w:t>
              <w:br/>
              <w:t>**S2.** Năng lực nghiên cứu tăng nhanh: Số bài báo tăng 7 lần, 71 bài quốc tế có phân hạng; 6/9 chỉ tiêu Kế hoạch 07 đạt hoặc vượt.</w:t>
              <w:br/>
              <w:t>**S3.** Tiềm năng sản phẩm thực nghiệm lớn: 11 đề tài cấp cơ sở có sản phẩm tiềm năng (10 thuộc Viện Y - Dược với 42 tiến sĩ).</w:t>
              <w:br/>
              <w:t>**S4.** Đã có kết quả bước đầu: 11 hồ sơ tài sản trí tuệ (4 đã cấp bằng, 5 kiểu dáng hợp tác doanh nghiệp, 1 đơn sáng chế Quế hoa).</w:t>
              <w:br/>
              <w:t>**S5.** Hệ thống tài trợ đa kênh: Đề tài cơ sở, Quỹ Ngô Xuân Độ (5 tỷ đồng) và 3 đề tài NAFOSTED (4,67 tỷ đồng).</w:t>
            </w:r>
          </w:p>
        </w:tc>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**W1.** Tỷ lệ chuyển hóa đề tài sang đơn bảo hộ rất thấp (hao hụt 88,9%; 6 đề tài giai đoạn 2021 - 2024 chưa nộp đơn).</w:t>
              <w:br/>
              <w:t>**W2.** Quy định nội bộ chưa thống nhất thứ tự áp dụng, còn mức trần 100 triệu đồng xung đột với luật mới; thiếu bước sàng lọc.</w:t>
              <w:br/>
              <w:t>**W3.** Phối hợp giữa 4 đầu mối chưa liên thông; thiếu nhân sự chuyên trách có chứng chỉ đại diện sở hữu công nghiệp.</w:t>
              <w:br/>
              <w:t>**W4.** Chưa có dòng dự toán ngân sách riêng cho phí tra cứu, nộp đơn; văn bằng chưa có tiền thưởng trực tiếp.</w:t>
              <w:br/>
              <w:t>**W5.** Dữ liệu quản lý phân mảnh (7/16 chỉ tiêu chưa tính được); khai thác thương mại có thu phí quy mô còn rất nhỏ.</w:t>
            </w:r>
          </w:p>
        </w:tc>
      </w:tr>
      <w:tr>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**Cơ hội (O)**</w:t>
            </w:r>
          </w:p>
        </w:tc>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**Thách thức (T)**</w:t>
            </w:r>
          </w:p>
        </w:tc>
      </w:tr>
      <w:tr>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**O1.** Khung pháp luật mới trao quyền tự chủ tối đa cho trường: Tự động có quyền sở hữu, định giá, góp vốn, lập doanh nghiệp.</w:t>
              <w:br/>
              <w:t>**O2.** Chủ trương chiến lược thuận lợi: Kết luận 51-KL/TW và Quyết định 1624/QĐ-TTg hỗ trợ định giá và khai thác tài sản trí tuệ.</w:t>
              <w:br/>
              <w:t>**O3.** Chuẩn cơ sở giáo dục đại học mới định giá văn bằng cao (sáng chế bằng 5 bài báo, giải pháp hữu ích bằng 3 bài báo).</w:t>
              <w:br/>
              <w:t>**O4.** Mạng lưới hỗ trợ đổi mới sáng tạo mở rộng: Trung tâm TISC, Nền tảng số sở hữu trí tuệ quốc gia theo Chỉ thị 02/CT-TTg.</w:t>
              <w:br/>
              <w:t>**O5.** Kênh hợp tác doanh nghiệp sẵn có: Các đối tác đồng sở hữu kiểu dáng có thể liên kết chuyển giao công thức dược liệu.</w:t>
            </w:r>
          </w:p>
        </w:tc>
        <w:tc>
          <w:tcPr>
            <w:tcW w:type="dxa" w:w="4702"/>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**T1.** Áp lực tuân thủ kiểm định tăng: Bắt buộc ban hành quy chế quản trị sở hữu trí tuệ, liêm chính học thuật và báo cáo HEMIS.</w:t>
              <w:br/>
              <w:t>**T2.** Sức ép ngưỡng công bố quốc tế: Ngưỡng 0,3 bài/giảng viên khiến giảng viên vội vã công bố làm mất tính mới sáng chế.</w:t>
              <w:br/>
              <w:t>**T3.** Thủ tục xác lập quyền kéo dài (2 - 3 năm) và chi phí tra cứu, nộp đơn, duy trì tốn kém do trường phải tự cân đối tài chính.</w:t>
              <w:br/>
              <w:t>**T4.** Khung pháp luật thay đổi nhanh, phức tạp: Đòi hỏi đối chiếu liên văn bản thường xuyên để tránh rủi ro pháp lý.</w:t>
              <w:br/>
              <w:t>**T5.** Rủi ro tranh chấp quyền đồng sáng tạo giữa giảng viên, người học, doanh nghiệp và tác phẩm có sử dụng trí tuệ nhân tạo.</w:t>
            </w:r>
          </w:p>
        </w:tc>
      </w:tr>
    </w:tbl>
    <w:p>
      <w:pPr>
        <w:spacing w:before="40" w:after="120" w:line="312" w:lineRule="auto"/>
        <w:ind w:firstLine="0"/>
        <w:jc w:val="center"/>
      </w:pPr>
      <w:r>
        <w:rPr>
          <w:rFonts w:ascii="Times New Roman" w:hAnsi="Times New Roman"/>
          <w:b w:val="0"/>
          <w:i/>
          <w:color w:val="000000"/>
          <w:sz w:val="22"/>
        </w:rPr>
        <w:t>(Nguồn: Nhóm nghiên cứu tổng hợp từ kết quả Chương 2 và hệ thống văn bản pháp lý mới)</w:t>
      </w:r>
    </w:p>
    <w:p>
      <w:pPr>
        <w:spacing w:before="40" w:after="80" w:line="312" w:lineRule="auto"/>
        <w:ind w:firstLine="720"/>
        <w:jc w:val="both"/>
      </w:pPr>
      <w:r>
        <w:rPr>
          <w:rFonts w:ascii="Times New Roman" w:hAnsi="Times New Roman"/>
          <w:b w:val="0"/>
          <w:i w:val="0"/>
          <w:color w:val="000000"/>
          <w:sz w:val="26"/>
        </w:rPr>
        <w:t>Từ Ma trận Bảng 3.1, các phương án phối hợp chiến lược được xác lập tại Bảng 3.2:</w:t>
      </w:r>
    </w:p>
    <w:p>
      <w:pPr>
        <w:spacing w:before="160" w:after="80" w:line="312" w:lineRule="auto"/>
        <w:ind w:firstLine="0"/>
        <w:jc w:val="center"/>
      </w:pPr>
      <w:r>
        <w:rPr>
          <w:rFonts w:ascii="Times New Roman" w:hAnsi="Times New Roman"/>
          <w:b/>
          <w:i w:val="0"/>
          <w:color w:val="000000"/>
          <w:sz w:val="24"/>
        </w:rPr>
        <w:t>Bảng 3.2. Các phương án kết hợp từ ma trận và nhóm giải pháp tương ứng</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Nhóm phương án</w:t>
            </w:r>
          </w:p>
        </w:tc>
        <w:tc>
          <w:tcPr>
            <w:tcW w:type="dxa" w:w="3135"/>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Nội dung phối hợp chiến lược</w:t>
            </w:r>
          </w:p>
        </w:tc>
        <w:tc>
          <w:tcPr>
            <w:tcW w:type="dxa" w:w="3135"/>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tương ứng</w:t>
            </w:r>
          </w:p>
        </w:tc>
      </w:tr>
      <w:tr>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**Khắc phục điểm yếu nhờ cơ hội (WO)**</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Vận dụng quyền tự chủ của Luật Khoa học, Công nghệ và Đổi mới sáng tạo năm 2025 để bãi bỏ mức trần 100 triệu đồng; dùng chỉ số quy đổi cao của Chuẩn đại học mới để bổ sung tiền thưởng cho văn bằng bảo hộ độc quyền; lập dòng dự toán từ Quỹ phát triển khoa học công nghệ để tài trợ nộp đơn.</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3.2.1, 3.2.3</w:t>
            </w:r>
          </w:p>
        </w:tc>
      </w:tr>
      <w:tr>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**Phát huy điểm mạnh để vượt thách thức (ST)**</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Chuyển hóa kinh nghiệm nộp đơn sáng chế Quế hoa thành quy trình sàng lọc bắt buộc trước khi công bố bài báo khoa học, giúp giảng viên vừa đạt chỉ tiêu bài báo quốc tế vừa không làm mất tính mới của sáng chế; khai thác năng lực 42 tiến sĩ Viện Y - Dược để nộp đơn giải pháp hữu ích.</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3.2.1, 3.2.2</w:t>
            </w:r>
          </w:p>
        </w:tc>
      </w:tr>
      <w:tr>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**Phát huy điểm mạnh gắn với cơ hội (SO)**</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Tận dụng kênh hợp tác doanh nghiệp sẵn có để mở rộng chuyển giao công nghệ cho các công thức, sản phẩm dược liệu; thí điểm thành lập doanh nghiệp khởi nguồn công nghệ theo Luật Giáo dục đại học năm 2025.</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3.2.3</w:t>
            </w:r>
          </w:p>
        </w:tc>
      </w:tr>
      <w:tr>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**Giảm điểm yếu và phòng tránh thách thức (WT)**</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Xây dựng phần mềm cơ sở dữ liệu số quản lý tài sản trí tuệ tích hợp; đào tạo kỹ năng bộc lộ an toàn và đăng ký quyền tác giả học liệu số; thiết lập cơ chế liên thông giữa 4 đầu mối để chủ động gia hạn văn bằng, tránh mất quyền.</w:t>
            </w:r>
          </w:p>
        </w:tc>
        <w:tc>
          <w:tcPr>
            <w:tcW w:type="dxa" w:w="3135"/>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Giải pháp 3.2.4</w:t>
            </w:r>
          </w:p>
        </w:tc>
      </w:tr>
    </w:tbl>
    <w:p>
      <w:pPr>
        <w:spacing w:before="40" w:after="120" w:line="312" w:lineRule="auto"/>
        <w:ind w:firstLine="0"/>
        <w:jc w:val="center"/>
      </w:pPr>
      <w:r>
        <w:rPr>
          <w:rFonts w:ascii="Times New Roman" w:hAnsi="Times New Roman"/>
          <w:b w:val="0"/>
          <w:i/>
          <w:color w:val="000000"/>
          <w:sz w:val="22"/>
        </w:rPr>
        <w:t>(Nguồn: Nhóm nghiên cứu xây dựng từ Bảng 3.1)</w:t>
      </w:r>
    </w:p>
    <w:p>
      <w:pPr>
        <w:spacing w:before="160" w:after="80" w:line="312" w:lineRule="auto"/>
        <w:ind w:firstLine="0"/>
        <w:jc w:val="both"/>
      </w:pPr>
      <w:r>
        <w:rPr>
          <w:rFonts w:ascii="Times New Roman" w:hAnsi="Times New Roman"/>
          <w:b/>
          <w:i/>
          <w:color w:val="000000"/>
          <w:sz w:val="26"/>
        </w:rPr>
        <w:t>3.1.3. Nguyên tắc xây dựng hệ thống giải pháp</w:t>
      </w:r>
    </w:p>
    <w:p>
      <w:pPr>
        <w:spacing w:before="40" w:after="80" w:line="312" w:lineRule="auto"/>
        <w:ind w:firstLine="720"/>
        <w:jc w:val="both"/>
      </w:pPr>
      <w:r>
        <w:rPr>
          <w:rFonts w:ascii="Times New Roman" w:hAnsi="Times New Roman"/>
          <w:b w:val="0"/>
          <w:i w:val="0"/>
          <w:color w:val="000000"/>
          <w:sz w:val="26"/>
        </w:rPr>
        <w:t>Hệ thống giải pháp được quán triệt dựa trên năm nguyên tắc phương pháp luận: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*Nguyên tắc đồng hành và hỗ trợ chủ động ngay từ khâu ý tưởng:* Chuyển đổi căn bản phương thức quản lý từ "chờ tác giả nộp hồ sơ nghiệm thu" sang "đồng hành hỗ trợ tra cứu, đánh giá tính mới ngay từ khi viết thuyết minh đề tài" theo đúng tinh thần Kết luận số 51-KL/TW của Bộ Chính trị.</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*Nguyên tắc bám sát chuẩn mực pháp lý và tương thích thể chế:* Mỗi giải pháp đề xuất phải có căn cứ điều khoản rõ ràng từ khung luật mới 2025 - 2026, bảo đảm sự tương thích tuyệt đối giữa quy chế nội bộ với các luật chuyên ngành.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*Nguyên tắc khả thi, kế thừa và tối ưu hóa nguồn lực sẵn có:* Kế thừa tối đa bộ máy và các quy định tiến bộ tại Quyết định số 213/QĐ-ĐHTĐ và Quyết định số 217/QĐ-ĐHTĐ; tập trung sửa đổi các điểm nghẽn cốt lõi thay vì xáo trộn toàn bộ cơ cấu tổ chức.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*Nguyên tắc bảo mật và sàng lọc bắt buộc trước công bố:* Tuyệt đối không để xảy ra tình trạng bộc lộ công nghệ trước khi nộp đơn đăng ký; coi bước sàng lọc sở hữu trí tuệ là điều kiện tiên quyết trước khi ký duyệt đăng bài báo khoa học hoặc nghiệm thu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*Nguyên tắc hài hòa lợi ích kinh tế:* Thiết lập cơ chế phân chia lợi nhuận minh bạch, công bằng giữa Nhà trường, tập thể tác giả và doanh nghiệp liên kết, tạo đòn bẩy kinh tế đủ mạnh để thu hút và giữ chân các nhà khoa học xuất sắc.</w:t>
      </w:r>
    </w:p>
    <w:p>
      <w:pPr>
        <w:spacing w:before="240" w:after="120" w:line="312" w:lineRule="auto"/>
        <w:ind w:firstLine="0"/>
        <w:jc w:val="both"/>
      </w:pPr>
      <w:r>
        <w:rPr>
          <w:rFonts w:ascii="Times New Roman" w:hAnsi="Times New Roman"/>
          <w:b/>
          <w:i w:val="0"/>
          <w:color w:val="000000"/>
          <w:sz w:val="26"/>
        </w:rPr>
        <w:t>3.2. Hệ thống giải pháp cụ thể</w:t>
      </w:r>
    </w:p>
    <w:p>
      <w:pPr>
        <w:spacing w:before="40" w:after="80" w:line="312" w:lineRule="auto"/>
        <w:ind w:firstLine="720"/>
        <w:jc w:val="both"/>
      </w:pPr>
      <w:r>
        <w:rPr>
          <w:rFonts w:ascii="Times New Roman" w:hAnsi="Times New Roman"/>
          <w:b w:val="0"/>
          <w:i w:val="0"/>
          <w:color w:val="000000"/>
          <w:sz w:val="26"/>
        </w:rPr>
        <w:t>Hệ thống giải pháp được cấu trúc theo chu trình bốn khâu nghiệp vụ cốt lõi, mỗi giải pháp được thiết kế đồng bộ theo bốn trụ cột: Mục tiêu - Nội dung thực hiện - Chủ thể chủ trì và phối hợp - Điều kiện bảo đảm nguồn lực.</w:t>
      </w:r>
    </w:p>
    <w:p>
      <w:pPr>
        <w:spacing w:before="160" w:after="80" w:line="312" w:lineRule="auto"/>
        <w:ind w:firstLine="0"/>
        <w:jc w:val="both"/>
      </w:pPr>
      <w:r>
        <w:rPr>
          <w:rFonts w:ascii="Times New Roman" w:hAnsi="Times New Roman"/>
          <w:b/>
          <w:i/>
          <w:color w:val="000000"/>
          <w:sz w:val="26"/>
        </w:rPr>
        <w:t>3.2.1. Đẩy mạnh hoạt động sáng tạo, định hướng nghiên cứu ứng dụng và nhận diện tài sản trí tuệ sớm (Khâu Sáng tạo)</w:t>
      </w:r>
    </w:p>
    <w:p>
      <w:pPr>
        <w:spacing w:before="40" w:after="80" w:line="312" w:lineRule="auto"/>
        <w:ind w:firstLine="720"/>
        <w:jc w:val="both"/>
      </w:pPr>
      <w:r>
        <w:rPr>
          <w:rFonts w:ascii="Times New Roman" w:hAnsi="Times New Roman"/>
          <w:b w:val="0"/>
          <w:i w:val="0"/>
          <w:color w:val="000000"/>
          <w:sz w:val="26"/>
        </w:rPr>
        <w:t>**a) Mục tiêu giải pháp:**</w:t>
      </w:r>
    </w:p>
    <w:p>
      <w:pPr>
        <w:spacing w:before="40" w:after="80" w:line="312" w:lineRule="auto"/>
        <w:ind w:firstLine="720"/>
        <w:jc w:val="both"/>
      </w:pPr>
      <w:r>
        <w:rPr>
          <w:rFonts w:ascii="Times New Roman" w:hAnsi="Times New Roman"/>
          <w:b w:val="0"/>
          <w:i w:val="0"/>
          <w:color w:val="000000"/>
          <w:sz w:val="26"/>
        </w:rPr>
        <w:t>Nâng cao chất lượng đầu vào của chu trình quản trị, gia tăng tỷ trọng các đề tài nghiên cứu thực nghiệm có khả năng tạo ra sản phẩm vật chất, giải quyết dứt điểm nghịch lý khuyến khích và nâng cao nhận thức của đội ngũ giảng viên về sở hữu trí tuệ.</w:t>
      </w:r>
    </w:p>
    <w:p>
      <w:pPr>
        <w:spacing w:before="40" w:after="80" w:line="312" w:lineRule="auto"/>
        <w:ind w:firstLine="720"/>
        <w:jc w:val="both"/>
      </w:pPr>
      <w:r>
        <w:rPr>
          <w:rFonts w:ascii="Times New Roman" w:hAnsi="Times New Roman"/>
          <w:b w:val="0"/>
          <w:i w:val="0"/>
          <w:color w:val="000000"/>
          <w:sz w:val="26"/>
        </w:rPr>
        <w:t>**b) Nội dung thực hiện:**</w:t>
      </w:r>
    </w:p>
    <w:p>
      <w:pPr>
        <w:spacing w:before="40" w:after="80" w:line="312" w:lineRule="auto"/>
        <w:ind w:firstLine="720"/>
        <w:jc w:val="both"/>
      </w:pPr>
      <w:r>
        <w:rPr>
          <w:rFonts w:ascii="Times New Roman" w:hAnsi="Times New Roman"/>
          <w:b w:val="0"/>
          <w:i w:val="0"/>
          <w:color w:val="000000"/>
          <w:sz w:val="26"/>
        </w:rPr>
        <w:t>*Tích hợp tiêu chí xác định sản phẩm sở hữu trí tuệ trong quản lý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Sửa đổi biểu mẫu đề xuất và thuyết minh đề tài nghiên cứu khoa học các cấp: Bắt buộc chủ nhiệm đề tài phải điền "Mục tiêu tạo lập tài sản trí tuệ dự kiến" (sáng chế, giải pháp hữu ích, kiểu dáng công nghiệp, sưu tập dữ liệu hoặc quyền tác giả phần mềm, giáo trình).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Hội đồng tuyển chọn đề tài bổ sung tiêu chí đánh giá về tính ứng dụng thực tiễn và tiềm năng bảo hộ độc quyền; ưu tiên phê duyệt kinh phí đối với các đề tài cam kết đầu ra có đơn đăng ký giải pháp hữu ích hoặc sáng chế.</w:t>
      </w:r>
    </w:p>
    <w:p>
      <w:pPr>
        <w:spacing w:before="40" w:after="80" w:line="312" w:lineRule="auto"/>
        <w:ind w:firstLine="720"/>
        <w:jc w:val="both"/>
      </w:pPr>
      <w:r>
        <w:rPr>
          <w:rFonts w:ascii="Times New Roman" w:hAnsi="Times New Roman"/>
          <w:b w:val="0"/>
          <w:i w:val="0"/>
          <w:color w:val="000000"/>
          <w:sz w:val="26"/>
        </w:rPr>
        <w:t>*Đổi mới phương thức cấp kinh phí và tài trợ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Mở rộng hình thức cấp kinh phí tiền mặt cho các đề tài nghiên cứu khoa học cấp cơ sở thuộc khối ngành Y - Dược và Kỹ thuật công nghệ, bảo đảm mức kinh phí thực chi từ 30 đến 80 triệu đồng một đề tài để chi trả vật tư, hóa chất thí nghiệm và chế tạo mẫu thử nghiệm.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Lồng ghép nguồn vốn từ Quỹ Học bổng sau tiến sĩ Ngô Xuân Độ (ngân sách 5 tỷ đồng) và các đề tài cấp quốc gia NAFOSTED (4,67 tỷ đồng) để hình thành các nhóm nghiên cứu mạnh, tập trung giải quyết các bài toán công nghệ mũi nhọn trong lĩnh vực chiết xuất dược liệu và công nghệ tự động hóa.</w:t>
      </w:r>
    </w:p>
    <w:p>
      <w:pPr>
        <w:spacing w:before="40" w:after="80" w:line="312" w:lineRule="auto"/>
        <w:ind w:firstLine="720"/>
        <w:jc w:val="both"/>
      </w:pPr>
      <w:r>
        <w:rPr>
          <w:rFonts w:ascii="Times New Roman" w:hAnsi="Times New Roman"/>
          <w:b w:val="0"/>
          <w:i w:val="0"/>
          <w:color w:val="000000"/>
          <w:sz w:val="26"/>
        </w:rPr>
        <w:t>*Điều chỉnh chính sách thi đua, tính giờ và khen thưởng tiền mặt:*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Đưa mức thưởng tiền mặt trực tiếp cho tác giả có đơn đăng ký sáng chế được chấp nhận hợp lệ (10 triệu đồng/đơn) và khi được cấp bằng độc quyền sáng chế (30 triệu đồng/bằng đối với chuẩn Việt Nam, 50 triệu đồng/bằng đối với chuẩn quốc tế); thưởng 15 triệu đồng cho giải pháp hữu ích được cấp bằng.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Giữ nguyên mức quy đổi giờ nghiên cứu ưu đãi (360 giờ cho sáng chế Việt Nam, 240 giờ cho giải pháp hữu ích), nhưng cho phép tạm tính 50% số giờ quy đổi ngay khi đơn được chấp nhận hợp lệ, 50% còn lại quyết toán khi có văn bằng chính thức để giải quyết bài toán độ trễ thời gian cho giảng viên.</w:t>
      </w:r>
    </w:p>
    <w:p>
      <w:pPr>
        <w:spacing w:before="40" w:after="80" w:line="312" w:lineRule="auto"/>
        <w:ind w:firstLine="720"/>
        <w:jc w:val="both"/>
      </w:pPr>
      <w:r>
        <w:rPr>
          <w:rFonts w:ascii="Times New Roman" w:hAnsi="Times New Roman"/>
          <w:b w:val="0"/>
          <w:i w:val="0"/>
          <w:color w:val="000000"/>
          <w:sz w:val="26"/>
        </w:rPr>
        <w:t>*Nâng cao nhận thức và phát triển văn hóa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Định kỳ tổ chức các khóa tập huấn thường niên cho 100% giảng viên mới tuyển dụng và nhóm nghiên cứu nòng cốt về kỹ năng tra cứu thông tin sáng chế, phương pháp viết bản mô tả kỹ thuật và chiến lược bảo mật kết quả trước khi công bố bài báo.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Đưa học phần "Sở hữu trí tuệ và Đổi mới sáng tạo" vào chương trình đào tạo đại học chính quy cho sinh viên khối ngành Dược học, Công nghệ thông tin và Quản trị kinh doanh từ năm học 2027 - 2028.</w:t>
      </w:r>
    </w:p>
    <w:p>
      <w:pPr>
        <w:spacing w:before="40" w:after="80" w:line="312" w:lineRule="auto"/>
        <w:ind w:firstLine="720"/>
        <w:jc w:val="both"/>
      </w:pPr>
      <w:r>
        <w:rPr>
          <w:rFonts w:ascii="Times New Roman" w:hAnsi="Times New Roman"/>
          <w:b w:val="0"/>
          <w:i w:val="0"/>
          <w:color w:val="000000"/>
          <w:sz w:val="26"/>
        </w:rPr>
        <w:t>**c) Chủ thể thực hiện:**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chủ trì: Phòng Khoa học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phối hợp: Phòng Đào tạo, Phòng Tài chính - Kế toán, Viện Y - Dược, Viện Quản trị và Công nghệ.</w:t>
      </w:r>
    </w:p>
    <w:p>
      <w:pPr>
        <w:spacing w:before="40" w:after="80" w:line="312" w:lineRule="auto"/>
        <w:ind w:firstLine="720"/>
        <w:jc w:val="both"/>
      </w:pPr>
      <w:r>
        <w:rPr>
          <w:rFonts w:ascii="Times New Roman" w:hAnsi="Times New Roman"/>
          <w:b w:val="0"/>
          <w:i w:val="0"/>
          <w:color w:val="000000"/>
          <w:sz w:val="26"/>
        </w:rPr>
        <w:t>**d) Điều kiện bảo đảm nguồn lực:**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Nguồn kinh phí: Trích từ Quỹ phát triển khoa học và công nghệ của Nhà trường và ngân sách chi thường xuyên cho nghiên cứu khoa học.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Học liệu: Biên soạn cuốn "Sổ tay nhận diện và đăng ký tài sản trí tuệ trong trường đại học" phát hành nội bộ.</w:t>
      </w:r>
    </w:p>
    <w:p>
      <w:pPr>
        <w:spacing w:before="160" w:after="80" w:line="312" w:lineRule="auto"/>
        <w:ind w:firstLine="0"/>
        <w:jc w:val="both"/>
      </w:pPr>
      <w:r>
        <w:rPr>
          <w:rFonts w:ascii="Times New Roman" w:hAnsi="Times New Roman"/>
          <w:b/>
          <w:i/>
          <w:color w:val="000000"/>
          <w:sz w:val="26"/>
        </w:rPr>
        <w:t>3.2.2. Chuẩn hóa quy trình sàng lọc khả năng bảo hộ và hỗ trợ xác lập quyền sở hữu trí tuệ sớm (Khâu Xác lập)</w:t>
      </w:r>
    </w:p>
    <w:p>
      <w:pPr>
        <w:spacing w:before="40" w:after="80" w:line="312" w:lineRule="auto"/>
        <w:ind w:firstLine="720"/>
        <w:jc w:val="both"/>
      </w:pPr>
      <w:r>
        <w:rPr>
          <w:rFonts w:ascii="Times New Roman" w:hAnsi="Times New Roman"/>
          <w:b w:val="0"/>
          <w:i w:val="0"/>
          <w:color w:val="000000"/>
          <w:sz w:val="26"/>
        </w:rPr>
        <w:t>**a) Mục tiêu giải pháp:**</w:t>
      </w:r>
    </w:p>
    <w:p>
      <w:pPr>
        <w:spacing w:before="40" w:after="80" w:line="312" w:lineRule="auto"/>
        <w:ind w:firstLine="720"/>
        <w:jc w:val="both"/>
      </w:pPr>
      <w:r>
        <w:rPr>
          <w:rFonts w:ascii="Times New Roman" w:hAnsi="Times New Roman"/>
          <w:b w:val="0"/>
          <w:i w:val="0"/>
          <w:color w:val="000000"/>
          <w:sz w:val="26"/>
        </w:rPr>
        <w:t>Xử lý dứt điểm điểm nghẽn hao hụt chuyển hóa 88,9% từ đề tài tiềm năng sang đơn đăng ký; bảo vệ nguyên vẹn tính mới tuyệt đối theo Điều 60 Luật Sở hữu trí tuệ; nâng tỷ lệ nộp đơn đăng ký bảo hộ độc quyền từ kết quả nghiên cứu khoa học lên ít nhất 3 đến 5 đơn mỗi năm.</w:t>
      </w:r>
    </w:p>
    <w:p>
      <w:pPr>
        <w:spacing w:before="40" w:after="80" w:line="312" w:lineRule="auto"/>
        <w:ind w:firstLine="720"/>
        <w:jc w:val="both"/>
      </w:pPr>
      <w:r>
        <w:rPr>
          <w:rFonts w:ascii="Times New Roman" w:hAnsi="Times New Roman"/>
          <w:b w:val="0"/>
          <w:i w:val="0"/>
          <w:color w:val="000000"/>
          <w:sz w:val="26"/>
        </w:rPr>
        <w:t>**b) Nội dung thực hiện:**</w:t>
      </w:r>
    </w:p>
    <w:p>
      <w:pPr>
        <w:spacing w:before="40" w:after="80" w:line="312" w:lineRule="auto"/>
        <w:ind w:firstLine="720"/>
        <w:jc w:val="both"/>
      </w:pPr>
      <w:r>
        <w:rPr>
          <w:rFonts w:ascii="Times New Roman" w:hAnsi="Times New Roman"/>
          <w:b w:val="0"/>
          <w:i w:val="0"/>
          <w:color w:val="000000"/>
          <w:sz w:val="26"/>
        </w:rPr>
        <w:t>*Chuẩn hóa quy trình sàng lọc trước khi công bố và cho phép nộp đơn sớm:*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Ban hành "Quy trình sàng lọc sở hữu trí tuệ 3 bước bắt buộc" áp dụng cho toàn bộ hoạt động công bố và nghiệm thu: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*Bước 1 - Khai báo kết quả nghiên cứu mới:* Ngay khi có kết quả thực nghiệm đạt yêu cầu (không chờ đến khi kết thúc đề tài), chủ nhiệm đề tài gửi "Phiếu khai báo kết quả có khả năng bảo hộ" về Phòng Khoa học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*Bước 2 - Sàng lọc tính mới và đánh giá tình trạng bộc lộ:* Trong thời hạn tối đa 15 ngày làm việc, Phòng Khoa học Công nghệ phối hợp với chuyên gia tra cứu cơ sở dữ liệu sáng chế để đánh giá tính mới, tính khả thi của giải pháp. Trường hợp đáp ứng tiêu chuẩn, Nhà trường ra quyết định nộp đơn đăng ký bảo hộ độc quyền và yêu cầu tác giả tạm hoãn công bố bài báo khoa học trong thời gian soạn đơn.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*Bước 3 - Nộp đơn sớm và giải tỏa công bố:* Nhà trường ủy thác cho tổ chức đại diện sở hữu công nghiệp tiến hành hoàn thiện hồ sơ và nộp đơn chính thức tại Cục Sở hữu trí tuệ. Ngay khi có dấu biên nhận đơn hợp lệ (trong vòng 30 ngày), giảng viên được toàn quyền gửi bài báo công bố khoa học mà không sợ mất tính mới tuyệt đối.</w:t>
      </w:r>
    </w:p>
    <w:p>
      <w:pPr>
        <w:spacing w:before="40" w:after="80" w:line="312" w:lineRule="auto"/>
        <w:ind w:firstLine="720"/>
        <w:jc w:val="both"/>
      </w:pPr>
      <w:r>
        <w:rPr>
          <w:rFonts w:ascii="Times New Roman" w:hAnsi="Times New Roman"/>
          <w:b w:val="0"/>
          <w:i w:val="0"/>
          <w:color w:val="000000"/>
          <w:sz w:val="26"/>
        </w:rPr>
        <w:t>*Tập trung nguồn lực nộp đơn giải pháp hữu ích cho sản phẩm Viện Y - Dược:*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Ưu tiên nộp đơn giải pháp hữu ích cho 8 sản phẩm công thức và quy trình bào chế đã nhận diện tại Bảng 2.7 (gồm quy trình chiết Rutin, công thức viên ngậm giảm ho, cồn thuốc xoa bóp, xà phòng hữu cơ tảo biển...). Đối với các đề tài này, tiến hành rà soát gấp tình trạng bộc lộ; nếu đã công bố nhưng vẫn nằm trong thời hạn ân hạn 12 tháng theo quy định thì tiến hành nộp đơn ngay.</w:t>
      </w:r>
    </w:p>
    <w:p>
      <w:pPr>
        <w:spacing w:before="40" w:after="80" w:line="312" w:lineRule="auto"/>
        <w:ind w:firstLine="720"/>
        <w:jc w:val="both"/>
      </w:pPr>
      <w:r>
        <w:rPr>
          <w:rFonts w:ascii="Times New Roman" w:hAnsi="Times New Roman"/>
          <w:b w:val="0"/>
          <w:i w:val="0"/>
          <w:color w:val="000000"/>
          <w:sz w:val="26"/>
        </w:rPr>
        <w:t>*Thành lập Bộ phận chuyên trách tư vấn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Kiện toàn tổ chức: Bố trí 01 nhân sự chuyên trách sở hữu trí tuệ thuộc Phòng Khoa học Công nghệ, cử đi đào tạo để cấp chứng chỉ hành nghề đại diện sở hữu công nghiệp.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Thiết lập cơ chế phối hợp liên thông: Ban hành "Quy chế phối hợp giải quyết thủ tục tài sản trí tuệ" giữa Phòng Khoa học Công nghệ (thẩm định kỹ thuật) - Bộ phận Pháp chế (rà soát hợp đồng, thủ tục ủy quyền) - Phòng Tài chính - Kế toán (cấp kinh phí lệ phí).</w:t>
      </w:r>
    </w:p>
    <w:p>
      <w:pPr>
        <w:spacing w:before="40" w:after="80" w:line="312" w:lineRule="auto"/>
        <w:ind w:firstLine="720"/>
        <w:jc w:val="both"/>
      </w:pPr>
      <w:r>
        <w:rPr>
          <w:rFonts w:ascii="Times New Roman" w:hAnsi="Times New Roman"/>
          <w:b w:val="0"/>
          <w:i w:val="0"/>
          <w:color w:val="000000"/>
          <w:sz w:val="26"/>
        </w:rPr>
        <w:t>*Thiết lập dòng ngân sách dự toán trọn gói cho xác lập quyền:*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Ban hành quy chế tạm ứng kinh phí làm đơn: Cho phép Phòng Khoa học Công nghệ được chủ động phê duyệt tạm ứng kinh phí tra cứu và phí đại diện sở hữu công nghiệp (từ 10 đến 25 triệu đồng cho một đơn sáng chế hoặc giải pháp hữu ích) mà không phụ thuộc vào tiến độ giải ngân của đề tài nghiên cứu.</w:t>
      </w:r>
    </w:p>
    <w:p>
      <w:pPr>
        <w:spacing w:before="40" w:after="80" w:line="312" w:lineRule="auto"/>
        <w:ind w:firstLine="720"/>
        <w:jc w:val="both"/>
      </w:pPr>
      <w:r>
        <w:rPr>
          <w:rFonts w:ascii="Times New Roman" w:hAnsi="Times New Roman"/>
          <w:b w:val="0"/>
          <w:i w:val="0"/>
          <w:color w:val="000000"/>
          <w:sz w:val="26"/>
        </w:rPr>
        <w:t>**c) Chủ thể thực hiện:**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chủ trì: Phòng Khoa học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phối hợp: Bộ phận Pháp chế, Hội đồng khoa học các Viện đào tạo, Tổ chức đại diện sở hữu công nghiệp được ủy thác.</w:t>
      </w:r>
    </w:p>
    <w:p>
      <w:pPr>
        <w:spacing w:before="40" w:after="80" w:line="312" w:lineRule="auto"/>
        <w:ind w:firstLine="720"/>
        <w:jc w:val="both"/>
      </w:pPr>
      <w:r>
        <w:rPr>
          <w:rFonts w:ascii="Times New Roman" w:hAnsi="Times New Roman"/>
          <w:b w:val="0"/>
          <w:i w:val="0"/>
          <w:color w:val="000000"/>
          <w:sz w:val="26"/>
        </w:rPr>
        <w:t>**d) Điều kiện bảo đảm nguồn lực:**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Ban hành bộ biểu mẫu: Phiếu khai báo kết quả nghiên cứu mới, Phiếu rà soát sàng lọc sở hữu trí tuệ, Thỏa thuận cam kết bảo mật thông tin.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Dòng kinh phí dự toán: Phê duyệt hạn mức ngân sách chuyên biệt tối thiểu 150 triệu đồng/năm dành riêng cho hoạt động tra cứu, soạn đơn và nộp phí xác lập quyền.</w:t>
      </w:r>
    </w:p>
    <w:p>
      <w:pPr>
        <w:spacing w:before="160" w:after="80" w:line="312" w:lineRule="auto"/>
        <w:ind w:firstLine="0"/>
        <w:jc w:val="both"/>
      </w:pPr>
      <w:r>
        <w:rPr>
          <w:rFonts w:ascii="Times New Roman" w:hAnsi="Times New Roman"/>
          <w:b/>
          <w:i/>
          <w:color w:val="000000"/>
          <w:sz w:val="26"/>
        </w:rPr>
        <w:t>3.2.3. Hoàn thiện cơ chế phân chia lợi ích và thúc đẩy khai thác thương mại tài sản trí tuệ (Khâu Khai thác)</w:t>
      </w:r>
    </w:p>
    <w:p>
      <w:pPr>
        <w:spacing w:before="40" w:after="80" w:line="312" w:lineRule="auto"/>
        <w:ind w:firstLine="720"/>
        <w:jc w:val="both"/>
      </w:pPr>
      <w:r>
        <w:rPr>
          <w:rFonts w:ascii="Times New Roman" w:hAnsi="Times New Roman"/>
          <w:b w:val="0"/>
          <w:i w:val="0"/>
          <w:color w:val="000000"/>
          <w:sz w:val="26"/>
        </w:rPr>
        <w:t>**a) Mục tiêu giải pháp:**</w:t>
      </w:r>
    </w:p>
    <w:p>
      <w:pPr>
        <w:spacing w:before="40" w:after="80" w:line="312" w:lineRule="auto"/>
        <w:ind w:firstLine="720"/>
        <w:jc w:val="both"/>
      </w:pPr>
      <w:r>
        <w:rPr>
          <w:rFonts w:ascii="Times New Roman" w:hAnsi="Times New Roman"/>
          <w:b w:val="0"/>
          <w:i w:val="0"/>
          <w:color w:val="000000"/>
          <w:sz w:val="26"/>
        </w:rPr>
        <w:t>Khơi thông dòng vốn hoàn lưu kinh tế cho nghiên cứu khoa học, xóa bỏ các rào cản thể chế nội bộ triệt tiêu động lực của nhà khoa học, đẩy mạnh thương mại hóa có thu phí và đa dạng hóa các kênh chuyển giao công nghệ.</w:t>
      </w:r>
    </w:p>
    <w:p>
      <w:pPr>
        <w:spacing w:before="40" w:after="80" w:line="312" w:lineRule="auto"/>
        <w:ind w:firstLine="720"/>
        <w:jc w:val="both"/>
      </w:pPr>
      <w:r>
        <w:rPr>
          <w:rFonts w:ascii="Times New Roman" w:hAnsi="Times New Roman"/>
          <w:b w:val="0"/>
          <w:i w:val="0"/>
          <w:color w:val="000000"/>
          <w:sz w:val="26"/>
        </w:rPr>
        <w:t>**b) Nội dung thực hiện:**</w:t>
      </w:r>
    </w:p>
    <w:p>
      <w:pPr>
        <w:spacing w:before="40" w:after="80" w:line="312" w:lineRule="auto"/>
        <w:ind w:firstLine="720"/>
        <w:jc w:val="both"/>
      </w:pPr>
      <w:r>
        <w:rPr>
          <w:rFonts w:ascii="Times New Roman" w:hAnsi="Times New Roman"/>
          <w:b w:val="0"/>
          <w:i w:val="0"/>
          <w:color w:val="000000"/>
          <w:sz w:val="26"/>
        </w:rPr>
        <w:t>*Hoàn thiện thể chế phân chia lợi ích theo ba lớp pháp lý:*</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Tiến hành rà soát, sửa đổi Điều 36 Quyết định số 213/QĐ-ĐHTĐ và Điều 13 Quyết định số 217/QĐ-ĐHTĐ theo cấu trúc ba lớp chuẩn mực: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*Lớp 1 - Nghĩa vụ bắt buộc đối với kết quả dùng ngân sách nhà nước:* Xóa bỏ hoàn toàn mức trần khống chế 100 triệu đồng tại điểm a Điều 36; xóa bỏ quy định nộp 40% về ngân sách nhà nước. Thực hiện đúng khoản 3 Điều 28 Luật Khoa học, Công nghệ và Đổi mới sáng tạo năm 2025: Toàn bộ lợi nhuận sau thuế từ thương mại hóa kết quả dùng ngân sách được giữ lại tại Trường để trích thưởng tối thiểu 30% cho tác giả sáng tạo, trích thưởng tối đa 10% cho cá nhân/đơn vị tổ chức xúc tiến thương mại hóa, phần còn lại chuyển vào Quỹ phát triển khoa học công nghệ để tái đầu tư nghiên cứu.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*Lớp 2 - Nghĩa vụ thù lao tối thiểu đối với sáng chế, kiểu dáng công nghiệp:* Quy định rõ thù lao trả cho tác giả thực hiện theo thỏa thuận; trường hợp không có thỏa thuận thì áp dụng theo mức sàn của Điều 135 Luật Sở hữu trí tuệ (10% lợi nhuận trước thuế nếu tự khai thác, hoặc 15% tổng doanh thu trước thuế nếu cấp phép chuyển giao quyền sử dụng), chi trả liên tục trong suốt thời hạn hiệu lực của văn bằng bảo hộ.</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*Lớp 3 - Phân chia nguồn thu từ tài sản tự đầu tư của Nhà trường:* Áp dụng tỷ lệ điều tiết linh hoạt: 50% kinh phí ròng dành cho Quỹ phát triển khoa học công nghệ của Trường; 30% dành cho nhóm tác giả sáng chế; 20% dành cho Viện/Khoa chủ trì để hỗ trợ vận hành phòng thí nghiệm.</w:t>
      </w:r>
    </w:p>
    <w:p>
      <w:pPr>
        <w:spacing w:before="40" w:after="80" w:line="312" w:lineRule="auto"/>
        <w:ind w:firstLine="720"/>
        <w:jc w:val="both"/>
      </w:pPr>
      <w:r>
        <w:rPr>
          <w:rFonts w:ascii="Times New Roman" w:hAnsi="Times New Roman"/>
          <w:b w:val="0"/>
          <w:i w:val="0"/>
          <w:color w:val="000000"/>
          <w:sz w:val="26"/>
        </w:rPr>
        <w:t>*Xây dựng Danh mục công nghệ và tài sản trí tuệ sẵn sàng chuyển giao:*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Phòng Khoa học Công nghệ phối hợp với Trung tâm Đào tạo và Chuyển giao công nghệ xây dựng "Danh mục công nghệ chào bán", đóng gói các quy trình kỹ thuật, công thức sản phẩm Dược liệu, mô hình học liệu số để quảng bá tại các chợ công nghệ, triển lãm đổi mới sáng tạo và mạng lưới đối tác doanh nghiệp.</w:t>
      </w:r>
    </w:p>
    <w:p>
      <w:pPr>
        <w:spacing w:before="40" w:after="80" w:line="312" w:lineRule="auto"/>
        <w:ind w:firstLine="720"/>
        <w:jc w:val="both"/>
      </w:pPr>
      <w:r>
        <w:rPr>
          <w:rFonts w:ascii="Times New Roman" w:hAnsi="Times New Roman"/>
          <w:b w:val="0"/>
          <w:i w:val="0"/>
          <w:color w:val="000000"/>
          <w:sz w:val="26"/>
        </w:rPr>
        <w:t>*Đa dạng hóa các phương thức thương mại hóa:*</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Thúc đẩy hình thức cấp phép quyền sử dụng có thu phí đối với các văn bằng nhãn hiệu, kiểu dáng công nghiệp và công thức sản phẩm cho các doanh nghiệp sản xuất ngoài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Thí điểm mô hình thành lập doanh nghiệp khởi nguồn công nghệ từ trường đại học theo quy định tại Luật Giáo dục đại học năm 2025: Nhà trường phối hợp cùng nhóm giảng viên Viện Y - Dược góp vốn bằng quyền sở hữu trí tuệ đối với các bằng độc quyền sáng chế để thành lập doanh nghiệp sản xuất dược liệu ứng dụng công nghệ cao.</w:t>
      </w:r>
    </w:p>
    <w:p>
      <w:pPr>
        <w:spacing w:before="40" w:after="80" w:line="312" w:lineRule="auto"/>
        <w:ind w:firstLine="720"/>
        <w:jc w:val="both"/>
      </w:pPr>
      <w:r>
        <w:rPr>
          <w:rFonts w:ascii="Times New Roman" w:hAnsi="Times New Roman"/>
          <w:b w:val="0"/>
          <w:i w:val="0"/>
          <w:color w:val="000000"/>
          <w:sz w:val="26"/>
        </w:rPr>
        <w:t>**c) Chủ thể thực hiện:**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chủ trì: Trung tâm Đào tạo và Chuyển giao công nghệ phối hợp Phòng Khoa học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phối hợp: Phòng Tài chính - Kế toán, Bộ phận Pháp chế, Công ty Cổ phần Thadotek.</w:t>
      </w:r>
    </w:p>
    <w:p>
      <w:pPr>
        <w:spacing w:before="40" w:after="80" w:line="312" w:lineRule="auto"/>
        <w:ind w:firstLine="720"/>
        <w:jc w:val="both"/>
      </w:pPr>
      <w:r>
        <w:rPr>
          <w:rFonts w:ascii="Times New Roman" w:hAnsi="Times New Roman"/>
          <w:b w:val="0"/>
          <w:i w:val="0"/>
          <w:color w:val="000000"/>
          <w:sz w:val="26"/>
        </w:rPr>
        <w:t>**d) Điều kiện bảo đảm nguồn lực:**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Ban hành Quy chế định giá tài sản trí tuệ và biểu mẫu hợp đồng chuyển giao công nghệ chuẩn hóa.</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Quỹ đầu tư mạo hiểm nội bộ hoặc vốn liên kết doanh nghiệp để hỗ trợ sản xuất thử nghiệm trước khi thương mại hóa quy mô lớn.</w:t>
      </w:r>
    </w:p>
    <w:p>
      <w:pPr>
        <w:spacing w:before="160" w:after="80" w:line="312" w:lineRule="auto"/>
        <w:ind w:firstLine="0"/>
        <w:jc w:val="both"/>
      </w:pPr>
      <w:r>
        <w:rPr>
          <w:rFonts w:ascii="Times New Roman" w:hAnsi="Times New Roman"/>
          <w:b/>
          <w:i/>
          <w:color w:val="000000"/>
          <w:sz w:val="26"/>
        </w:rPr>
        <w:t>3.2.4. Tăng cường năng lực bảo vệ quyền sở hữu trí tuệ, liêm chính học thuật và quản trị dữ liệu số (Khâu Bảo vệ)</w:t>
      </w:r>
    </w:p>
    <w:p>
      <w:pPr>
        <w:spacing w:before="40" w:after="80" w:line="312" w:lineRule="auto"/>
        <w:ind w:firstLine="720"/>
        <w:jc w:val="both"/>
      </w:pPr>
      <w:r>
        <w:rPr>
          <w:rFonts w:ascii="Times New Roman" w:hAnsi="Times New Roman"/>
          <w:b w:val="0"/>
          <w:i w:val="0"/>
          <w:color w:val="000000"/>
          <w:sz w:val="26"/>
        </w:rPr>
        <w:t>**a) Mục tiêu giải pháp:**</w:t>
      </w:r>
    </w:p>
    <w:p>
      <w:pPr>
        <w:spacing w:before="40" w:after="80" w:line="312" w:lineRule="auto"/>
        <w:ind w:firstLine="720"/>
        <w:jc w:val="both"/>
      </w:pPr>
      <w:r>
        <w:rPr>
          <w:rFonts w:ascii="Times New Roman" w:hAnsi="Times New Roman"/>
          <w:b w:val="0"/>
          <w:i w:val="0"/>
          <w:color w:val="000000"/>
          <w:sz w:val="26"/>
        </w:rPr>
        <w:t>Bảo đảm tuyệt đối an toàn pháp lý cho hệ sinh thái tài sản trí tuệ của Nhà trường, ngăn chặn các hành vi xâm phạm quyền và đạo văn, số hóa tập trung toàn bộ dữ liệu quản trị để đáp ứng Chuẩn kiểm định cơ sở giáo dục đại học.</w:t>
      </w:r>
    </w:p>
    <w:p>
      <w:pPr>
        <w:spacing w:before="40" w:after="80" w:line="312" w:lineRule="auto"/>
        <w:ind w:firstLine="720"/>
        <w:jc w:val="both"/>
      </w:pPr>
      <w:r>
        <w:rPr>
          <w:rFonts w:ascii="Times New Roman" w:hAnsi="Times New Roman"/>
          <w:b w:val="0"/>
          <w:i w:val="0"/>
          <w:color w:val="000000"/>
          <w:sz w:val="26"/>
        </w:rPr>
        <w:t>**b) Nội dung thực hiện:**</w:t>
      </w:r>
    </w:p>
    <w:p>
      <w:pPr>
        <w:spacing w:before="40" w:after="80" w:line="312" w:lineRule="auto"/>
        <w:ind w:firstLine="720"/>
        <w:jc w:val="both"/>
      </w:pPr>
      <w:r>
        <w:rPr>
          <w:rFonts w:ascii="Times New Roman" w:hAnsi="Times New Roman"/>
          <w:b w:val="0"/>
          <w:i w:val="0"/>
          <w:color w:val="000000"/>
          <w:sz w:val="26"/>
        </w:rPr>
        <w:t>*Bảo vệ quyền tác giả học liệu số và giải pháp phần mềm:*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Hoàn thiện quy chế quản lý quyền tác giả đối với toàn bộ bài giảng điện tử, ngân hàng câu hỏi đề thi và tài liệu học liệu số trên hệ thống đào tạo trực tuyến.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Triển khai áp dụng chữ ký số và giải pháp kỹ thuật quản lý quyền số để kiểm soát chặt chẽ việc tải về, sao chép và phát tán trái phép học liệu ra ngoài hệ thống của Nhà trường. Tiến hành nộp đơn đăng ký bản quyền tác giả đối với các giáo trình và phần mềm cốt lõi.</w:t>
      </w:r>
    </w:p>
    <w:p>
      <w:pPr>
        <w:spacing w:before="40" w:after="80" w:line="312" w:lineRule="auto"/>
        <w:ind w:firstLine="720"/>
        <w:jc w:val="both"/>
      </w:pPr>
      <w:r>
        <w:rPr>
          <w:rFonts w:ascii="Times New Roman" w:hAnsi="Times New Roman"/>
          <w:b w:val="0"/>
          <w:i w:val="0"/>
          <w:color w:val="000000"/>
          <w:sz w:val="26"/>
        </w:rPr>
        <w:t>*Nâng cấp kiểm soát đạo văn và liêm chính học thuật:*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Ban hành "Quy chế bảo đảm liêm chính khoa học và học thuật của Trường Đại học Thành Đô" theo quy định của Thông tư số 83/2026/TT-BGDĐT.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Bổ sung quy định kiểm soát công bố kép, tự đạo văn và kiểm tra mức độ trùng lặp nội dung sáng tạo đối với tất cả các đề tài nghiên cứu trước khi nghiệm thu. Thành lập Hội đồng liêm chính học thuật cấp trường để xem xét, xử lý các nghi vấn về tính trung thực trong nghiên cứu khoa học.</w:t>
      </w:r>
    </w:p>
    <w:p>
      <w:pPr>
        <w:spacing w:before="40" w:after="80" w:line="312" w:lineRule="auto"/>
        <w:ind w:firstLine="720"/>
        <w:jc w:val="both"/>
      </w:pPr>
      <w:r>
        <w:rPr>
          <w:rFonts w:ascii="Times New Roman" w:hAnsi="Times New Roman"/>
          <w:b w:val="0"/>
          <w:i w:val="0"/>
          <w:color w:val="000000"/>
          <w:sz w:val="26"/>
        </w:rPr>
        <w:t>*Xây dựng Phần mềm Cơ sở dữ liệu số quản trị tài sản trí tuệ tích hợp:*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Xây dựng phần mềm quản trị tài sản trí tuệ tập trung dùng chung, kết nối liên thông bốn cơ sở dữ liệu: Danh mục đề tài nghiên cứu - Danh mục bài báo công bố - Hồ sơ đơn và văn bằng sở hữu trí tuệ - Hồ sơ hợp đồng chuyển giao thương mại.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Thiết lập tính năng phân quyền: Cho phép quản lý bảo mật nội bộ đối với các bí mật kinh doanh, đồng thời tự động kết xuất dữ liệu thống kê phục vụ báo cáo định kỳ lên hệ thống dữ liệu quốc gia HEMIS và Nền tảng số sở hữu trí tuệ theo Chỉ thị số 02/CT-TTg của Thủ tướng Chính phủ.</w:t>
      </w:r>
    </w:p>
    <w:p>
      <w:pPr>
        <w:spacing w:before="40" w:after="80" w:line="312" w:lineRule="auto"/>
        <w:ind w:firstLine="720"/>
        <w:jc w:val="both"/>
      </w:pPr>
      <w:r>
        <w:rPr>
          <w:rFonts w:ascii="Times New Roman" w:hAnsi="Times New Roman"/>
          <w:b w:val="0"/>
          <w:i w:val="0"/>
          <w:color w:val="000000"/>
          <w:sz w:val="26"/>
        </w:rPr>
        <w:t>*Quản trị rủi ro kỳ hạn văn bằng và xử lý vi phạm:*</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Thiết lập sổ theo dõi kỳ hạn văn bằng tự động: Nhắc việc định kỳ trước 06 tháng đối với các văn bằng đến hạn nộp phí duy trì hiệu lực hoặc gia hạn, đặc biệt quản lý sát sao thời hạn gia hạn 5 năm lần thứ nhất (rơi vào giai đoạn 2028 - 2029) của 5 kiểu dáng công nghiệp bao bì dược liệu đồng sở hữu với doanh nghiệp.</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Ban hành quy trình nội bộ về tiếp nhận thông tin, giám sát thị trường và phối hợp với cơ quan thực thi pháp luật để xử lý kịp thời các hành vi xâm phạm nhãn hiệu và bản quyền của Nhà trường.</w:t>
      </w:r>
    </w:p>
    <w:p>
      <w:pPr>
        <w:spacing w:before="40" w:after="80" w:line="312" w:lineRule="auto"/>
        <w:ind w:firstLine="720"/>
        <w:jc w:val="both"/>
      </w:pPr>
      <w:r>
        <w:rPr>
          <w:rFonts w:ascii="Times New Roman" w:hAnsi="Times New Roman"/>
          <w:b w:val="0"/>
          <w:i w:val="0"/>
          <w:color w:val="000000"/>
          <w:sz w:val="26"/>
        </w:rPr>
        <w:t>**c) Chủ thể thực hiện:**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chủ trì: Bộ phận Pháp chế phối hợp Phòng Khoa học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Đơn vị phối hợp: Trung tâm Công nghệ thông tin, Hội đồng liêm chính học thuật, Trung tâm Quản trị thương hiệu.</w:t>
      </w:r>
    </w:p>
    <w:p>
      <w:pPr>
        <w:spacing w:before="40" w:after="80" w:line="312" w:lineRule="auto"/>
        <w:ind w:firstLine="720"/>
        <w:jc w:val="both"/>
      </w:pPr>
      <w:r>
        <w:rPr>
          <w:rFonts w:ascii="Times New Roman" w:hAnsi="Times New Roman"/>
          <w:b w:val="0"/>
          <w:i w:val="0"/>
          <w:color w:val="000000"/>
          <w:sz w:val="26"/>
        </w:rPr>
        <w:t>**d) Điều kiện bảo đảm nguồn lực:**</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Đầu tư phần mềm cơ sở dữ liệu số và bản quyền phần mềm kiểm tra liêm chính học thuật.</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Bố trí kinh phí duy trì hiệu lực văn bằng thường niên từ ngân sách sự nghiệp khoa học công nghệ của Trường.</w:t>
      </w:r>
    </w:p>
    <w:p>
      <w:pPr>
        <w:spacing w:before="240" w:after="120" w:line="312" w:lineRule="auto"/>
        <w:ind w:firstLine="0"/>
        <w:jc w:val="both"/>
      </w:pPr>
      <w:r>
        <w:rPr>
          <w:rFonts w:ascii="Times New Roman" w:hAnsi="Times New Roman"/>
          <w:b/>
          <w:i w:val="0"/>
          <w:color w:val="000000"/>
          <w:sz w:val="26"/>
        </w:rPr>
        <w:t>3.3. Kế hoạch áp dụng và tổ chức thực hiện tại Trường Đại học Thành Đô</w:t>
      </w:r>
    </w:p>
    <w:p>
      <w:pPr>
        <w:spacing w:before="160" w:after="80" w:line="312" w:lineRule="auto"/>
        <w:ind w:firstLine="0"/>
        <w:jc w:val="both"/>
      </w:pPr>
      <w:r>
        <w:rPr>
          <w:rFonts w:ascii="Times New Roman" w:hAnsi="Times New Roman"/>
          <w:b/>
          <w:i/>
          <w:color w:val="000000"/>
          <w:sz w:val="26"/>
        </w:rPr>
        <w:t>3.3.1. Phân công trách nhiệm tổ chức thực hiện các giải pháp</w:t>
      </w:r>
    </w:p>
    <w:p>
      <w:pPr>
        <w:spacing w:before="40" w:after="80" w:line="312" w:lineRule="auto"/>
        <w:ind w:firstLine="720"/>
        <w:jc w:val="both"/>
      </w:pPr>
      <w:r>
        <w:rPr>
          <w:rFonts w:ascii="Times New Roman" w:hAnsi="Times New Roman"/>
          <w:b w:val="0"/>
          <w:i w:val="0"/>
          <w:color w:val="000000"/>
          <w:sz w:val="26"/>
        </w:rPr>
        <w:t>Để các giải pháp không dừng lại ở mức độ lý thuyết mà được hiện thực hóa vào hoạt động quản trị của Nhà trường, Bảng 3.3 tổng hợp chi tiết việc phân công trách nhiệm, gắn với từng hạn chế đã được nhận diện tại Chương 2:</w:t>
      </w:r>
    </w:p>
    <w:p>
      <w:pPr>
        <w:spacing w:before="160" w:after="80" w:line="312" w:lineRule="auto"/>
        <w:ind w:firstLine="0"/>
        <w:jc w:val="center"/>
      </w:pPr>
      <w:r>
        <w:rPr>
          <w:rFonts w:ascii="Times New Roman" w:hAnsi="Times New Roman"/>
          <w:b/>
          <w:i w:val="0"/>
          <w:color w:val="000000"/>
          <w:sz w:val="24"/>
        </w:rPr>
        <w:t>Bảng 3.3. Tổ chức thực hiện các giải pháp theo hạn chế được xử lý</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Tên giải pháp</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Hạn chế được xử lý và bằng chứng Chương 2</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Chủ trì; phối hợp</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Nguồn lực bảo đảm</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Thời gian triển khai</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Sản phẩm đầu ra cụ thể</w:t>
            </w:r>
          </w:p>
        </w:tc>
        <w:tc>
          <w:tcPr>
            <w:tcW w:type="dxa" w:w="1344"/>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Phương pháp đánh giá, nghiệm thu</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**Giải pháp 3.2.1: Đẩy mạnh sáng tạo và nhận diện tài sản trí tuệ sớm**</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Xử lý Hạn chế 1 (chuyển hóa thấp) và Hạn chế 7 (thiếu sàng lọc). Bằng chứng: Bảng 2.7 cho thấy 11 đề tài có sản phẩm tiềm năng nhưng 93,4% kinh phí cấp chưa tạo ra đơn bảo hộ tương xứng.</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Phòng Khoa học Công nghệ chủ trì; phối hợp các Viện, Phòng Tài chính - Kế toán</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Quỹ phát triển khoa học công nghệ; Quỹ Ngô Xuân Độ</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Từ Quý I/2027, duy trì hàng năm</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Biểu mẫu thuyết minh có mục TSTT; Quyết định cấp kinh phí tiền mặt; Quy chế thưởng tiền mặt cho văn bằng</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Tỷ lệ đề tài có sản phẩm tiềm năng tăng lên tối thiểu 30%; 100% giảng viên mới được tập huấn</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**Giải pháp 3.2.2: Chuẩn hóa quy trình sàng lọc và nộp đơn sớm**</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Xử lý Hạn chế 1 (hao hụt 88,9%) và Hạn chế 4 (tài sản đơn sở hữu ít). Bằng chứng: Hình 2.9 cho thấy 9 đề tài tiềm năng sở hữu công nghiệp chỉ có 1 đề tài nộp đơn sáng chế.</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Phòng Khoa học Công nghệ chủ trì; phối hợp Pháp chế, Viện Y - Dược, đại diện SHTT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Dòng dự toán ngân sách riêng 150 triệu/năm; nhân sự chuyên trách SHTT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Thí điểm Quý I - II/2027; toàn trường từ Quý III/2027</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 trình sàng lọc 3 bước; Phiếu khai báo kết quả mới; Hồ sơ nộp đơn giải pháp hữu ích cho 8 sản phẩm</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Nộp thành công từ 03 đến 05 đơn sở hữu công nghiệp mỗi năm; thời gian xử lý không quá 15 ngày</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**Giải pháp 3.2.3: Hoàn thiện chia sẻ lợi ích và thương mại hóa**</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Xử lý Hạn chế 2 (bất cập mức trần 100 triệu) và Hạn chế 6 (khai thác thương mại nhỏ). Bằng chứng: Bảng 2.3 và Hình 2.2 cho thấy xung đột thể chế và mới chỉ có 2 hợp đồng sách 5 triệu/năm.</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Trung tâm CGCN phối hợp Phòng KHCN, Pháp chế, Phòng TC-KT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Quỹ đầu tư thương mại hóa; chuyên gia định giá tài sản trí tuệ</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Hoàn thành sửa quy chế trước 31/5/2027; thương mại hóa 2028 - 2030</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 chế quản trị TSTT sửa đổi (bãi bỏ mức trần); Danh mục công nghệ chào bán; Hợp đồng chuyển giao công nghệ</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Ban hành quy chế đúng hạn; ký kết tối thiểu 01 hợp đồng chuyển giao công nghệ có thu phí/năm</w:t>
            </w:r>
          </w:p>
        </w:tc>
      </w:tr>
      <w:tr>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**Giải pháp 3.2.4: Bảo vệ quyền, liêm chính và quản trị dữ liệu số**</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Xử lý Hạn chế 3 (thiếu liên thông), Hạn chế 5 (dữ liệu phân tán) và nguy cơ mất hiệu lực văn bằng (Hình 2.6 có 7/16 tiêu chí khuyết).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Bộ phận Pháp chế chủ trì; phối hợp Phòng KHCN, Trung tâm CNTT</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Ngân sách đầu tư hạ tầng phần mềm; kinh phí duy trì văn bằng hàng năm</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Bắt đầu Quý II/2027; vận hành hoàn thiện năm 2028</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Phần mềm cơ sở dữ liệu số TSTT tích hợp; Quy chế liêm chính học thuật; Sổ theo dõi kỳ hạn gia hạn 5 kiểu dáng</w:t>
            </w:r>
          </w:p>
        </w:tc>
        <w:tc>
          <w:tcPr>
            <w:tcW w:type="dxa" w:w="1344"/>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Tích hợp thành công 100% dữ liệu; đáp ứng chuẩn báo cáo HEMIS; không để sót kỳ hạn văn bằng</w:t>
            </w:r>
          </w:p>
        </w:tc>
      </w:tr>
    </w:tbl>
    <w:p>
      <w:pPr>
        <w:spacing w:before="40" w:after="120" w:line="312" w:lineRule="auto"/>
        <w:ind w:firstLine="0"/>
        <w:jc w:val="center"/>
      </w:pPr>
      <w:r>
        <w:rPr>
          <w:rFonts w:ascii="Times New Roman" w:hAnsi="Times New Roman"/>
          <w:b w:val="0"/>
          <w:i/>
          <w:color w:val="000000"/>
          <w:sz w:val="22"/>
        </w:rPr>
        <w:t>(Nguồn: Nhóm nghiên cứu tổng hợp và đề xuất dựa trên các bằng chứng thực tế tại Chương 2)</w:t>
      </w:r>
    </w:p>
    <w:p>
      <w:pPr>
        <w:spacing w:before="160" w:after="80" w:line="312" w:lineRule="auto"/>
        <w:ind w:firstLine="0"/>
        <w:jc w:val="both"/>
      </w:pPr>
      <w:r>
        <w:rPr>
          <w:rFonts w:ascii="Times New Roman" w:hAnsi="Times New Roman"/>
          <w:b/>
          <w:i/>
          <w:color w:val="000000"/>
          <w:sz w:val="26"/>
        </w:rPr>
        <w:t>3.3.2. Kế hoạch thí điểm quy trình sàng lọc và nộp đơn sớm</w:t>
      </w:r>
    </w:p>
    <w:p>
      <w:pPr>
        <w:spacing w:before="40" w:after="80" w:line="312" w:lineRule="auto"/>
        <w:ind w:firstLine="720"/>
        <w:jc w:val="both"/>
      </w:pPr>
      <w:r>
        <w:rPr>
          <w:rFonts w:ascii="Times New Roman" w:hAnsi="Times New Roman"/>
          <w:b w:val="0"/>
          <w:i w:val="0"/>
          <w:color w:val="000000"/>
          <w:sz w:val="26"/>
        </w:rPr>
        <w:t>Nhằm kiểm chứng tính khả thi của quy trình sàng lọc trước khi triển khai đồng loạt trên phạm vi toàn trường, Đề tài thiết lập Kế hoạch thí điểm với các nội dung cụ thể:</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*Phạm vi thí điểm:* Lựa chọn các đề tài khoa học công nghệ cấp cơ sở năm 2026 và 2027 của Viện Y - Dược (nơi tập trung 10 trên 11 sản phẩm tiềm năng và sở hữu đơn sáng chế duy nhất trong kỳ).</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*Thời gian thực hiện:* Triển khai trong 06 tháng (từ Quý I năm 2027 đến hết Quý II năm 2027).</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*Các công việc cần triển khai ngay:*</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Tiến hành rà soát khẩn cấp tình trạng bộc lộ công nghệ của 06 đề tài mang mã số 2021 - 2024 có sản phẩm tiềm năng nhưng chưa có đơn đăng ký, cùng hai đề tài mã số 06-2025 và 07-2025 (công thức cồn xoa bóp và quy trình viên ngậm giảm ho). Nếu các giải pháp chưa bị công bố bài báo chi tiết hoặc vẫn nằm trong thời hạn ân hạn 12 tháng, tiến hành hướng dẫn chủ nhiệm đề tài lập hồ sơ nộp đơn giải pháp hữu ích ngay.</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Thử nghiệm áp dụng "Phiếu khai báo kết quả nghiên cứu mới" và "Phiếu rà soát sàng lọc sở hữu trí tuệ" cho các đề tài chuẩn bị nghiệm thu.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Đo lường thời gian xử lý từ khi tiếp nhận phiếu khai báo đến khi ra quyết định nộp đơn; đánh giá sự phối hợp giữa tác giả, Phòng Khoa học Công nghệ và đơn vị đại diện sở hữu trí tuệ.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*Sản phẩm đầu ra của thí điểm:* Báo cáo đánh giá kết quả thí điểm, bảng biểu mẫu chuẩn hóa đã được hiệu chỉnh và ít nhất 02 đơn đăng ký giải pháp hữu ích được nộp thành công tại Cục Sở hữu trí tuệ.</w:t>
      </w:r>
    </w:p>
    <w:p>
      <w:pPr>
        <w:spacing w:before="160" w:after="80" w:line="312" w:lineRule="auto"/>
        <w:ind w:firstLine="0"/>
        <w:jc w:val="both"/>
      </w:pPr>
      <w:r>
        <w:rPr>
          <w:rFonts w:ascii="Times New Roman" w:hAnsi="Times New Roman"/>
          <w:b/>
          <w:i/>
          <w:color w:val="000000"/>
          <w:sz w:val="26"/>
        </w:rPr>
        <w:t>3.3.3. Lộ trình triển khai phân kỳ giai đoạn 2026 - 2030</w:t>
      </w:r>
    </w:p>
    <w:p>
      <w:pPr>
        <w:spacing w:before="40" w:after="80" w:line="312" w:lineRule="auto"/>
        <w:ind w:firstLine="720"/>
        <w:jc w:val="both"/>
      </w:pPr>
      <w:r>
        <w:rPr>
          <w:rFonts w:ascii="Times New Roman" w:hAnsi="Times New Roman"/>
          <w:b w:val="0"/>
          <w:i w:val="0"/>
          <w:color w:val="000000"/>
          <w:sz w:val="26"/>
        </w:rPr>
        <w:t>Lộ trình triển khai hệ thống giải pháp được phân kỳ thành ba giai đoạn gắn liền với các mốc hiệu lực của khung pháp luật quốc gia:</w:t>
      </w:r>
    </w:p>
    <w:p>
      <w:pPr>
        <w:spacing w:before="20" w:after="20" w:line="252" w:lineRule="auto"/>
        <w:ind w:left="720"/>
        <w:jc w:val="left"/>
      </w:pPr>
      <w:r>
        <w:rPr>
          <w:rFonts w:ascii="Consolas" w:hAnsi="Consolas"/>
          <w:b w:val="0"/>
          <w:i w:val="0"/>
          <w:color w:val="000000"/>
          <w:sz w:val="19"/>
        </w:rPr>
        <w:t>[ GIAI ĐOẠN 1: 2026 - 2027 ] ---&gt; [ GIAI ĐOẠN 2: 2028 - 2029 ] ---&gt; [ GIAI ĐOẠN 3: 2030 ]</w:t>
      </w:r>
    </w:p>
    <w:p>
      <w:pPr>
        <w:spacing w:before="20" w:after="20" w:line="252" w:lineRule="auto"/>
        <w:ind w:left="720"/>
        <w:jc w:val="left"/>
      </w:pPr>
      <w:r>
        <w:rPr>
          <w:rFonts w:ascii="Consolas" w:hAnsi="Consolas"/>
          <w:b w:val="0"/>
          <w:i w:val="0"/>
          <w:color w:val="000000"/>
          <w:sz w:val="19"/>
        </w:rPr>
        <w:t>- Ban hành Quy chế quản trị TSTT  - Áp dụng toàn trường quy trình  - Vận hành doanh nghiệp</w:t>
      </w:r>
    </w:p>
    <w:p>
      <w:pPr>
        <w:spacing w:before="20" w:after="20" w:line="252" w:lineRule="auto"/>
        <w:ind w:left="720"/>
        <w:jc w:val="left"/>
      </w:pPr>
      <w:r>
        <w:rPr>
          <w:rFonts w:ascii="Consolas" w:hAnsi="Consolas"/>
          <w:b w:val="0"/>
          <w:i w:val="0"/>
          <w:color w:val="000000"/>
          <w:sz w:val="19"/>
        </w:rPr>
        <w:t xml:space="preserve">  sửa đổi trước 31/5/2027          sàng lọc và nộp đơn sớm          khởi nguồn công nghệ</w:t>
      </w:r>
    </w:p>
    <w:p>
      <w:pPr>
        <w:spacing w:before="20" w:after="20" w:line="252" w:lineRule="auto"/>
        <w:ind w:left="720"/>
        <w:jc w:val="left"/>
      </w:pPr>
      <w:r>
        <w:rPr>
          <w:rFonts w:ascii="Consolas" w:hAnsi="Consolas"/>
          <w:b w:val="0"/>
          <w:i w:val="0"/>
          <w:color w:val="000000"/>
          <w:sz w:val="19"/>
        </w:rPr>
        <w:t>- Bãi bỏ mức trần 100 triệu       - Nộp từ 03 - 05 đơn/năm        - Khai thác mở rộng TSTT</w:t>
      </w:r>
    </w:p>
    <w:p>
      <w:pPr>
        <w:spacing w:before="20" w:after="20" w:line="252" w:lineRule="auto"/>
        <w:ind w:left="720"/>
        <w:jc w:val="left"/>
      </w:pPr>
      <w:r>
        <w:rPr>
          <w:rFonts w:ascii="Consolas" w:hAnsi="Consolas"/>
          <w:b w:val="0"/>
          <w:i w:val="0"/>
          <w:color w:val="000000"/>
          <w:sz w:val="19"/>
        </w:rPr>
        <w:t>- Lập dòng dự toán phí nộp đơn    - Đưa học phần SHTT vào đào tạo - Định giá, góp vốn TSTT</w:t>
      </w:r>
    </w:p>
    <w:p>
      <w:pPr>
        <w:spacing w:before="20" w:after="20" w:line="252" w:lineRule="auto"/>
        <w:ind w:left="720"/>
        <w:jc w:val="left"/>
      </w:pPr>
      <w:r>
        <w:rPr>
          <w:rFonts w:ascii="Consolas" w:hAnsi="Consolas"/>
          <w:b w:val="0"/>
          <w:i w:val="0"/>
          <w:color w:val="000000"/>
          <w:sz w:val="19"/>
        </w:rPr>
        <w:t>- Thí điểm tại Viện Y - Dược      - Ký 01 - 02 hợp đồng CGCN      - Hoàn thiện hệ sinh thái</w:t>
      </w:r>
    </w:p>
    <w:p>
      <w:pPr>
        <w:spacing w:before="20" w:after="20" w:line="252" w:lineRule="auto"/>
        <w:ind w:left="720"/>
        <w:jc w:val="left"/>
      </w:pPr>
      <w:r>
        <w:rPr>
          <w:rFonts w:ascii="Consolas" w:hAnsi="Consolas"/>
          <w:b w:val="0"/>
          <w:i w:val="0"/>
          <w:color w:val="000000"/>
          <w:sz w:val="19"/>
        </w:rPr>
        <w:t>- Lập danh mục số báo cáo HEMIS   - Gia hạn 5 kiểu dáng công nghiệp  đổi mới sáng tạo</w:t>
      </w:r>
    </w:p>
    <w:p>
      <w:pPr>
        <w:spacing w:before="40" w:after="80" w:line="312" w:lineRule="auto"/>
        <w:ind w:firstLine="720"/>
        <w:jc w:val="both"/>
      </w:pPr>
      <w:r>
        <w:rPr>
          <w:rFonts w:ascii="Times New Roman" w:hAnsi="Times New Roman"/>
          <w:b w:val="0"/>
          <w:i w:val="0"/>
          <w:color w:val="000000"/>
          <w:sz w:val="26"/>
        </w:rPr>
        <w:t>*Giai đoạn 1 (Từ Quý IV năm 2026 đến hết năm 2027) - Khởi tạo thể chế và chuẩn hóa quy trình nền tảng:*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Hoàn thiện và ban hành "Quy chế quản trị tài sản trí tuệ Trường Đại học Thành Đô" mới trước ngày 31 tháng 5 năm 2027; hợp nhất các quy định của Quyết định số 213/QĐ-ĐHTĐ và Quyết định số 217/QĐ-ĐHTĐ; bãi bỏ mức trần 100 triệu đồng và chuẩn hóa quy định thù lao tác giả.</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Phê duyệt dòng ngân sách dự toán thường niên tối thiểu 150 triệu đồng cho hoạt động sở hữu trí tuệ; giao nhiệm vụ nhân sự chuyên trách tại Phòng Khoa học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Triển khai thành công kế hoạch thí điểm tại Viện Y - Dược; xử lý xong hồ sơ đăng ký giải pháp hữu ích cho các đề tài có sản phẩm tiềm năng.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Xây dựng phần mềm danh mục số tài sản trí tuệ để kịp thời trích xuất báo cáo kết quả hoạt động trên hệ thống HEMIS theo Thông tư số 83/2026/TT-BGDĐT.</w:t>
      </w:r>
    </w:p>
    <w:p>
      <w:pPr>
        <w:spacing w:before="40" w:after="80" w:line="312" w:lineRule="auto"/>
        <w:ind w:firstLine="720"/>
        <w:jc w:val="both"/>
      </w:pPr>
      <w:r>
        <w:rPr>
          <w:rFonts w:ascii="Times New Roman" w:hAnsi="Times New Roman"/>
          <w:b w:val="0"/>
          <w:i w:val="0"/>
          <w:color w:val="000000"/>
          <w:sz w:val="26"/>
        </w:rPr>
        <w:t>*Giai đoạn 2 (Giai đoạn 2028 - 2029) - Áp dụng toàn diện và đẩy mạnh khai thác thương mại:*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Áp dụng bắt buộc Quy trình sàng lọc sở hữu trí tuệ cho toàn bộ đề tài cấp cơ sở và đề tài cấp quốc gia trong toàn trường.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Đạt chỉ tiêu nộp từ 03 đến 05 đơn đăng ký sở hữu công nghiệp mỗi năm; chủ động theo dõi và thực hiện thủ tục gia hạn hiệu lực 5 năm lần thứ nhất cho 5 kiểu dáng công nghiệp bao bì dược liệu.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Đưa môn học Sở hữu trí tuệ và Đổi mới sáng tạo vào giảng dạy chính thức cho sinh viên.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Thúc đẩy đàm phán ký kết ít nhất 01 đến 02 hợp đồng chuyển giao quyền sử dụng công nghệ có thu phí với doanh nghiệp đối tác, tạo nguồn thu hoàn lưu cho Quỹ phát triển khoa học công nghệ.</w:t>
      </w:r>
    </w:p>
    <w:p>
      <w:pPr>
        <w:spacing w:before="40" w:after="80" w:line="312" w:lineRule="auto"/>
        <w:ind w:firstLine="720"/>
        <w:jc w:val="both"/>
      </w:pPr>
      <w:r>
        <w:rPr>
          <w:rFonts w:ascii="Times New Roman" w:hAnsi="Times New Roman"/>
          <w:b w:val="0"/>
          <w:i w:val="0"/>
          <w:color w:val="000000"/>
          <w:sz w:val="26"/>
        </w:rPr>
        <w:t>*Giai đoạn 3 (Năm 2030) - Vận hành hệ sinh thái đổi mới sáng tạo bền vững:*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Hoàn thiện mô hình liên kết Nhà trường - Nhà khoa học - Doanh nghiệp; chuẩn bị đề án thành lập doanh nghiệp khởi nguồn công nghệ từ trường đại học đối với các sáng chế dược liệu đã được cấp văn bằng bảo hộ.</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Định giá tài sản trí tuệ và triển khai góp vốn bằng tài sản trí tuệ theo tinh thần của Luật Giáo dục đại học năm 2025.</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Đo lường toàn diện Bộ 16 chỉ số đánh giá hiệu quả chuỗi kết quả và công bố Báo cáo thường niên về quản trị tài sản trí tuệ của Trường Đại học Thành Đô.</w:t>
      </w:r>
    </w:p>
    <w:p>
      <w:pPr>
        <w:spacing w:before="240" w:after="120" w:line="312" w:lineRule="auto"/>
        <w:ind w:firstLine="0"/>
        <w:jc w:val="both"/>
      </w:pPr>
      <w:r>
        <w:rPr>
          <w:rFonts w:ascii="Times New Roman" w:hAnsi="Times New Roman"/>
          <w:b/>
          <w:i w:val="0"/>
          <w:color w:val="000000"/>
          <w:sz w:val="26"/>
        </w:rPr>
        <w:t>3.4. Bộ chỉ số theo dõi và đánh giá hiệu quả triển khai đến năm 2030</w:t>
      </w:r>
    </w:p>
    <w:p>
      <w:pPr>
        <w:spacing w:before="40" w:after="80" w:line="312" w:lineRule="auto"/>
        <w:ind w:firstLine="720"/>
        <w:jc w:val="both"/>
      </w:pPr>
      <w:r>
        <w:rPr>
          <w:rFonts w:ascii="Times New Roman" w:hAnsi="Times New Roman"/>
          <w:b w:val="0"/>
          <w:i w:val="0"/>
          <w:color w:val="000000"/>
          <w:sz w:val="26"/>
        </w:rPr>
        <w:t>Để khắc phục khoảng trống dữ liệu đã chỉ ra tại Chương 2 (khi có tới 43,7% số tiêu chí hoàn toàn chưa tính toán được), Đề tài thiết lập Bộ chỉ số theo dõi đánh giá hiệu quả triển khai phân tầng theo chuỗi kết quả tại Bảng 3.4, làm công cụ giám sát định lượng cho lãnh đạo Nhà trường:</w:t>
      </w:r>
    </w:p>
    <w:p>
      <w:pPr>
        <w:spacing w:before="160" w:after="80" w:line="312" w:lineRule="auto"/>
        <w:ind w:firstLine="0"/>
        <w:jc w:val="center"/>
      </w:pPr>
      <w:r>
        <w:rPr>
          <w:rFonts w:ascii="Times New Roman" w:hAnsi="Times New Roman"/>
          <w:b/>
          <w:i w:val="0"/>
          <w:color w:val="000000"/>
          <w:sz w:val="24"/>
        </w:rPr>
        <w:t>Bảng 3.4. Bộ chỉ số theo dõi đánh giá hiệu quả triển khai hệ thống giải pháp, phân tầng theo chuỗi kết quả</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Tầng chuỗi kết quả</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Chỉ số theo dõi cụ thể</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Nguồn dữ liệu kiểm chứng</w:t>
            </w:r>
          </w:p>
        </w:tc>
        <w:tc>
          <w:tcPr>
            <w:tcW w:type="dxa" w:w="2351"/>
            <w:shd w:val="clear" w:color="auto" w:fill="EAECEE"/>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i w:val="0"/>
                <w:color w:val="000000"/>
                <w:sz w:val="19"/>
              </w:rPr>
              <w:t>Mục tiêu định lượng đến năm 2030</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center"/>
            </w:pPr>
            <w:r/>
            <w:r>
              <w:rPr>
                <w:rFonts w:ascii="Times New Roman" w:hAnsi="Times New Roman"/>
                <w:b w:val="0"/>
                <w:i w:val="0"/>
                <w:color w:val="000000"/>
                <w:sz w:val="19"/>
              </w:rPr>
              <w:t>:---</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**Tầng 1: Thể chế và tổ chức**</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1. Ban hành Quy chế quản trị tài sản trí tuệ sửa đổi hợp nhất</w:t>
              <w:br/>
              <w:t>2. Số cuộc giao ban liên phòng ban về sở hữu trí tuệ mỗi năm</w:t>
              <w:br/>
              <w:t>3. Tỷ lệ giảng viên mới và trưởng nhóm nghiên cứu hoàn thành tập huấn</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Quyết định ban hành; Biên bản họp giao ban; Danh sách ký nhận tập huấn</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Ban hành trước ngày 31/5/2027</w:t>
              <w:br/>
              <w:t>Đạt 04 cuộc giao ban định kỳ/năm</w:t>
              <w:br/>
              <w:t>Đạt 100% giảng viên mới hàng năm</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**Tầng 2: Hoạt động sàng lọc**</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4. Tỷ lệ đề tài nghiên cứu nghiệm thu có Phiếu rà soát sàng lọc TSTT</w:t>
              <w:br/>
              <w:t>5. Tỷ lệ kết quả thực nghiệm được xem xét bảo mật trước khi công bố bài báo</w:t>
              <w:br/>
              <w:t>6. Thời gian xử lý từ khi nhận Phiếu khai báo đến khi ra quyết định nộp đơn</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Phiếu khai báo; Phiếu rà soát lưu tại Phòng Khoa học Công nghệ</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Đạt 100% đề tài cấp cơ sở từ năm 2027</w:t>
              <w:br/>
              <w:t>Đạt 100% đề tài khối Y - Dược và Kỹ thuật</w:t>
              <w:br/>
              <w:t>Tối đa không quá 15 ngày làm việc</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**Tầng 3: Đầu ra đơn nộp**</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7. Số đơn đăng ký sở hữu công nghiệp nộp mới từ kết quả nghiên cứu</w:t>
              <w:br/>
              <w:t>8. Số lượng giáo trình, bài giảng số và phần mềm đăng ký quyền tác giả</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Danh mục số TSTT; Giấy biên nhận đơn của Cục Sở hữu trí tuệ</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Từ 02 đơn năm 2027; đạt 03 - 05 đơn/năm từ 2028</w:t>
              <w:br/>
              <w:t>Đăng ký bảo hộ cho 100% giáo trình trọng điểm</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**Tầng 4: Văn bằng bảo hộ**</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9. Số văn bằng bảo hộ độc quyền được cấp chính thức (sáng chế, GPHI)</w:t>
              <w:br/>
              <w:t>10. Tỷ lệ hồ sơ trong sổ theo dõi tài sản trí tuệ có trạng thái được xác minh</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Văn bằng bảo hộ gốc của Cục SHTT cấp cho Trường</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Tối thiểu 02 - 03 văn bằng/năm theo Kế hoạch 07</w:t>
              <w:br/>
              <w:t>Đạt 100% hồ sơ được chuẩn hóa trạng thái</w:t>
            </w:r>
          </w:p>
        </w:tc>
      </w:tr>
      <w:tr>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i w:val="0"/>
                <w:color w:val="000000"/>
                <w:sz w:val="19"/>
              </w:rPr>
              <w:t>**Tầng 5: Khai thác kinh tế**</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11. Số hợp đồng chuyển giao công nghệ, cấp phép khai thác có thu phí</w:t>
              <w:br/>
              <w:t>12. Tổng doanh thu thu được từ khai thác thương mại tài sản trí tuệ</w:t>
              <w:br/>
              <w:t>13. Tỷ lệ kinh phí chi trả thù lao, khen thưởng cho tác giả sáng chế</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Hợp đồng chuyển giao; Chứng từ kế toán của Phòng Tài chính - Kế toán</w:t>
            </w:r>
          </w:p>
        </w:tc>
        <w:tc>
          <w:tcPr>
            <w:tcW w:type="dxa" w:w="2351"/>
            <w:tcBorders>
              <w:top w:val="single" w:sz="4" w:space="0" w:color="D3D3D3"/>
              <w:left w:val="single" w:sz="4" w:space="0" w:color="D3D3D3"/>
              <w:bottom w:val="single" w:sz="4" w:space="0" w:color="D3D3D3"/>
              <w:right w:val="single" w:sz="4" w:space="0" w:color="D3D3D3"/>
            </w:tcBorders>
          </w:tcPr>
          <w:p>
            <w:pPr>
              <w:spacing w:before="40" w:after="40" w:line="276" w:lineRule="auto"/>
              <w:ind w:firstLine="0"/>
              <w:jc w:val="left"/>
            </w:pPr>
            <w:r/>
            <w:r>
              <w:rPr>
                <w:rFonts w:ascii="Times New Roman" w:hAnsi="Times New Roman"/>
                <w:b w:val="0"/>
                <w:i w:val="0"/>
                <w:color w:val="000000"/>
                <w:sz w:val="19"/>
              </w:rPr>
              <w:t>Ký tối thiểu 01 - 02 hợp đồng/năm từ 2028</w:t>
              <w:br/>
              <w:t>Tăng trưởng doanh thu bình quân 15%/năm</w:t>
              <w:br/>
              <w:t>Bảo đảm tối thiểu 30% lợi nhuận sau thuế</w:t>
            </w:r>
          </w:p>
        </w:tc>
      </w:tr>
    </w:tbl>
    <w:p>
      <w:pPr>
        <w:spacing w:before="40" w:after="120" w:line="312" w:lineRule="auto"/>
        <w:ind w:firstLine="0"/>
        <w:jc w:val="center"/>
      </w:pPr>
      <w:r>
        <w:rPr>
          <w:rFonts w:ascii="Times New Roman" w:hAnsi="Times New Roman"/>
          <w:b w:val="0"/>
          <w:i/>
          <w:color w:val="000000"/>
          <w:sz w:val="22"/>
        </w:rPr>
        <w:t>(Nguồn: Nhóm nghiên cứu đề xuất dựa trên khung phân tích Chương 1 và mục tiêu chiến lược của Trường Đại học Thành Đô)</w:t>
      </w:r>
    </w:p>
    <w:p>
      <w:pPr>
        <w:spacing w:before="40" w:after="80" w:line="312" w:lineRule="auto"/>
        <w:ind w:firstLine="720"/>
        <w:jc w:val="both"/>
      </w:pPr>
      <w:r>
        <w:rPr>
          <w:rFonts w:ascii="Times New Roman" w:hAnsi="Times New Roman"/>
          <w:b w:val="0"/>
          <w:i w:val="0"/>
          <w:color w:val="000000"/>
          <w:sz w:val="26"/>
        </w:rPr>
        <w:t>Bộ chỉ số tại Bảng 3.4 được tích hợp trực tiếp vào Phần mềm Cơ sở dữ liệu số quản lý tài sản trí tuệ của Nhà trường. Phòng Khoa học Công nghệ chịu trách nhiệm tổng hợp, cập nhật dữ liệu và báo cáo Ban Giám hiệu, Hội đồng trường định kỳ vào tháng 5 hàng năm để phục vụ công tác quản trị và kiểm định chất lượng đại học.</w:t>
      </w:r>
    </w:p>
    <w:p>
      <w:pPr>
        <w:spacing w:before="320" w:after="240" w:line="312" w:lineRule="auto"/>
        <w:ind w:firstLine="0"/>
        <w:jc w:val="center"/>
      </w:pPr>
      <w:r>
        <w:rPr>
          <w:rFonts w:ascii="Times New Roman" w:hAnsi="Times New Roman"/>
          <w:b/>
          <w:i w:val="0"/>
          <w:color w:val="000000"/>
          <w:sz w:val="28"/>
        </w:rPr>
        <w:t>TIỂU KẾT CHƯƠNG 3</w:t>
      </w:r>
    </w:p>
    <w:p>
      <w:pPr>
        <w:spacing w:before="40" w:after="80" w:line="312" w:lineRule="auto"/>
        <w:ind w:firstLine="720"/>
        <w:jc w:val="both"/>
      </w:pPr>
      <w:r>
        <w:rPr>
          <w:rFonts w:ascii="Times New Roman" w:hAnsi="Times New Roman"/>
          <w:b w:val="0"/>
          <w:i w:val="0"/>
          <w:color w:val="000000"/>
          <w:sz w:val="26"/>
        </w:rPr>
        <w:t>Chương 3 đã hoàn thiện toàn diện Hệ thống giải pháp nâng cao hiệu quả quản lý quyền sở hữu trí tuệ tại Trường Đại học Thành Đô đáp ứng khung pháp lý mới giai đoạn 2025 - 2026.</w:t>
      </w:r>
    </w:p>
    <w:p>
      <w:pPr>
        <w:spacing w:before="40" w:after="80" w:line="312" w:lineRule="auto"/>
        <w:ind w:firstLine="720"/>
        <w:jc w:val="both"/>
      </w:pPr>
      <w:r>
        <w:rPr>
          <w:rFonts w:ascii="Times New Roman" w:hAnsi="Times New Roman"/>
          <w:b w:val="0"/>
          <w:i w:val="0"/>
          <w:color w:val="000000"/>
          <w:sz w:val="26"/>
        </w:rPr>
        <w:t>Xuất phát từ năm căn cứ thể chế bắt buộc và kết quả phân tích Ma trận điểm mạnh, điểm yếu, cơ hội, thách thức, Đề tài đã đề xuất bốn nhóm giải pháp hành động cụ thể tương ứng với bốn khâu nghiệp vụ cốt lõi:</w:t>
      </w:r>
    </w:p>
    <w:p>
      <w:pPr>
        <w:spacing w:before="40" w:after="80" w:line="312" w:lineRule="auto"/>
        <w:ind w:firstLine="720"/>
        <w:jc w:val="both"/>
      </w:pPr>
      <w:r>
        <w:rPr>
          <w:rFonts w:ascii="Times New Roman" w:hAnsi="Times New Roman"/>
          <w:b w:val="0"/>
          <w:i w:val="0"/>
          <w:color w:val="000000"/>
          <w:sz w:val="26"/>
        </w:rPr>
        <w:t>1. Đẩy mạnh hoạt động sáng tạo, định hướng nghiên cứu ứng dụng và nhận diện tài sản trí tuệ sớm nhằm nâng cao chất lượng đầu vào, xóa bỏ nghịch lý khuyến khích và kích hoạt năng lực nghiên cứu của 42 tiến sĩ Viện Y - Dược.</w:t>
      </w:r>
    </w:p>
    <w:p>
      <w:pPr>
        <w:spacing w:before="40" w:after="80" w:line="312" w:lineRule="auto"/>
        <w:ind w:firstLine="720"/>
        <w:jc w:val="both"/>
      </w:pPr>
      <w:r>
        <w:rPr>
          <w:rFonts w:ascii="Times New Roman" w:hAnsi="Times New Roman"/>
          <w:b w:val="0"/>
          <w:i w:val="0"/>
          <w:color w:val="000000"/>
          <w:sz w:val="26"/>
        </w:rPr>
        <w:t>2. Chuẩn hóa quy trình sàng lọc khả năng bảo hộ và hỗ trợ xác lập quyền sớm nhằm xử lý dứt điểm điểm nghẽn hao hụt chuyển hóa 88,9%, giữ vững tính mới tuyệt đối của sáng chế và nộp đơn giải pháp hữu ích cho 8 sản phẩm tiềm năng.</w:t>
      </w:r>
    </w:p>
    <w:p>
      <w:pPr>
        <w:spacing w:before="40" w:after="80" w:line="312" w:lineRule="auto"/>
        <w:ind w:firstLine="720"/>
        <w:jc w:val="both"/>
      </w:pPr>
      <w:r>
        <w:rPr>
          <w:rFonts w:ascii="Times New Roman" w:hAnsi="Times New Roman"/>
          <w:b w:val="0"/>
          <w:i w:val="0"/>
          <w:color w:val="000000"/>
          <w:sz w:val="26"/>
        </w:rPr>
        <w:t>3. Hoàn thiện cơ chế phân chia lợi ích và thúc đẩy khai thác thương mại nhằm khơi thông dòng vốn kinh tế, bãi bỏ mức trần 100 triệu đồng và đa dạng hóa phương thức chuyển giao công nghệ.</w:t>
      </w:r>
    </w:p>
    <w:p>
      <w:pPr>
        <w:spacing w:before="40" w:after="80" w:line="312" w:lineRule="auto"/>
        <w:ind w:firstLine="720"/>
        <w:jc w:val="both"/>
      </w:pPr>
      <w:r>
        <w:rPr>
          <w:rFonts w:ascii="Times New Roman" w:hAnsi="Times New Roman"/>
          <w:b w:val="0"/>
          <w:i w:val="0"/>
          <w:color w:val="000000"/>
          <w:sz w:val="26"/>
        </w:rPr>
        <w:t>4. Tăng cường năng lực bảo vệ quyền sở hữu trí tuệ, liêm chính học thuật và quản trị dữ liệu số nhằm số hóa toàn diện hệ thống quản lý, chủ động gia hạn văn bằng và đáp ứng tiêu chuẩn kiểm định quốc gia.</w:t>
      </w:r>
    </w:p>
    <w:p>
      <w:pPr>
        <w:spacing w:before="40" w:after="80" w:line="312" w:lineRule="auto"/>
        <w:ind w:firstLine="720"/>
        <w:jc w:val="both"/>
      </w:pPr>
      <w:r>
        <w:rPr>
          <w:rFonts w:ascii="Times New Roman" w:hAnsi="Times New Roman"/>
          <w:b w:val="0"/>
          <w:i w:val="0"/>
          <w:color w:val="000000"/>
          <w:sz w:val="26"/>
        </w:rPr>
        <w:t>Đồng thời, Chương 3 đã cụ thể hóa lộ trình triển khai phân kỳ ba giai đoạn đến năm 2030, thiết kế chi tiết Kế hoạch thí điểm tại Viện Y - Dược và thiết lập Bộ chỉ số theo dõi đánh giá 5 tầng theo chuỗi kết quả. Đây là hệ thống giải pháp vừa mang tính chiến lược dài hạn, vừa có tính khả thi tác nghiệp tức thời, bảo đảm đưa công tác quản trị tài sản trí tuệ của Trường Đại học Thành Đô chuyển mình mạnh mẽ, trở thành đòn bẩy khẳng định vị thế học thuật và tự chủ đại học bền vững.</w:t>
      </w:r>
    </w:p>
    <w:p>
      <w:pPr>
        <w:pageBreakBefore/>
        <w:spacing w:before="320" w:after="240" w:line="312" w:lineRule="auto"/>
        <w:ind w:firstLine="0"/>
        <w:jc w:val="center"/>
      </w:pPr>
      <w:r>
        <w:rPr>
          <w:rFonts w:ascii="Times New Roman" w:hAnsi="Times New Roman"/>
          <w:b/>
          <w:i w:val="0"/>
          <w:color w:val="000000"/>
          <w:sz w:val="28"/>
        </w:rPr>
        <w:t>KẾT LUẬN VÀ KIẾN NGHỊ</w:t>
      </w:r>
    </w:p>
    <w:p>
      <w:pPr>
        <w:spacing w:before="160" w:after="80" w:line="312" w:lineRule="auto"/>
        <w:ind w:firstLine="0"/>
        <w:jc w:val="both"/>
      </w:pPr>
      <w:r>
        <w:rPr>
          <w:rFonts w:ascii="Times New Roman" w:hAnsi="Times New Roman"/>
          <w:b/>
          <w:i/>
          <w:color w:val="000000"/>
          <w:sz w:val="26"/>
        </w:rPr>
        <w:t>1. Kết luận tổng hợp đề tài</w:t>
      </w:r>
    </w:p>
    <w:p>
      <w:pPr>
        <w:spacing w:before="40" w:after="80" w:line="312" w:lineRule="auto"/>
        <w:ind w:firstLine="720"/>
        <w:jc w:val="both"/>
      </w:pPr>
      <w:r>
        <w:rPr>
          <w:rFonts w:ascii="Times New Roman" w:hAnsi="Times New Roman"/>
          <w:b w:val="0"/>
          <w:i w:val="0"/>
          <w:color w:val="000000"/>
          <w:sz w:val="26"/>
        </w:rPr>
        <w:t>Xuất phát từ yêu cầu cấp bách của tiến trình tự chủ đại học và làn sóng đổi mới thể chế khoa học công nghệ quốc gia giai đoạn 2025 - 2026, đề tài "Nghiên cứu giải pháp nâng cao hiệu quả quản lý quyền sở hữu trí tuệ tại Trường Đại học Thành Đô" đã thực hiện toàn diện các mục tiêu nghiên cứu đặt ra và đạt được các kết quả khoa học chủ yếu sau:</w:t>
      </w:r>
    </w:p>
    <w:p>
      <w:pPr>
        <w:spacing w:before="40" w:after="80" w:line="312" w:lineRule="auto"/>
        <w:ind w:firstLine="720"/>
        <w:jc w:val="both"/>
      </w:pPr>
      <w:r>
        <w:rPr>
          <w:rFonts w:ascii="Times New Roman" w:hAnsi="Times New Roman"/>
          <w:b w:val="0"/>
          <w:i w:val="0"/>
          <w:color w:val="000000"/>
          <w:sz w:val="26"/>
        </w:rPr>
        <w:t>*Về mặt lý luận:* Đề tài đã hệ thống hóa và làm sáng tỏ cơ sở lý luận về quản lý quyền sở hữu trí tuệ trong cơ sở giáo dục đại học định hướng ứng dụng; chuẩn hóa khung phân tích chu trình khép kín gồm bốn khâu nghiệp vụ (Sáng tạo - Xác lập - Khai thác - Bảo vệ); cập nhật toàn diện hệ thống văn bản quy phạm pháp luật mới có hiệu lực trong giai đoạn 2025 - 2026 (Luật Giáo dục đại học năm 2025, Luật Khoa học, Công nghệ và Đổi mới sáng tạo năm 2025, Luật Sở hữu trí tuệ sửa đổi và các văn bản chỉ đạo của Đảng, Chính phủ); đồng thời xây dựng Bộ tiêu chí đánh giá hiệu quả quản lý phân tầng theo chuỗi kết quả.</w:t>
      </w:r>
    </w:p>
    <w:p>
      <w:pPr>
        <w:spacing w:before="40" w:after="80" w:line="312" w:lineRule="auto"/>
        <w:ind w:firstLine="720"/>
        <w:jc w:val="both"/>
      </w:pPr>
      <w:r>
        <w:rPr>
          <w:rFonts w:ascii="Times New Roman" w:hAnsi="Times New Roman"/>
          <w:b w:val="0"/>
          <w:i w:val="0"/>
          <w:color w:val="000000"/>
          <w:sz w:val="26"/>
        </w:rPr>
        <w:t>*Về mặt thực tiễn:* Đề tài đã khảo sát, thống kê và đánh giá chuyên sâu bức tranh thực trạng quản lý quyền sở hữu trí tuệ tại Trường Đại học Thành Đô giai đoạn 2021 - 2025. Kết quả phân tích thực chứng chỉ rõ: Nhà trường có nhận thức thể chế sớm; năng lực nghiên cứu khoa học tăng trưởng vượt bậc với 582 sản phẩm (bài báo tăng gấp 7 lần); tích lũy được 11 hồ sơ tài sản trí tuệ; sở hữu tiềm năng công nghệ lớn tại Viện Y - Dược với 11 đề tài có sản phẩm tiềm năng. Tuy nhiên, công tác quản lý đang đối mặt với 7 điểm nghẽn nghiêm trọng, đặc biệt là tỷ lệ hao hụt chuyển hóa từ đề tài sang đơn đăng ký lên tới 88,9%; xung đột thể chế về mức trần khen thưởng 100 triệu đồng; tổ chức bộ máy phân mảnh qua 4 đầu mối thiếu liên thông; và hệ thống dữ liệu khuyết trắng các chỉ tiêu kinh tế thương mại hóa. Nhóm nghiên cứu đã làm sáng tỏ mô hình chuỗi nguyên nhân gốc rễ dẫn tới thất thoát tài sản trí tuệ: do thiếu khâu sàng lọc trước công bố và thiếu dòng ngân sách làm đơn, giảng viên đã lựa chọn công bố bài báo khoa học vội vàng làm mất tính mới tuyệt đối của giải pháp công nghệ.</w:t>
      </w:r>
    </w:p>
    <w:p>
      <w:pPr>
        <w:spacing w:before="40" w:after="80" w:line="312" w:lineRule="auto"/>
        <w:ind w:firstLine="720"/>
        <w:jc w:val="both"/>
      </w:pPr>
      <w:r>
        <w:rPr>
          <w:rFonts w:ascii="Times New Roman" w:hAnsi="Times New Roman"/>
          <w:b w:val="0"/>
          <w:i w:val="0"/>
          <w:color w:val="000000"/>
          <w:sz w:val="26"/>
        </w:rPr>
        <w:t>*Về mặt giải pháp:* Bám sát các yêu cầu thể chế mới và kết quả phân tích Ma trận SWOT, Đề tài đã đề xuất Hệ thống 4 nhóm giải pháp tương ứng với 4 khâu nghiệp vụ được chuẩn hóa theo 4 trụ cột (Mục tiêu - Nội dung - Chủ thể - Nguồn lực); xây dựng phương án phân công trách nhiệm tổ chức thực hiện; thiết kế Kế hoạch thí điểm quy trình sàng lọc và nộp đơn sớm tại Viện Y - Dược; phân kỳ Lộ trình triển khai ba giai đoạn đến năm 2030; và xác lập Bộ chỉ số theo dõi đánh giá 5 tầng theo chuỗi kết quả, tạo tiền đề vững chắc để Nhà trường nâng cao hiệu lực quản trị trong giai đoạn mới.</w:t>
      </w:r>
    </w:p>
    <w:p>
      <w:pPr>
        <w:spacing w:before="160" w:after="80" w:line="312" w:lineRule="auto"/>
        <w:ind w:firstLine="0"/>
        <w:jc w:val="both"/>
      </w:pPr>
      <w:r>
        <w:rPr>
          <w:rFonts w:ascii="Times New Roman" w:hAnsi="Times New Roman"/>
          <w:b/>
          <w:i/>
          <w:color w:val="000000"/>
          <w:sz w:val="26"/>
        </w:rPr>
        <w:t>2. Kiến nghị với cơ quan quản lý nhà nước</w:t>
      </w:r>
    </w:p>
    <w:p>
      <w:pPr>
        <w:spacing w:before="40" w:after="80" w:line="312" w:lineRule="auto"/>
        <w:ind w:firstLine="720"/>
        <w:jc w:val="both"/>
      </w:pPr>
      <w:r>
        <w:rPr>
          <w:rFonts w:ascii="Times New Roman" w:hAnsi="Times New Roman"/>
          <w:b w:val="0"/>
          <w:i w:val="0"/>
          <w:color w:val="000000"/>
          <w:sz w:val="26"/>
        </w:rPr>
        <w:t>Để tạo môi trường pháp lý thuận lợi hơn nữa cho các cơ sở giáo dục đại học, Đề tài trân trọng gửi tới các cơ quan quản lý nhà nước các kiến nghị sau:</w:t>
      </w:r>
    </w:p>
    <w:p>
      <w:pPr>
        <w:spacing w:before="40" w:after="80" w:line="312" w:lineRule="auto"/>
        <w:ind w:firstLine="720"/>
        <w:jc w:val="both"/>
      </w:pPr>
      <w:r>
        <w:rPr>
          <w:rFonts w:ascii="Times New Roman" w:hAnsi="Times New Roman"/>
          <w:b w:val="0"/>
          <w:i w:val="0"/>
          <w:color w:val="000000"/>
          <w:sz w:val="26"/>
        </w:rPr>
        <w:t>*Kiến nghị Bộ Khoa học và Công nghệ:*</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Sớm ban hành Thông tư hướng dẫn chi tiết phương pháp xác định lợi nhuận sau thuế tương ứng với phần kết quả nhiệm vụ khoa học sử dụng ngân sách nhà nước làm căn cứ chi trả tiền thưởng 30% cho tác giả theo Luật Khoa học, Công nghệ và Đổi mới sáng tạo năm 2025.</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Nghiên cứu cơ chế ưu tiên xét duyệt thẩm định nhanh (luồng xanh thẩm định) đối với các đơn đăng ký sáng chế và giải pháp hữu ích có nguồn gốc từ các trường đại học và viện nghiên cứu, nhằm rút ngắn thời gian cấp bằng từ 2 - 3 năm xuống dưới 18 tháng.</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Mở rộng phạm vi hỗ trợ của Đề án thí điểm định giá tài sản trí tuệ cho các trường đại học ngoài công lập, tạo điều kiện thuận lợi cho việc thương mại hóa kết quả nghiên cứu.</w:t>
      </w:r>
    </w:p>
    <w:p>
      <w:pPr>
        <w:spacing w:before="40" w:after="80" w:line="312" w:lineRule="auto"/>
        <w:ind w:firstLine="720"/>
        <w:jc w:val="both"/>
      </w:pPr>
      <w:r>
        <w:rPr>
          <w:rFonts w:ascii="Times New Roman" w:hAnsi="Times New Roman"/>
          <w:b w:val="0"/>
          <w:i w:val="0"/>
          <w:color w:val="000000"/>
          <w:sz w:val="26"/>
        </w:rPr>
        <w:t>*Kiến nghị Bộ Giáo dục và Đào tạo:*</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Hướng dẫn cụ thể cơ chế góp vốn, thành lập doanh nghiệp khởi nguồn công nghệ từ trường đại học theo quy định tại Điều 30 Luật Giáo dục đại học năm 2025.</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Sớm ban hành Đề án tăng cường năng lực quản trị sở hữu trí tuệ trong các cơ sở giáo dục đại học giai đoạn 2027 - 2030, hỗ trợ kinh phí đào tạo đội ngũ chuyên viên chuyên trách sở hữu trí tuệ cho các trường đại học định hướng ứng dụng.</w:t>
      </w:r>
    </w:p>
    <w:p>
      <w:pPr>
        <w:spacing w:before="160" w:after="80" w:line="312" w:lineRule="auto"/>
        <w:ind w:firstLine="0"/>
        <w:jc w:val="both"/>
      </w:pPr>
      <w:r>
        <w:rPr>
          <w:rFonts w:ascii="Times New Roman" w:hAnsi="Times New Roman"/>
          <w:b/>
          <w:i/>
          <w:color w:val="000000"/>
          <w:sz w:val="26"/>
        </w:rPr>
        <w:t>3. Kiến nghị với Hội đồng trường và Ban Giám hiệu Trường Đại học Thành Đô</w:t>
      </w:r>
    </w:p>
    <w:p>
      <w:pPr>
        <w:spacing w:before="40" w:after="80" w:line="312" w:lineRule="auto"/>
        <w:ind w:firstLine="720"/>
        <w:jc w:val="both"/>
      </w:pPr>
      <w:r>
        <w:rPr>
          <w:rFonts w:ascii="Times New Roman" w:hAnsi="Times New Roman"/>
          <w:b w:val="0"/>
          <w:i w:val="0"/>
          <w:color w:val="000000"/>
          <w:sz w:val="26"/>
        </w:rPr>
        <w:t>Để hiện thực hóa hệ thống giải pháp vào thực tiễn quản trị của Nhà trường, nhóm nghiên cứu kính đề nghị Hội đồng trường và Ban Giám hiệu chỉ đạo triển khai các nội dung trọng tâm sau:</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thể chế:* Chỉ đạo Bộ phận Pháp chế phối hợp với Phòng Khoa học Công nghệ khẩn trương rà soát, hợp nhất Quyết định số 213/QĐ-ĐHTĐ và Quyết định số 217/QĐ-ĐHTĐ để ban hành "Quy chế quản trị tài sản trí tuệ Trường Đại học Thành Đô" mới trước ngày 31 tháng 5 năm 2027; bãi bỏ mức trần khen thưởng 100 triệu đồng và chuẩn hóa quy định thù lao tác giả theo đúng luật định hiện hành.</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quy trình tác nghiệp:* Ban hành Quy trình sàng lọc sở hữu trí tuệ 3 bước bắt buộc; tích hợp Phiếu khai báo kết quả nghiên cứu mới và Phiếu rà soát sàng lọc vào biểu mẫu quản lý đề tài; cho phép nộp đơn đăng ký sớm ngay khi có kết quả thực nghiệm đạt yêu cầu mà không phải chờ nghiệm thu đề tài.</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nguồn lực tài chính:* Phê duyệt dòng ngân sách dự toán chuyên biệt tối thiểu 150 triệu đồng/năm từ Quỹ phát triển khoa học công nghệ dành riêng cho công tác tra cứu, soạn đơn và nộp lệ phí sở hữu trí tuệ; bổ sung chính sách thưởng tiền mặt trực tiếp cho tác giả có đơn đăng ký và văn bằng bảo hộ độc quyền; cho phép cơ chế tạm ứng chi phí làm đơn thuận tiện.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tổ chức bộ máy và nhân lực:* Ban hành Quy chế phối hợp liên thông giữa 4 đầu mối quản lý; bố trí 01 vị trí nhân sự chuyên trách sở hữu trí tuệ tại Phòng Khoa học Công nghệ; định kỳ tổ chức tập huấn kỹ năng viết bản mô tả sáng chế và bảo mật thông tin cho giảng viên.</w:t>
      </w:r>
    </w:p>
    <w:p>
      <w:pPr>
        <w:spacing w:before="40" w:after="60" w:line="312" w:lineRule="auto"/>
        <w:ind w:left="360" w:hanging="360"/>
        <w:jc w:val="both"/>
      </w:pPr>
      <w:r>
        <w:rPr>
          <w:rFonts w:ascii="Times New Roman" w:hAnsi="Times New Roman"/>
          <w:b/>
          <w:i w:val="0"/>
          <w:color w:val="000000"/>
          <w:sz w:val="26"/>
        </w:rPr>
        <w:t xml:space="preserve">• </w:t>
      </w:r>
      <w:r>
        <w:rPr>
          <w:rFonts w:ascii="Times New Roman" w:hAnsi="Times New Roman"/>
          <w:b w:val="0"/>
          <w:i w:val="0"/>
          <w:color w:val="000000"/>
          <w:sz w:val="26"/>
        </w:rPr>
        <w:t>*Về quản trị dữ liệu và bảo vệ quyền:* Đầu tư nâng cấp Phần mềm Cơ sở dữ liệu số quản lý tài sản trí tuệ tích hợp; kết xuất dữ liệu báo cáo chuẩn xác lên hệ thống HEMIS; lập sổ theo dõi kỳ hạn tự động để kịp thời gia hạn hiệu lực 5 năm cho 5 kiểu dáng công nghiệp bao bì dược liệu; đồng thời rà soát gấp tình trạng bộc lộ của các đề tài tiềm năng giai đoạn 2021 - 2025 để nộp đơn giải pháp hữu ích kịp thời trong thời hạn ân hạn.</w:t>
      </w:r>
    </w:p>
    <w:p>
      <w:pPr>
        <w:pageBreakBefore/>
        <w:spacing w:before="320" w:after="240" w:line="312" w:lineRule="auto"/>
        <w:ind w:firstLine="0"/>
        <w:jc w:val="center"/>
      </w:pPr>
      <w:r>
        <w:rPr>
          <w:rFonts w:ascii="Times New Roman" w:hAnsi="Times New Roman"/>
          <w:b/>
          <w:i w:val="0"/>
          <w:color w:val="000000"/>
          <w:sz w:val="28"/>
        </w:rPr>
        <w:t>TÀI LIỆU THAM KHẢO</w:t>
      </w:r>
    </w:p>
    <w:p>
      <w:pPr>
        <w:spacing w:before="160" w:after="80" w:line="312" w:lineRule="auto"/>
        <w:ind w:firstLine="0"/>
        <w:jc w:val="both"/>
      </w:pPr>
      <w:r>
        <w:rPr>
          <w:rFonts w:ascii="Times New Roman" w:hAnsi="Times New Roman"/>
          <w:b/>
          <w:i/>
          <w:color w:val="000000"/>
          <w:sz w:val="26"/>
        </w:rPr>
        <w:t>A. Văn bản pháp luật, văn bản chỉ đạo và văn bản của Trường Đại học Thành Đô</w:t>
      </w:r>
    </w:p>
    <w:p>
      <w:pPr>
        <w:spacing w:before="40" w:after="80" w:line="312" w:lineRule="auto"/>
        <w:ind w:firstLine="720"/>
        <w:jc w:val="both"/>
      </w:pPr>
      <w:r>
        <w:rPr>
          <w:rFonts w:ascii="Times New Roman" w:hAnsi="Times New Roman"/>
          <w:b w:val="0"/>
          <w:i w:val="0"/>
          <w:color w:val="000000"/>
          <w:sz w:val="26"/>
        </w:rPr>
        <w:t>1. Bộ Chính trị. (2026). *Kết luận số 51-KL/TW ngày 17 tháng 6 năm 2026 về đẩy mạnh công tác sở hữu trí tuệ phục vụ phát triển kinh tế xã hội trong tình hình mới*. Hà Nội.</w:t>
      </w:r>
    </w:p>
    <w:p>
      <w:pPr>
        <w:spacing w:before="40" w:after="80" w:line="312" w:lineRule="auto"/>
        <w:ind w:firstLine="720"/>
        <w:jc w:val="both"/>
      </w:pPr>
      <w:r>
        <w:rPr>
          <w:rFonts w:ascii="Times New Roman" w:hAnsi="Times New Roman"/>
          <w:b w:val="0"/>
          <w:i w:val="0"/>
          <w:color w:val="000000"/>
          <w:sz w:val="26"/>
        </w:rPr>
        <w:t>2. Bộ Giáo dục và Đào tạo. (2024). *Thông tư số 01/2024/TT-BGDĐT ngày 05 tháng 02 năm 2024 ban hành Chuẩn cơ sở giáo dục đại học*. Hà Nội.</w:t>
      </w:r>
    </w:p>
    <w:p>
      <w:pPr>
        <w:spacing w:before="40" w:after="80" w:line="312" w:lineRule="auto"/>
        <w:ind w:firstLine="720"/>
        <w:jc w:val="both"/>
      </w:pPr>
      <w:r>
        <w:rPr>
          <w:rFonts w:ascii="Times New Roman" w:hAnsi="Times New Roman"/>
          <w:b w:val="0"/>
          <w:i w:val="0"/>
          <w:color w:val="000000"/>
          <w:sz w:val="26"/>
        </w:rPr>
        <w:t>3. Bộ Giáo dục và Đào tạo. (2026). *Thông tư số 83/2026/TT-BGDĐT ngày 30 tháng 9 năm 2026 quy định Chuẩn cơ sở giáo dục đại học*. Hà Nội.</w:t>
      </w:r>
    </w:p>
    <w:p>
      <w:pPr>
        <w:spacing w:before="40" w:after="80" w:line="312" w:lineRule="auto"/>
        <w:ind w:firstLine="720"/>
        <w:jc w:val="both"/>
      </w:pPr>
      <w:r>
        <w:rPr>
          <w:rFonts w:ascii="Times New Roman" w:hAnsi="Times New Roman"/>
          <w:b w:val="0"/>
          <w:i w:val="0"/>
          <w:color w:val="000000"/>
          <w:sz w:val="26"/>
        </w:rPr>
        <w:t>4. Chính phủ. (2023). *Nghị định số 65/2023/NĐ-CP ngày 23 tháng 8 năm 2023 quy định chi tiết một số điều và biện pháp thi hành Luật Sở hữu trí tuệ về sở hữu công nghiệp*. Hà Nội.</w:t>
      </w:r>
    </w:p>
    <w:p>
      <w:pPr>
        <w:spacing w:before="40" w:after="80" w:line="312" w:lineRule="auto"/>
        <w:ind w:firstLine="720"/>
        <w:jc w:val="both"/>
      </w:pPr>
      <w:r>
        <w:rPr>
          <w:rFonts w:ascii="Times New Roman" w:hAnsi="Times New Roman"/>
          <w:b w:val="0"/>
          <w:i w:val="0"/>
          <w:color w:val="000000"/>
          <w:sz w:val="26"/>
        </w:rPr>
        <w:t>5. Chính phủ. (2025). *Nghị định số 267/2025/NĐ-CP ngày 14 tháng 10 năm 2025 quy định chi tiết và hướng dẫn thi hành một số điều của Luật Khoa học, Công nghệ và Đổi mới sáng tạo*. Hà Nội.</w:t>
      </w:r>
    </w:p>
    <w:p>
      <w:pPr>
        <w:spacing w:before="40" w:after="80" w:line="312" w:lineRule="auto"/>
        <w:ind w:firstLine="720"/>
        <w:jc w:val="both"/>
      </w:pPr>
      <w:r>
        <w:rPr>
          <w:rFonts w:ascii="Times New Roman" w:hAnsi="Times New Roman"/>
          <w:b w:val="0"/>
          <w:i w:val="0"/>
          <w:color w:val="000000"/>
          <w:sz w:val="26"/>
        </w:rPr>
        <w:t>6. Chính phủ. (2026a). *Nghị định số 100/2026/NĐ-CP ngày 18 tháng 02 năm 2026 về quản lý và sử dụng Quỹ phát triển khoa học và công nghệ của cơ sở giáo dục đại học*. Hà Nội.</w:t>
      </w:r>
    </w:p>
    <w:p>
      <w:pPr>
        <w:spacing w:before="40" w:after="80" w:line="312" w:lineRule="auto"/>
        <w:ind w:firstLine="720"/>
        <w:jc w:val="both"/>
      </w:pPr>
      <w:r>
        <w:rPr>
          <w:rFonts w:ascii="Times New Roman" w:hAnsi="Times New Roman"/>
          <w:b w:val="0"/>
          <w:i w:val="0"/>
          <w:color w:val="000000"/>
          <w:sz w:val="26"/>
        </w:rPr>
        <w:t>7. Chính phủ. (2026b). *Nghị định số 134/2026/NĐ-CP ngày 06 tháng 4 năm 2026 sửa đổi, bổ sung một số điều của Nghị định số 17/2023/NĐ-CP quy định chi tiết một số điều và biện pháp thi hành Luật Sở hữu trí tuệ về quyền tác giả, quyền liên quan*. Hà Nội.</w:t>
      </w:r>
    </w:p>
    <w:p>
      <w:pPr>
        <w:spacing w:before="40" w:after="80" w:line="312" w:lineRule="auto"/>
        <w:ind w:firstLine="720"/>
        <w:jc w:val="both"/>
      </w:pPr>
      <w:r>
        <w:rPr>
          <w:rFonts w:ascii="Times New Roman" w:hAnsi="Times New Roman"/>
          <w:b w:val="0"/>
          <w:i w:val="0"/>
          <w:color w:val="000000"/>
          <w:sz w:val="26"/>
        </w:rPr>
        <w:t>8. Quốc hội. (2017). *Luật Chuyển giao công nghệ số 07/2017/QH14 ngày 19 tháng 6 năm 2017*. Hà Nội.</w:t>
      </w:r>
    </w:p>
    <w:p>
      <w:pPr>
        <w:spacing w:before="40" w:after="80" w:line="312" w:lineRule="auto"/>
        <w:ind w:firstLine="720"/>
        <w:jc w:val="both"/>
      </w:pPr>
      <w:r>
        <w:rPr>
          <w:rFonts w:ascii="Times New Roman" w:hAnsi="Times New Roman"/>
          <w:b w:val="0"/>
          <w:i w:val="0"/>
          <w:color w:val="000000"/>
          <w:sz w:val="26"/>
        </w:rPr>
        <w:t>9. Quốc hội. (2025a). *Luật Giáo dục đại học số 125/2025/QH15 ngày 10 tháng 12 năm 2025*. Hà Nội.</w:t>
      </w:r>
    </w:p>
    <w:p>
      <w:pPr>
        <w:spacing w:before="40" w:after="80" w:line="312" w:lineRule="auto"/>
        <w:ind w:firstLine="720"/>
        <w:jc w:val="both"/>
      </w:pPr>
      <w:r>
        <w:rPr>
          <w:rFonts w:ascii="Times New Roman" w:hAnsi="Times New Roman"/>
          <w:b w:val="0"/>
          <w:i w:val="0"/>
          <w:color w:val="000000"/>
          <w:sz w:val="26"/>
        </w:rPr>
        <w:t>10. Quốc hội. (2025b). *Luật Khoa học, công nghệ và đổi mới sáng tạo số 93/2025/QH15 ngày 27 tháng 6 năm 2025*. Hà Nội.</w:t>
      </w:r>
    </w:p>
    <w:p>
      <w:pPr>
        <w:spacing w:before="40" w:after="80" w:line="312" w:lineRule="auto"/>
        <w:ind w:firstLine="720"/>
        <w:jc w:val="both"/>
      </w:pPr>
      <w:r>
        <w:rPr>
          <w:rFonts w:ascii="Times New Roman" w:hAnsi="Times New Roman"/>
          <w:b w:val="0"/>
          <w:i w:val="0"/>
          <w:color w:val="000000"/>
          <w:sz w:val="26"/>
        </w:rPr>
        <w:t>11. Quốc hội. (2025c). *Luật số 131/2025/QH15 ngày 10 tháng 12 năm 2025 sửa đổi, bổ sung một số điều của Luật Sở hữu trí tuệ*. Hà Nội.</w:t>
      </w:r>
    </w:p>
    <w:p>
      <w:pPr>
        <w:spacing w:before="40" w:after="80" w:line="312" w:lineRule="auto"/>
        <w:ind w:firstLine="720"/>
        <w:jc w:val="both"/>
      </w:pPr>
      <w:r>
        <w:rPr>
          <w:rFonts w:ascii="Times New Roman" w:hAnsi="Times New Roman"/>
          <w:b w:val="0"/>
          <w:i w:val="0"/>
          <w:color w:val="000000"/>
          <w:sz w:val="26"/>
        </w:rPr>
        <w:t>12. Thủ tướng Chính phủ. (2019). *Quyết định số 1068/QĐ-TTg ngày 22 tháng 8 năm 2019 phê duyệt Chiến lược sở hữu trí tuệ đến năm 2030*. Hà Nội.</w:t>
      </w:r>
    </w:p>
    <w:p>
      <w:pPr>
        <w:spacing w:before="40" w:after="80" w:line="312" w:lineRule="auto"/>
        <w:ind w:firstLine="720"/>
        <w:jc w:val="both"/>
      </w:pPr>
      <w:r>
        <w:rPr>
          <w:rFonts w:ascii="Times New Roman" w:hAnsi="Times New Roman"/>
          <w:b w:val="0"/>
          <w:i w:val="0"/>
          <w:color w:val="000000"/>
          <w:sz w:val="26"/>
        </w:rPr>
        <w:t>13. Thủ tướng Chính phủ. (2026a). *Chỉ thị số 02/CT-TTg ngày 30 tháng 01 năm 2026 về tăng cường thực thi quyền sở hữu trí tuệ và xây dựng cơ sở dữ liệu quốc gia về tài sản trí tuệ*. Hà Nội.</w:t>
      </w:r>
    </w:p>
    <w:p>
      <w:pPr>
        <w:spacing w:before="40" w:after="80" w:line="312" w:lineRule="auto"/>
        <w:ind w:firstLine="720"/>
        <w:jc w:val="both"/>
      </w:pPr>
      <w:r>
        <w:rPr>
          <w:rFonts w:ascii="Times New Roman" w:hAnsi="Times New Roman"/>
          <w:b w:val="0"/>
          <w:i w:val="0"/>
          <w:color w:val="000000"/>
          <w:sz w:val="26"/>
        </w:rPr>
        <w:t>14. Thủ tướng Chính phủ. (2026b). *Quyết định số 1624/QĐ-TTg ngày 21 tháng 8 năm 2026 sửa đổi, bổ sung một số điều của Quyết định số 1068/QĐ-TTg về phát triển tài sản trí tuệ*. Hà Nội.</w:t>
      </w:r>
    </w:p>
    <w:p>
      <w:pPr>
        <w:spacing w:before="40" w:after="80" w:line="312" w:lineRule="auto"/>
        <w:ind w:firstLine="720"/>
        <w:jc w:val="both"/>
      </w:pPr>
      <w:r>
        <w:rPr>
          <w:rFonts w:ascii="Times New Roman" w:hAnsi="Times New Roman"/>
          <w:b w:val="0"/>
          <w:i w:val="0"/>
          <w:color w:val="000000"/>
          <w:sz w:val="26"/>
        </w:rPr>
        <w:t>15. Trường Đại học Thành Đô. (2021). *Quyết định số 213/QĐ-ĐHTĐ ngày 28 tháng 12 năm 2021 ban hành Quy chế hoạt động khoa học công nghệ*. Hà Nội.</w:t>
      </w:r>
    </w:p>
    <w:p>
      <w:pPr>
        <w:spacing w:before="40" w:after="80" w:line="312" w:lineRule="auto"/>
        <w:ind w:firstLine="720"/>
        <w:jc w:val="both"/>
      </w:pPr>
      <w:r>
        <w:rPr>
          <w:rFonts w:ascii="Times New Roman" w:hAnsi="Times New Roman"/>
          <w:b w:val="0"/>
          <w:i w:val="0"/>
          <w:color w:val="000000"/>
          <w:sz w:val="26"/>
        </w:rPr>
        <w:t>16. Trường Đại học Thành Đô. (2024a). *Kế hoạch số 07/KH-ĐHTĐ ngày 01 tháng 7 năm 2024 về hoạt động khoa học công nghệ giai đoạn 2024 - 2028*. Hà Nội.</w:t>
      </w:r>
    </w:p>
    <w:p>
      <w:pPr>
        <w:spacing w:before="40" w:after="80" w:line="312" w:lineRule="auto"/>
        <w:ind w:firstLine="720"/>
        <w:jc w:val="both"/>
      </w:pPr>
      <w:r>
        <w:rPr>
          <w:rFonts w:ascii="Times New Roman" w:hAnsi="Times New Roman"/>
          <w:b w:val="0"/>
          <w:i w:val="0"/>
          <w:color w:val="000000"/>
          <w:sz w:val="26"/>
        </w:rPr>
        <w:t>17. Trường Đại học Thành Đô. (2024b). *Quyết định số 217/QĐ-ĐHTĐ ngày 21 tháng 11 năm 2024 ban hành Quy chế quản trị tài sản trí tuệ*. Hà Nội.</w:t>
      </w:r>
    </w:p>
    <w:p>
      <w:pPr>
        <w:spacing w:before="40" w:after="80" w:line="312" w:lineRule="auto"/>
        <w:ind w:firstLine="720"/>
        <w:jc w:val="both"/>
      </w:pPr>
      <w:r>
        <w:rPr>
          <w:rFonts w:ascii="Times New Roman" w:hAnsi="Times New Roman"/>
          <w:b w:val="0"/>
          <w:i w:val="0"/>
          <w:color w:val="000000"/>
          <w:sz w:val="26"/>
        </w:rPr>
        <w:t>18. Trường Đại học Thành Đô. (2025). *Điều lệ Quỹ Học bổng sau tiến sĩ Ngô Xuân Độ*. Hà Nội.</w:t>
      </w:r>
    </w:p>
    <w:p>
      <w:pPr>
        <w:spacing w:before="40" w:after="80" w:line="312" w:lineRule="auto"/>
        <w:ind w:firstLine="720"/>
        <w:jc w:val="both"/>
      </w:pPr>
      <w:r>
        <w:rPr>
          <w:rFonts w:ascii="Times New Roman" w:hAnsi="Times New Roman"/>
          <w:b w:val="0"/>
          <w:i w:val="0"/>
          <w:color w:val="000000"/>
          <w:sz w:val="26"/>
        </w:rPr>
        <w:t>19. Trường Đại học Thành Đô. (2026). *Quy chế chi tiêu nội bộ Trường Đại học Thành Đô* (Ban hành theo Nghị quyết số 02/NQ-HĐT-ĐHTĐ ngày 01 tháng 8 năm 2026). Hà Nội.</w:t>
      </w:r>
    </w:p>
    <w:p>
      <w:pPr>
        <w:spacing w:before="40" w:after="80" w:line="312" w:lineRule="auto"/>
        <w:ind w:firstLine="720"/>
        <w:jc w:val="both"/>
      </w:pPr>
      <w:r>
        <w:rPr>
          <w:rFonts w:ascii="Times New Roman" w:hAnsi="Times New Roman"/>
          <w:b w:val="0"/>
          <w:i w:val="0"/>
          <w:color w:val="000000"/>
          <w:sz w:val="26"/>
        </w:rPr>
        <w:t>20. Văn phòng Quốc hội. (2026). *Văn bản hợp nhất số 67/VBHN-VPQH ngày 23 tháng 3 năm 2026 hợp nhất Luật Sở hữu trí tuệ*. Hà Nội.</w:t>
      </w:r>
    </w:p>
    <w:p>
      <w:pPr>
        <w:spacing w:before="160" w:after="80" w:line="312" w:lineRule="auto"/>
        <w:ind w:firstLine="0"/>
        <w:jc w:val="both"/>
      </w:pPr>
      <w:r>
        <w:rPr>
          <w:rFonts w:ascii="Times New Roman" w:hAnsi="Times New Roman"/>
          <w:b/>
          <w:i/>
          <w:color w:val="000000"/>
          <w:sz w:val="26"/>
        </w:rPr>
        <w:t>B. Tài liệu tiếng Việt</w:t>
      </w:r>
    </w:p>
    <w:p>
      <w:pPr>
        <w:spacing w:before="40" w:after="80" w:line="312" w:lineRule="auto"/>
        <w:ind w:firstLine="720"/>
        <w:jc w:val="both"/>
      </w:pPr>
      <w:r>
        <w:rPr>
          <w:rFonts w:ascii="Times New Roman" w:hAnsi="Times New Roman"/>
          <w:b w:val="0"/>
          <w:i w:val="0"/>
          <w:color w:val="000000"/>
          <w:sz w:val="26"/>
        </w:rPr>
        <w:t>21. Cục Sở hữu trí tuệ. (2024). *Tài liệu tập huấn về sở hữu trí tuệ dành cho cán bộ các trường đại học, viện nghiên cứu*. Trung tâm Đào tạo Sở hữu trí tuệ, Hà Nội.</w:t>
      </w:r>
    </w:p>
    <w:p>
      <w:pPr>
        <w:spacing w:before="40" w:after="80" w:line="312" w:lineRule="auto"/>
        <w:ind w:firstLine="720"/>
        <w:jc w:val="both"/>
      </w:pPr>
      <w:r>
        <w:rPr>
          <w:rFonts w:ascii="Times New Roman" w:hAnsi="Times New Roman"/>
          <w:b w:val="0"/>
          <w:i w:val="0"/>
          <w:color w:val="000000"/>
          <w:sz w:val="26"/>
        </w:rPr>
        <w:t>22. Cục Sở hữu trí tuệ, &amp; Bộ Khoa học và Công nghệ. (2024). *Sở hữu trí tuệ: Thực trạng và thách thức đối với các cơ sở giáo dục đại học Việt Nam*. Kỷ yếu hội thảo khoa học quốc gia, Hà Nội.</w:t>
      </w:r>
    </w:p>
    <w:p>
      <w:pPr>
        <w:spacing w:before="40" w:after="80" w:line="312" w:lineRule="auto"/>
        <w:ind w:firstLine="720"/>
        <w:jc w:val="both"/>
      </w:pPr>
      <w:r>
        <w:rPr>
          <w:rFonts w:ascii="Times New Roman" w:hAnsi="Times New Roman"/>
          <w:b w:val="0"/>
          <w:i w:val="0"/>
          <w:color w:val="000000"/>
          <w:sz w:val="26"/>
        </w:rPr>
        <w:t>23. Lê, T. T. H., &amp; Nguyễn, T. K. (2019). Quản trị tài sản trí tuệ ở các trường đại học của Việt Nam. *Tạp chí Khoa học Đại học Quốc gia Hà Nội: Nghiên cứu Chính sách và Quản lý*, 35(3), 15-26.</w:t>
      </w:r>
    </w:p>
    <w:p>
      <w:pPr>
        <w:spacing w:before="40" w:after="80" w:line="312" w:lineRule="auto"/>
        <w:ind w:firstLine="720"/>
        <w:jc w:val="both"/>
      </w:pPr>
      <w:r>
        <w:rPr>
          <w:rFonts w:ascii="Times New Roman" w:hAnsi="Times New Roman"/>
          <w:b w:val="0"/>
          <w:i w:val="0"/>
          <w:color w:val="000000"/>
          <w:sz w:val="26"/>
        </w:rPr>
        <w:t>24. Lê, T. T. T., &amp; Hoàng, Đ. T. (2021). Giải pháp quản trị tài sản trí tuệ tại trường đại học. *Tạp chí Khoa học Quản lý Giáo dục*, 29(1), 45-54.</w:t>
      </w:r>
    </w:p>
    <w:p>
      <w:pPr>
        <w:spacing w:before="40" w:after="80" w:line="312" w:lineRule="auto"/>
        <w:ind w:firstLine="720"/>
        <w:jc w:val="both"/>
      </w:pPr>
      <w:r>
        <w:rPr>
          <w:rFonts w:ascii="Times New Roman" w:hAnsi="Times New Roman"/>
          <w:b w:val="0"/>
          <w:i w:val="0"/>
          <w:color w:val="000000"/>
          <w:sz w:val="26"/>
        </w:rPr>
        <w:t>25. Nguyễn, M. H. T. (2025). Quản trị tài sản trí tuệ tại các cơ sở giáo dục đại học: Cơ hội và thách thức trong bối cảnh tự chủ. *Tạp chí Kinh tế và Quản lý*, 48(2), 62-71.</w:t>
      </w:r>
    </w:p>
    <w:p>
      <w:pPr>
        <w:spacing w:before="40" w:after="80" w:line="312" w:lineRule="auto"/>
        <w:ind w:firstLine="720"/>
        <w:jc w:val="both"/>
      </w:pPr>
      <w:r>
        <w:rPr>
          <w:rFonts w:ascii="Times New Roman" w:hAnsi="Times New Roman"/>
          <w:b w:val="0"/>
          <w:i w:val="0"/>
          <w:color w:val="000000"/>
          <w:sz w:val="26"/>
        </w:rPr>
        <w:t>26. Phạm, T. H. (2019). Quản lý hoạt động sở hữu trí tuệ ở trường đại học. *Tạp chí Khoa học Quản lý Giáo dục*, 2(22), 20-28.</w:t>
      </w:r>
    </w:p>
    <w:p>
      <w:pPr>
        <w:spacing w:before="40" w:after="80" w:line="312" w:lineRule="auto"/>
        <w:ind w:firstLine="720"/>
        <w:jc w:val="both"/>
      </w:pPr>
      <w:r>
        <w:rPr>
          <w:rFonts w:ascii="Times New Roman" w:hAnsi="Times New Roman"/>
          <w:b w:val="0"/>
          <w:i w:val="0"/>
          <w:color w:val="000000"/>
          <w:sz w:val="26"/>
        </w:rPr>
        <w:t>27. Phạm, T. T. H., &amp; Nguyễn, T. H. (2018). Mô hình quản lý sở hữu trí tuệ ở trường đại học - Bài học kinh nghiệm từ Đại học Bách khoa Hà Nội. *Tạp chí Khoa học và Công nghệ Việt Nam*, 60(9), 18-24.</w:t>
      </w:r>
    </w:p>
    <w:p>
      <w:pPr>
        <w:spacing w:before="40" w:after="80" w:line="312" w:lineRule="auto"/>
        <w:ind w:firstLine="720"/>
        <w:jc w:val="both"/>
      </w:pPr>
      <w:r>
        <w:rPr>
          <w:rFonts w:ascii="Times New Roman" w:hAnsi="Times New Roman"/>
          <w:b w:val="0"/>
          <w:i w:val="0"/>
          <w:color w:val="000000"/>
          <w:sz w:val="26"/>
        </w:rPr>
        <w:t>28. Tổ chức Sở hữu trí tuệ thế giới. (2020). *Sở hữu trí tuệ là gì?* (Tài liệu phát hành số 450). Văn phòng WIPO tại Việt Nam, Hà Nội.</w:t>
      </w:r>
    </w:p>
    <w:p>
      <w:pPr>
        <w:spacing w:before="40" w:after="80" w:line="312" w:lineRule="auto"/>
        <w:ind w:firstLine="720"/>
        <w:jc w:val="both"/>
      </w:pPr>
      <w:r>
        <w:rPr>
          <w:rFonts w:ascii="Times New Roman" w:hAnsi="Times New Roman"/>
          <w:b w:val="0"/>
          <w:i w:val="0"/>
          <w:color w:val="000000"/>
          <w:sz w:val="26"/>
        </w:rPr>
        <w:t>29. Võ, N. H. P. (2025). Quyền của chủ thể không giữ quyền tài sản đối với các tác phẩm hình thành trong nhà trường, kinh nghiệm quốc tế và giải pháp cho Việt Nam. *Tạp chí Pháp luật và Thực tiễn*, 14(4), 38-49.</w:t>
      </w:r>
    </w:p>
    <w:p>
      <w:pPr>
        <w:spacing w:before="160" w:after="80" w:line="312" w:lineRule="auto"/>
        <w:ind w:firstLine="0"/>
        <w:jc w:val="both"/>
      </w:pPr>
      <w:r>
        <w:rPr>
          <w:rFonts w:ascii="Times New Roman" w:hAnsi="Times New Roman"/>
          <w:b/>
          <w:i/>
          <w:color w:val="000000"/>
          <w:sz w:val="26"/>
        </w:rPr>
        <w:t>C. Tài liệu tiếng nước ngoài</w:t>
      </w:r>
    </w:p>
    <w:p>
      <w:pPr>
        <w:spacing w:before="40" w:after="80" w:line="312" w:lineRule="auto"/>
        <w:ind w:firstLine="720"/>
        <w:jc w:val="both"/>
      </w:pPr>
      <w:r>
        <w:rPr>
          <w:rFonts w:ascii="Times New Roman" w:hAnsi="Times New Roman"/>
          <w:b w:val="0"/>
          <w:i w:val="0"/>
          <w:color w:val="000000"/>
          <w:sz w:val="26"/>
        </w:rPr>
        <w:t>30. Bradley, S. R., Hayter, C. S., &amp; Link, A. N. (2013). Models and methods of university technology transfer. *Foundations and Trends in Entrepreneurship*, 9(6), 571-650.</w:t>
      </w:r>
    </w:p>
    <w:p>
      <w:pPr>
        <w:spacing w:before="40" w:after="80" w:line="312" w:lineRule="auto"/>
        <w:ind w:firstLine="720"/>
        <w:jc w:val="both"/>
      </w:pPr>
      <w:r>
        <w:rPr>
          <w:rFonts w:ascii="Times New Roman" w:hAnsi="Times New Roman"/>
          <w:b w:val="0"/>
          <w:i w:val="0"/>
          <w:color w:val="000000"/>
          <w:sz w:val="26"/>
        </w:rPr>
        <w:t>31. Bstieler, L., Hemmert, M., &amp; Barczak, G. (2015). Trust formation in university-industry collaborations in the US biotechnology sector. *Journal of Product Innovation Management*, 32(1), 100-112.</w:t>
      </w:r>
    </w:p>
    <w:p>
      <w:pPr>
        <w:spacing w:before="40" w:after="80" w:line="312" w:lineRule="auto"/>
        <w:ind w:firstLine="720"/>
        <w:jc w:val="both"/>
      </w:pPr>
      <w:r>
        <w:rPr>
          <w:rFonts w:ascii="Times New Roman" w:hAnsi="Times New Roman"/>
          <w:b w:val="0"/>
          <w:i w:val="0"/>
          <w:color w:val="000000"/>
          <w:sz w:val="26"/>
        </w:rPr>
        <w:t>32. Bulsara, H. P., &amp; Vaghela, P. S. (2025). The role of universities in intellectual property-driven technology transfer: Fostering innovation and sustainable growth. *International Journal of Innovation Studies*, 9(2), 145-159.</w:t>
      </w:r>
    </w:p>
    <w:p>
      <w:pPr>
        <w:spacing w:before="40" w:after="80" w:line="312" w:lineRule="auto"/>
        <w:ind w:firstLine="720"/>
        <w:jc w:val="both"/>
      </w:pPr>
      <w:r>
        <w:rPr>
          <w:rFonts w:ascii="Times New Roman" w:hAnsi="Times New Roman"/>
          <w:b w:val="0"/>
          <w:i w:val="0"/>
          <w:color w:val="000000"/>
          <w:sz w:val="26"/>
        </w:rPr>
        <w:t>33. Etzkowitz, H. (2003). Research groups as 'quasi-firms': The invention of the entrepreneurial university. *Research Policy*, 32(1), 109-121.</w:t>
      </w:r>
    </w:p>
    <w:p>
      <w:pPr>
        <w:spacing w:before="40" w:after="80" w:line="312" w:lineRule="auto"/>
        <w:ind w:firstLine="720"/>
        <w:jc w:val="both"/>
      </w:pPr>
      <w:r>
        <w:rPr>
          <w:rFonts w:ascii="Times New Roman" w:hAnsi="Times New Roman"/>
          <w:b w:val="0"/>
          <w:i w:val="0"/>
          <w:color w:val="000000"/>
          <w:sz w:val="26"/>
        </w:rPr>
        <w:t>34. Fisher, W. (2001). Theories of intellectual property. In S. R. Munzer (Ed.), *New essays in the legal and political theory of property* (pp. 168-199). Cambridge University Press.</w:t>
      </w:r>
    </w:p>
    <w:p>
      <w:pPr>
        <w:spacing w:before="40" w:after="80" w:line="312" w:lineRule="auto"/>
        <w:ind w:firstLine="720"/>
        <w:jc w:val="both"/>
      </w:pPr>
      <w:r>
        <w:rPr>
          <w:rFonts w:ascii="Times New Roman" w:hAnsi="Times New Roman"/>
          <w:b w:val="0"/>
          <w:i w:val="0"/>
          <w:color w:val="000000"/>
          <w:sz w:val="26"/>
        </w:rPr>
        <w:t>35. Goldfarb, B., &amp; Henrekson, M. (2003). Bottom-up versus top-down policies towards the commercialization of university intellectual property. *Research Policy*, 32(4), 639-658.</w:t>
      </w:r>
    </w:p>
    <w:p>
      <w:pPr>
        <w:spacing w:before="40" w:after="80" w:line="312" w:lineRule="auto"/>
        <w:ind w:firstLine="720"/>
        <w:jc w:val="both"/>
      </w:pPr>
      <w:r>
        <w:rPr>
          <w:rFonts w:ascii="Times New Roman" w:hAnsi="Times New Roman"/>
          <w:b w:val="0"/>
          <w:i w:val="0"/>
          <w:color w:val="000000"/>
          <w:sz w:val="26"/>
        </w:rPr>
        <w:t>36. Guan, W. (2014). *Intellectual property: Concept, history, and contentions*. In Intellectual property theory and practice (pp. 23-58). Springer.</w:t>
      </w:r>
    </w:p>
    <w:p>
      <w:pPr>
        <w:spacing w:before="40" w:after="80" w:line="312" w:lineRule="auto"/>
        <w:ind w:firstLine="720"/>
        <w:jc w:val="both"/>
      </w:pPr>
      <w:r>
        <w:rPr>
          <w:rFonts w:ascii="Times New Roman" w:hAnsi="Times New Roman"/>
          <w:b w:val="0"/>
          <w:i w:val="0"/>
          <w:color w:val="000000"/>
          <w:sz w:val="26"/>
        </w:rPr>
        <w:t>37. Holgersson, M. (2021). The management and commercialisation of intellectual property in European universities. *European Journal of Innovation Management*, 24(5), 1421-1440.</w:t>
      </w:r>
    </w:p>
    <w:p>
      <w:pPr>
        <w:spacing w:before="40" w:after="80" w:line="312" w:lineRule="auto"/>
        <w:ind w:firstLine="720"/>
        <w:jc w:val="both"/>
      </w:pPr>
      <w:r>
        <w:rPr>
          <w:rFonts w:ascii="Times New Roman" w:hAnsi="Times New Roman"/>
          <w:b w:val="0"/>
          <w:i w:val="0"/>
          <w:color w:val="000000"/>
          <w:sz w:val="26"/>
        </w:rPr>
        <w:t>38. Holgersson, M., &amp; Aaboen, L. (2019). A literature review of intellectual property management in technology transfer offices. *The Journal of Technology Transfer*, 44(3), 856-887.</w:t>
      </w:r>
    </w:p>
    <w:p>
      <w:pPr>
        <w:spacing w:before="40" w:after="80" w:line="312" w:lineRule="auto"/>
        <w:ind w:firstLine="720"/>
        <w:jc w:val="both"/>
      </w:pPr>
      <w:r>
        <w:rPr>
          <w:rFonts w:ascii="Times New Roman" w:hAnsi="Times New Roman"/>
          <w:b w:val="0"/>
          <w:i w:val="0"/>
          <w:color w:val="000000"/>
          <w:sz w:val="26"/>
        </w:rPr>
        <w:t>39. Maresova, P., Stemberkova, R., &amp; Fadeyi, O. (2019). Models, processes, and roles of universities in technology transfer. *Economies*, 7(4), 105.</w:t>
      </w:r>
    </w:p>
    <w:p>
      <w:pPr>
        <w:spacing w:before="40" w:after="80" w:line="312" w:lineRule="auto"/>
        <w:ind w:firstLine="720"/>
        <w:jc w:val="both"/>
      </w:pPr>
      <w:r>
        <w:rPr>
          <w:rFonts w:ascii="Times New Roman" w:hAnsi="Times New Roman"/>
          <w:b w:val="0"/>
          <w:i w:val="0"/>
          <w:color w:val="000000"/>
          <w:sz w:val="26"/>
        </w:rPr>
        <w:t>40. O'Dwyer, M., Filieri, R., &amp; O'Malley, L. (2023). Establishing successful university-industry collaborations: Barriers and enablers. *Technovation*, 120, 102627.</w:t>
      </w:r>
    </w:p>
    <w:p>
      <w:pPr>
        <w:spacing w:before="40" w:after="80" w:line="312" w:lineRule="auto"/>
        <w:ind w:firstLine="720"/>
        <w:jc w:val="both"/>
      </w:pPr>
      <w:r>
        <w:rPr>
          <w:rFonts w:ascii="Times New Roman" w:hAnsi="Times New Roman"/>
          <w:b w:val="0"/>
          <w:i w:val="0"/>
          <w:color w:val="000000"/>
          <w:sz w:val="26"/>
        </w:rPr>
        <w:t>41. Öztürk, Ö. (2026). Technology Transfer Offices in the Management of Intellectual and Industrial Property Rights in Turkish Universities. *Higher Education Policy*, 39(1), 89-112.</w:t>
      </w:r>
    </w:p>
    <w:p>
      <w:pPr>
        <w:spacing w:before="40" w:after="80" w:line="312" w:lineRule="auto"/>
        <w:ind w:firstLine="720"/>
        <w:jc w:val="both"/>
      </w:pPr>
      <w:r>
        <w:rPr>
          <w:rFonts w:ascii="Times New Roman" w:hAnsi="Times New Roman"/>
          <w:b w:val="0"/>
          <w:i w:val="0"/>
          <w:color w:val="000000"/>
          <w:sz w:val="26"/>
        </w:rPr>
        <w:t>42. Pandey, R., Agrawal, A., &amp; Majumdar, S. K. (2025). Strategies for Technology Transfer of Intellectual Property Rights in Higher Education Institutions. *Journal of Intellectual Property Rights*, 30(1), 45-56.</w:t>
      </w:r>
    </w:p>
    <w:p>
      <w:pPr>
        <w:spacing w:before="40" w:after="80" w:line="312" w:lineRule="auto"/>
        <w:ind w:firstLine="720"/>
        <w:jc w:val="both"/>
      </w:pPr>
      <w:r>
        <w:rPr>
          <w:rFonts w:ascii="Times New Roman" w:hAnsi="Times New Roman"/>
          <w:b w:val="0"/>
          <w:i w:val="0"/>
          <w:color w:val="000000"/>
          <w:sz w:val="26"/>
        </w:rPr>
        <w:t>43. Perkmann, M., Tartari, V., McKelvey, M., Autio, E., Broström, A., D'Este, P., Fini, R., Geuna, A., Grimaldi, R., &amp; Hughes, A. (2013). Academic engagement and commercialisation: A review of the literature on university-industry relations. *Research Policy*, 42(2), 423-442.</w:t>
      </w:r>
    </w:p>
    <w:p>
      <w:pPr>
        <w:spacing w:before="40" w:after="80" w:line="312" w:lineRule="auto"/>
        <w:ind w:firstLine="720"/>
        <w:jc w:val="both"/>
      </w:pPr>
      <w:r>
        <w:rPr>
          <w:rFonts w:ascii="Times New Roman" w:hAnsi="Times New Roman"/>
          <w:b w:val="0"/>
          <w:i w:val="0"/>
          <w:color w:val="000000"/>
          <w:sz w:val="26"/>
        </w:rPr>
        <w:t>44. Rocha, A., Cruz-Cunha, M. M., &amp; Romero, F. (2023). University technology transfer: Assessment of invention disclosures by technology transfer offices. *Technological Forecasting and Social Change*, 188, 122289.</w:t>
      </w:r>
    </w:p>
    <w:p>
      <w:pPr>
        <w:spacing w:before="40" w:after="80" w:line="312" w:lineRule="auto"/>
        <w:ind w:firstLine="720"/>
        <w:jc w:val="both"/>
      </w:pPr>
      <w:r>
        <w:rPr>
          <w:rFonts w:ascii="Times New Roman" w:hAnsi="Times New Roman"/>
          <w:b w:val="0"/>
          <w:i w:val="0"/>
          <w:color w:val="000000"/>
          <w:sz w:val="26"/>
        </w:rPr>
        <w:t>45. Shane, S. (2004). Encouraging university entrepreneurship? The effect of the Bayh-Dole Act on university patenting in the United States. *Journal of Business Venturing*, 19(1), 127-151.</w:t>
      </w:r>
    </w:p>
    <w:p>
      <w:pPr>
        <w:spacing w:before="40" w:after="80" w:line="312" w:lineRule="auto"/>
        <w:ind w:firstLine="720"/>
        <w:jc w:val="both"/>
      </w:pPr>
      <w:r>
        <w:rPr>
          <w:rFonts w:ascii="Times New Roman" w:hAnsi="Times New Roman"/>
          <w:b w:val="0"/>
          <w:i w:val="0"/>
          <w:color w:val="000000"/>
          <w:sz w:val="26"/>
        </w:rPr>
        <w:t>46. Siegel, D. S., Veugelers, R., &amp; Wright, M. (2007). Technology transfer offices and commercialization of university intellectual property: Performance and policy implications. *Oxford Review of Economic Policy*, 23(4), 640-660.</w:t>
      </w:r>
    </w:p>
    <w:p>
      <w:pPr>
        <w:spacing w:before="40" w:after="80" w:line="312" w:lineRule="auto"/>
        <w:ind w:firstLine="720"/>
        <w:jc w:val="both"/>
      </w:pPr>
      <w:r>
        <w:rPr>
          <w:rFonts w:ascii="Times New Roman" w:hAnsi="Times New Roman"/>
          <w:b w:val="0"/>
          <w:i w:val="0"/>
          <w:color w:val="000000"/>
          <w:sz w:val="26"/>
        </w:rPr>
        <w:t>47. Teece, D. J. (2018). Profiting from innovation in the digital economy: Enabling technologies, standards, and licensing models. *Research Policy*, 47(8), 1367-1387.</w:t>
      </w:r>
    </w:p>
    <w:p>
      <w:pPr>
        <w:spacing w:before="40" w:after="80" w:line="312" w:lineRule="auto"/>
        <w:ind w:firstLine="720"/>
        <w:jc w:val="both"/>
      </w:pPr>
      <w:r>
        <w:rPr>
          <w:rFonts w:ascii="Times New Roman" w:hAnsi="Times New Roman"/>
          <w:b w:val="0"/>
          <w:i w:val="0"/>
          <w:color w:val="000000"/>
          <w:sz w:val="26"/>
        </w:rPr>
        <w:t>48. Thursby, J. G., &amp; Kemp, S. (2002). Growth and productive efficiency of university intellectual property licensing. *Research Policy*, 31(1), 109-124.</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