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2</w:t>
      </w:r>
    </w:p>
    <w:p w14:paraId="6D6BC851" w14:textId="77777777" w:rsidR="005B561C" w:rsidRPr="000F7C87" w:rsidRDefault="00000000">
      <w:pPr>
        <w:spacing w:after="80"/>
        <w:ind w:firstLine="0"/>
        <w:jc w:val="center"/>
        <w:rPr>
          <w:szCs w:val="26"/>
        </w:rPr>
      </w:pPr>
      <w:r w:rsidRPr="000F7C87">
        <w:rPr>
          <w:b/>
          <w:szCs w:val="26"/>
        </w:rPr>
        <w:t>THỰC TRẠNG QUẢN LÝ QUYỀN SỞ HỮU TRÍ TUỆ</w:t>
      </w:r>
    </w:p>
    <w:p w14:paraId="5AF0BBF7" w14:textId="77777777" w:rsidR="005B561C" w:rsidRPr="000F7C87" w:rsidRDefault="00000000">
      <w:pPr>
        <w:spacing w:after="280"/>
        <w:ind w:firstLine="0"/>
        <w:jc w:val="center"/>
        <w:rPr>
          <w:szCs w:val="26"/>
        </w:rPr>
      </w:pP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cantSplit/>
          <w:tblHeader/>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cantSplit/>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cantSplit/>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cantSplit/>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cantSplit/>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cantSplit/>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cantSplit/>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cantSplit/>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cantSplit/>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cantSplit/>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năng lực chuyên môn và thẩm quyền xử lý hồ sơ sở hữu trí tuệ nằm ở hai khối khác nhau. Ba viện đào tạo chiếm 57,9% nhân sự nhưng có 81 trên 94 người trình độ tiến sĩ, tức 86,2%, và 22 trên 25 người có học hàm. Ngược lại, hai trung tâm thuộc khối Quản trị và Dịch vụ, nơi đang thực hiện việc xác lập quyền đối với nhãn hiệu và giữ đầu mối pháp chế, có 29 nhân sự, không có tiến sĩ và 79,3% có trình độ đại học trở xuống. Phòng Khoa học Công nghệ, đơn vị đầu mối theo quy chế, có 2 nhân sự trình độ thạc sĩ, chức danh trưởng phòng do Hiệu trưởng kiêm nhiệm và không có người được đào tạo về sở hữu trí tuệ. Người có khả năng nhận diện kết quả có thể bảo hộ ở khối Đào tạo và Nghiên cứu, còn người xử lý thủ tục ở khối có năng lực chuyên môn khoa học mỏng hơn; khoảng cách này là tiền đề của các điểm nghẽn về tổ chức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cantSplit/>
          <w:tblHeader/>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cantSplit/>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cantSplit/>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cantSplit/>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cantSplit/>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cantSplit/>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cantSplit/>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cantSplit/>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cantSplit/>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cantSplit/>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Số liệu bài báo, giáo trình và đề tài cấp cơ sở giai đoạn 2021 - 2023 khớp với số liệu tổng kết tại Kế hoạch số 07/KH-ĐHTĐ ngày 01 tháng 7 năm 2024.</w:t>
      </w:r>
    </w:p>
    <w:p w14:paraId="48E95726" w14:textId="77777777" w:rsidR="005B561C" w:rsidRPr="000F7C87" w:rsidRDefault="00000000">
      <w:pPr>
        <w:rPr>
          <w:szCs w:val="26"/>
        </w:rPr>
      </w:pPr>
      <w:r w:rsidRPr="000F7C87">
        <w:rPr>
          <w:szCs w:val="26"/>
        </w:rPr>
        <w:t>Con số 582 là số bản ghi, chưa phải số sản phẩm độc lập. So khớp tên chủ nhiệm đề tài với danh sách tác giả trong ba năm kể từ năm nghiệm thu cho thấy 107 trên 405 bài báo, tức 26,4%, gắn với ít nhất một đề tài và đã được tính hai lần; quy mô thực tế vào khoảng 475 sản phẩm độc lập.</w:t>
      </w:r>
    </w:p>
    <w:p w14:paraId="478B6AC7" w14:textId="77777777" w:rsidR="005B561C" w:rsidRPr="000F7C87" w:rsidRDefault="00000000">
      <w:pPr>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sản lượng tăng từ 56 sản phẩm năm 2021 lên 192 sản phẩm năm 2025, bình quân 36,1% một năm, và mức tăng này gần như hoàn toàn đến từ bài báo. Bài báo tăng từ 23 lên 161 bài, gấp 7,0 lần, nâng tỷ trọng từ 41,1% lên 83,9% sản lượng;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cùng một đội ngũ trong cùng giai đoạn đã tạo được bước nhảy về công bố nhưng không tạo được bước nhảy tương ứng về đơn đăng ký sở hữu công nghiệp; khoảng trống vì vậy không nằm chủ yếu ở năng lực nghiên cứu mà ở cách thiết kế động lực và quy trình, được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Đây là nguồn tài sản trí tuệ tiềm năng lớn nhất của giai đoạn tới, với điều kiện quy trình rà soát được chuẩn bị trước thời điểm nghiệm thu.</w:t>
      </w:r>
    </w:p>
    <w:p w14:paraId="48E95726" w14:textId="77777777" w:rsidR="005B561C" w:rsidRPr="000F7C87" w:rsidRDefault="00000000">
      <w:pPr>
        <w:rPr>
          <w:szCs w:val="26"/>
        </w:rPr>
      </w:pPr>
      <w:r w:rsidRPr="000F7C87">
        <w:rPr>
          <w:szCs w:val="26"/>
        </w:rPr>
        <w:t>Năng lực công bố phân bố không đều. So khớp họ tên tác giả với danh sách nhân sự cho thấy chỉ 88 trên 247 nhân sự có họ tên đầy đủ, tức 35,6%, đứng tên ít nhất một bài báo trong năm năm; hệ số Gini về số bài trên toàn bộ nhân sự là 0,829, và trong nhóm có công bố, 10% người dẫn đầu chiếm 39,3% số lượt đứng tên. Viện Y - Dược có số bài bình quân thấp nhất trong ba viện, 0,79 bài một nhân sự, nhưng lại là nơi phát sinh phần lớn sản phẩm đề tài đủ điều kiện xác lập quyền và cả hai đơn sáng chế. Số lượng công bố và khả năng hình thành tài sản trí tuệ vì vậy là hai đại lượng khác nhau, cần được theo dõi bằng hai thước đo riêng.</w:t>
      </w:r>
    </w:p>
    <w:p w14:paraId="0DE297E1" w14:textId="77777777" w:rsidR="005B561C" w:rsidRPr="000F7C87" w:rsidRDefault="00000000">
      <w:pPr>
        <w:keepNext/>
        <w:spacing w:before="200" w:after="100"/>
        <w:ind w:firstLine="0"/>
        <w:outlineLvl w:val="2"/>
        <w:rPr>
          <w:szCs w:val="26"/>
        </w:rPr>
      </w:pPr>
      <w:r w:rsidRPr="000F7C87">
        <w:rPr>
          <w:b/>
          <w:szCs w:val="26"/>
        </w:rPr>
        <w:t>2.1.3. Yêu cầu của Chuẩn cơ sở giáo dục đại học mới đối với hoạt động sở hữu trí tuệ</w:t>
      </w:r>
    </w:p>
    <w:p w14:paraId="48E95726" w14:textId="77777777" w:rsidR="005B561C" w:rsidRPr="000F7C87" w:rsidRDefault="00000000">
      <w:pPr>
        <w:rPr>
          <w:szCs w:val="26"/>
        </w:rPr>
      </w:pPr>
      <w:r w:rsidRPr="000F7C87">
        <w:rPr>
          <w:szCs w:val="26"/>
        </w:rPr>
        <w:t>Ngày 30 tháng 9 năm 2026, Bộ trưởng Bộ Giáo dục và Đào tạo ban hành Thông tư số 83/2026/TT-BGDĐT quy định Chuẩn cơ sở giáo dục đại học, có hiệu lực từ ngày 15 tháng 11 năm 2026 và thay thế Thông tư số 01/2024/TT-BGDĐT. Đây là thước đo bắt buộc mà Nhà trường được đánh giá hằng năm qua dữ liệu trên HEMIS. Những thay đổi liên quan đến sở hữu trí tuệ và vị trí hiện tại của Nhà trường được trình bày tại Bảng 2.3.</w:t>
      </w:r>
    </w:p>
    <w:p w14:paraId="478B6AC7" w14:textId="77777777" w:rsidR="005B561C" w:rsidRPr="000F7C87" w:rsidRDefault="00000000">
      <w:pPr>
        <w:keepNext/>
        <w:spacing w:before="160" w:after="80"/>
        <w:ind w:firstLine="0"/>
        <w:jc w:val="center"/>
        <w:rPr>
          <w:szCs w:val="26"/>
        </w:rPr>
      </w:pPr>
      <w:r w:rsidRPr="000F7C87">
        <w:rPr>
          <w:b/>
          <w:szCs w:val="26"/>
        </w:rPr>
        <w:t>Bảng 2.3. Thay đổi của Chuẩn cơ sở giáo dục đại học liên quan đến sở hữu trí tuệ và vị trí của Nhà trường</w:t>
      </w:r>
    </w:p>
    <w:tbl>
      <w:tblPr>
        <w:tblStyle w:val="TableGrid"/>
        <w:tblW w:w="0" w:type="auto"/>
        <w:jc w:val="center"/>
        <w:tblLook w:val="04A0" w:firstRow="1" w:lastRow="0" w:firstColumn="1" w:lastColumn="0" w:noHBand="0" w:noVBand="1"/>
      </w:tblPr>
      <w:tblGrid>
        <w:gridCol w:w="1593"/>
        <w:gridCol w:w="2083"/>
        <w:gridCol w:w="2819"/>
        <w:gridCol w:w="2573"/>
      </w:tblGrid>
      <w:tr>
        <w:trPr>
          <w:cantSplit/>
          <w:tblHeader/>
        </w:trPr>
        <w:tc>
          <w:tcPr>
            <w:tcW w:w="1593" w:type="dxa"/>
            <w:shd w:val="clear" w:color="auto" w:fill="DCE8F7"/>
            <w:vAlign w:val="center"/>
          </w:tcPr>
          <w:p>
            <w:pPr>
              <w:spacing w:before="20" w:after="20" w:line="252" w:lineRule="auto"/>
              <w:ind w:firstLine="0"/>
              <w:jc w:val="center"/>
            </w:pPr>
            <w:r>
              <w:rPr>
                <w:b/>
                <w:sz w:val="24"/>
              </w:rPr>
              <w:t xml:space="preserve">Nội dung</w:t>
            </w:r>
          </w:p>
        </w:tc>
        <w:tc>
          <w:tcPr>
            <w:tcW w:w="2083" w:type="dxa"/>
            <w:shd w:val="clear" w:color="auto" w:fill="DCE8F7"/>
            <w:vAlign w:val="center"/>
          </w:tcPr>
          <w:p>
            <w:pPr>
              <w:spacing w:before="20" w:after="20" w:line="252" w:lineRule="auto"/>
              <w:ind w:firstLine="0"/>
              <w:jc w:val="center"/>
            </w:pPr>
            <w:r>
              <w:rPr>
                <w:b/>
                <w:sz w:val="24"/>
              </w:rPr>
              <w:t xml:space="preserve">Thông tư 01/2024/TT-BGDĐT</w:t>
            </w:r>
          </w:p>
        </w:tc>
        <w:tc>
          <w:tcPr>
            <w:tcW w:w="2819" w:type="dxa"/>
            <w:shd w:val="clear" w:color="auto" w:fill="DCE8F7"/>
            <w:vAlign w:val="center"/>
          </w:tcPr>
          <w:p>
            <w:pPr>
              <w:spacing w:before="20" w:after="20" w:line="252" w:lineRule="auto"/>
              <w:ind w:firstLine="0"/>
              <w:jc w:val="center"/>
            </w:pPr>
            <w:r>
              <w:rPr>
                <w:b/>
                <w:sz w:val="24"/>
              </w:rPr>
              <w:t xml:space="preserve">Thông tư 83/2026/TT-BGDĐT</w:t>
            </w:r>
          </w:p>
        </w:tc>
        <w:tc>
          <w:tcPr>
            <w:tcW w:w="2573" w:type="dxa"/>
            <w:shd w:val="clear" w:color="auto" w:fill="DCE8F7"/>
            <w:vAlign w:val="center"/>
          </w:tcPr>
          <w:p>
            <w:pPr>
              <w:spacing w:before="20" w:after="20" w:line="252" w:lineRule="auto"/>
              <w:ind w:firstLine="0"/>
              <w:jc w:val="center"/>
            </w:pPr>
            <w:r>
              <w:rPr>
                <w:b/>
                <w:sz w:val="24"/>
              </w:rPr>
              <w:t xml:space="preserve">Trường Đại học Thành Đô</w:t>
            </w:r>
          </w:p>
        </w:tc>
      </w:tr>
      <w:tr>
        <w:trPr>
          <w:cantSplit/>
        </w:trPr>
        <w:tc>
          <w:tcPr>
            <w:tcW w:w="1593" w:type="dxa"/>
            <w:vAlign w:val="center"/>
          </w:tcPr>
          <w:p>
            <w:pPr>
              <w:spacing w:before="20" w:after="20" w:line="252" w:lineRule="auto"/>
              <w:ind w:firstLine="0"/>
              <w:jc w:val="left"/>
            </w:pPr>
            <w:r>
              <w:rPr>
                <w:sz w:val="24"/>
              </w:rPr>
              <w:t xml:space="preserve">Văn bản quản trị nội bộ bắt buộc</w:t>
            </w:r>
          </w:p>
        </w:tc>
        <w:tc>
          <w:tcPr>
            <w:tcW w:w="2083" w:type="dxa"/>
            <w:vAlign w:val="center"/>
          </w:tcPr>
          <w:p>
            <w:pPr>
              <w:spacing w:before="20" w:after="20" w:line="252" w:lineRule="auto"/>
              <w:ind w:firstLine="0"/>
              <w:jc w:val="left"/>
            </w:pPr>
            <w:r>
              <w:rPr>
                <w:sz w:val="24"/>
              </w:rPr>
              <w:t xml:space="preserve">7 văn bản, không có quy định về sở hữu trí tuệ</w:t>
            </w:r>
          </w:p>
        </w:tc>
        <w:tc>
          <w:tcPr>
            <w:tcW w:w="2819" w:type="dxa"/>
            <w:vAlign w:val="center"/>
          </w:tcPr>
          <w:p>
            <w:pPr>
              <w:spacing w:before="20" w:after="20" w:line="252" w:lineRule="auto"/>
              <w:ind w:firstLine="0"/>
              <w:jc w:val="left"/>
            </w:pPr>
            <w:r>
              <w:rPr>
                <w:sz w:val="24"/>
              </w:rPr>
              <w:t xml:space="preserve">21 nội dung, trong đó nội dung 14 về hoạt động khoa học, công nghệ và đổi mới sáng tạo, nội dung 15 về sở hữu trí tuệ, liêm chính khoa học, liêm chính học thuật; phải đúng thẩm quyền và còn hiệu lực</w:t>
            </w:r>
          </w:p>
        </w:tc>
        <w:tc>
          <w:tcPr>
            <w:tcW w:w="2573" w:type="dxa"/>
            <w:vAlign w:val="center"/>
          </w:tcPr>
          <w:p>
            <w:pPr>
              <w:spacing w:before="20" w:after="20" w:line="252" w:lineRule="auto"/>
              <w:ind w:firstLine="0"/>
              <w:jc w:val="left"/>
            </w:pPr>
            <w:r>
              <w:rPr>
                <w:sz w:val="24"/>
              </w:rPr>
              <w:t xml:space="preserve">Có Quyết định 213 năm 2021 và Quyết định 217 năm 2024, hai văn bản chồng lấn về phân chia lợi ích; chưa có quy định về liêm chính khoa học, liêm chính học thuật</w:t>
            </w:r>
          </w:p>
        </w:tc>
      </w:tr>
      <w:tr>
        <w:trPr>
          <w:cantSplit/>
        </w:trPr>
        <w:tc>
          <w:tcPr>
            <w:tcW w:w="1593" w:type="dxa"/>
            <w:vAlign w:val="center"/>
          </w:tcPr>
          <w:p>
            <w:pPr>
              <w:spacing w:before="20" w:after="20" w:line="252" w:lineRule="auto"/>
              <w:ind w:firstLine="0"/>
              <w:jc w:val="left"/>
            </w:pPr>
            <w:r>
              <w:rPr>
                <w:sz w:val="24"/>
              </w:rPr>
              <w:t xml:space="preserve">Chỉ số hoạt động chính</w:t>
            </w:r>
          </w:p>
        </w:tc>
        <w:tc>
          <w:tcPr>
            <w:tcW w:w="2083" w:type="dxa"/>
            <w:vAlign w:val="center"/>
          </w:tcPr>
          <w:p>
            <w:pPr>
              <w:spacing w:before="20" w:after="20" w:line="252" w:lineRule="auto"/>
              <w:ind w:firstLine="0"/>
              <w:jc w:val="left"/>
            </w:pPr>
            <w:r>
              <w:rPr>
                <w:sz w:val="24"/>
              </w:rPr>
              <w:t xml:space="preserve">Ít nhất 50% chỉ số được cải thiện</w:t>
            </w:r>
          </w:p>
        </w:tc>
        <w:tc>
          <w:tcPr>
            <w:tcW w:w="2819" w:type="dxa"/>
            <w:vAlign w:val="center"/>
          </w:tcPr>
          <w:p>
            <w:pPr>
              <w:spacing w:before="20" w:after="20" w:line="252" w:lineRule="auto"/>
              <w:ind w:firstLine="0"/>
              <w:jc w:val="left"/>
            </w:pPr>
            <w:r>
              <w:rPr>
                <w:sz w:val="24"/>
              </w:rPr>
              <w:t xml:space="preserve">Ít nhất 50% chỉ số đạt hoặc vượt mục tiêu kế hoạch năm</w:t>
            </w:r>
          </w:p>
        </w:tc>
        <w:tc>
          <w:tcPr>
            <w:tcW w:w="2573" w:type="dxa"/>
            <w:vAlign w:val="center"/>
          </w:tcPr>
          <w:p>
            <w:pPr>
              <w:spacing w:before="20" w:after="20" w:line="252" w:lineRule="auto"/>
              <w:ind w:firstLine="0"/>
              <w:jc w:val="left"/>
            </w:pPr>
            <w:r>
              <w:rPr>
                <w:sz w:val="24"/>
              </w:rPr>
              <w:t xml:space="preserve">7 trên 10 chỉ tiêu khoa học công nghệ của Kế hoạch 07/KH-ĐHTĐ đạt trong hai năm 2024 - 2025; chỉ tiêu chuyển giao công nghệ không đạt</w:t>
            </w:r>
          </w:p>
        </w:tc>
      </w:tr>
      <w:tr>
        <w:trPr>
          <w:cantSplit/>
        </w:trPr>
        <w:tc>
          <w:tcPr>
            <w:tcW w:w="1593" w:type="dxa"/>
            <w:vAlign w:val="center"/>
          </w:tcPr>
          <w:p>
            <w:pPr>
              <w:spacing w:before="20" w:after="20" w:line="252" w:lineRule="auto"/>
              <w:ind w:firstLine="0"/>
              <w:jc w:val="left"/>
            </w:pPr>
            <w:r>
              <w:rPr>
                <w:sz w:val="24"/>
              </w:rPr>
              <w:t xml:space="preserve">Dữ liệu trên HEMIS</w:t>
            </w:r>
          </w:p>
        </w:tc>
        <w:tc>
          <w:tcPr>
            <w:tcW w:w="2083" w:type="dxa"/>
            <w:vAlign w:val="center"/>
          </w:tcPr>
          <w:p>
            <w:pPr>
              <w:spacing w:before="20" w:after="20" w:line="252" w:lineRule="auto"/>
              <w:ind w:firstLine="0"/>
              <w:jc w:val="left"/>
            </w:pPr>
            <w:r>
              <w:rPr>
                <w:sz w:val="24"/>
              </w:rPr>
              <w:t xml:space="preserve">Dữ liệu kết quả hoạt động cập nhật trên HEMIS</w:t>
            </w:r>
          </w:p>
        </w:tc>
        <w:tc>
          <w:tcPr>
            <w:tcW w:w="2819" w:type="dxa"/>
            <w:vAlign w:val="center"/>
          </w:tcPr>
          <w:p>
            <w:pPr>
              <w:spacing w:before="20" w:after="20" w:line="252" w:lineRule="auto"/>
              <w:ind w:firstLine="0"/>
              <w:jc w:val="left"/>
            </w:pPr>
            <w:r>
              <w:rPr>
                <w:sz w:val="24"/>
              </w:rPr>
              <w:t xml:space="preserve">Giữ yêu cầu, bổ sung yêu cầu đúng định dạng, đúng thời hạn</w:t>
            </w:r>
          </w:p>
        </w:tc>
        <w:tc>
          <w:tcPr>
            <w:tcW w:w="2573" w:type="dxa"/>
            <w:vAlign w:val="center"/>
          </w:tcPr>
          <w:p>
            <w:pPr>
              <w:spacing w:before="20" w:after="20" w:line="252" w:lineRule="auto"/>
              <w:ind w:firstLine="0"/>
              <w:jc w:val="left"/>
            </w:pPr>
            <w:r>
              <w:rPr>
                <w:sz w:val="24"/>
              </w:rPr>
              <w:t xml:space="preserve">Hệ thống thống kê khoa học công nghệ chưa có danh mục tài sản trí tuệ</w:t>
            </w:r>
          </w:p>
        </w:tc>
      </w:tr>
      <w:tr>
        <w:trPr>
          <w:cantSplit/>
        </w:trPr>
        <w:tc>
          <w:tcPr>
            <w:tcW w:w="1593" w:type="dxa"/>
            <w:vAlign w:val="center"/>
          </w:tcPr>
          <w:p>
            <w:pPr>
              <w:spacing w:before="20" w:after="20" w:line="252" w:lineRule="auto"/>
              <w:ind w:firstLine="0"/>
              <w:jc w:val="left"/>
            </w:pPr>
            <w:r>
              <w:rPr>
                <w:sz w:val="24"/>
              </w:rPr>
              <w:t xml:space="preserve">Kết quả khoa học trên giảng viên</w:t>
            </w:r>
          </w:p>
        </w:tc>
        <w:tc>
          <w:tcPr>
            <w:tcW w:w="2083" w:type="dxa"/>
            <w:vAlign w:val="center"/>
          </w:tcPr>
          <w:p>
            <w:pPr>
              <w:spacing w:before="20" w:after="20" w:line="252" w:lineRule="auto"/>
              <w:ind w:firstLine="0"/>
              <w:jc w:val="left"/>
            </w:pPr>
            <w:r>
              <w:rPr>
                <w:sz w:val="24"/>
              </w:rPr>
              <w:t xml:space="preserve">P = P1 + 3P2 + 5P3, giải pháp hữu ích hệ số 1, sáng chế hệ số 5; chia cho giảng viên toàn thời gian</w:t>
            </w:r>
          </w:p>
        </w:tc>
        <w:tc>
          <w:tcPr>
            <w:tcW w:w="2819" w:type="dxa"/>
            <w:vAlign w:val="center"/>
          </w:tcPr>
          <w:p>
            <w:pPr>
              <w:spacing w:before="20" w:after="20" w:line="252" w:lineRule="auto"/>
              <w:ind w:firstLine="0"/>
              <w:jc w:val="left"/>
            </w:pPr>
            <w:r>
              <w:rPr>
                <w:sz w:val="24"/>
              </w:rPr>
              <w:t xml:space="preserve">P = P1 + 2P2 + 3P3 + 5P4, bài WoS, Scopus hệ số 2, sách chuyên khảo và giải pháp hữu ích hệ số 3, sáng chế hệ số 5; chia cho giảng viên quy đổi; ngưỡng 0,6 với cơ sở có đào tạo tiến sĩ</w:t>
            </w:r>
          </w:p>
        </w:tc>
        <w:tc>
          <w:tcPr>
            <w:tcW w:w="2573" w:type="dxa"/>
            <w:vAlign w:val="center"/>
          </w:tcPr>
          <w:p>
            <w:pPr>
              <w:spacing w:before="20" w:after="20" w:line="252" w:lineRule="auto"/>
              <w:ind w:firstLine="0"/>
              <w:jc w:val="left"/>
            </w:pPr>
            <w:r>
              <w:rPr>
                <w:sz w:val="24"/>
              </w:rPr>
              <w:t xml:space="preserve">Ước tính năm 2025 từ 0,63 đến 1,6, vượt ngưỡng mà không cần văn bằng nào</w:t>
            </w:r>
          </w:p>
        </w:tc>
      </w:tr>
      <w:tr>
        <w:trPr>
          <w:cantSplit/>
        </w:trPr>
        <w:tc>
          <w:tcPr>
            <w:tcW w:w="1593" w:type="dxa"/>
            <w:vAlign w:val="center"/>
          </w:tcPr>
          <w:p>
            <w:pPr>
              <w:spacing w:before="20" w:after="20" w:line="252" w:lineRule="auto"/>
              <w:ind w:firstLine="0"/>
              <w:jc w:val="left"/>
            </w:pPr>
            <w:r>
              <w:rPr>
                <w:sz w:val="24"/>
              </w:rPr>
              <w:t xml:space="preserve">Công bố WoS, Scopus trên giảng viên</w:t>
            </w:r>
          </w:p>
        </w:tc>
        <w:tc>
          <w:tcPr>
            <w:tcW w:w="2083" w:type="dxa"/>
            <w:vAlign w:val="center"/>
          </w:tcPr>
          <w:p>
            <w:pPr>
              <w:spacing w:before="20" w:after="20" w:line="252" w:lineRule="auto"/>
              <w:ind w:firstLine="0"/>
              <w:jc w:val="left"/>
            </w:pPr>
            <w:r>
              <w:rPr>
                <w:sz w:val="24"/>
              </w:rPr>
              <w:t xml:space="preserve">Ít nhất 0,3 bài với cơ sở có đào tạo tiến sĩ</w:t>
            </w:r>
          </w:p>
        </w:tc>
        <w:tc>
          <w:tcPr>
            <w:tcW w:w="2819" w:type="dxa"/>
            <w:vAlign w:val="center"/>
          </w:tcPr>
          <w:p>
            <w:pPr>
              <w:spacing w:before="20" w:after="20" w:line="252" w:lineRule="auto"/>
              <w:ind w:firstLine="0"/>
              <w:jc w:val="left"/>
            </w:pPr>
            <w:r>
              <w:rPr>
                <w:sz w:val="24"/>
              </w:rPr>
              <w:t xml:space="preserve">Ít nhất 0,3 trên giảng viên quy đổi, có trọng số lĩnh vực</w:t>
            </w:r>
          </w:p>
        </w:tc>
        <w:tc>
          <w:tcPr>
            <w:tcW w:w="2573" w:type="dxa"/>
            <w:vAlign w:val="center"/>
          </w:tcPr>
          <w:p>
            <w:pPr>
              <w:spacing w:before="20" w:after="20" w:line="252" w:lineRule="auto"/>
              <w:ind w:firstLine="0"/>
              <w:jc w:val="left"/>
            </w:pPr>
            <w:r>
              <w:rPr>
                <w:sz w:val="24"/>
              </w:rPr>
              <w:t xml:space="preserve">Khoảng 0,31 năm 2025 và 0,22 năm 2024, sát hoặc dưới ngưỡng; văn bằng không được tính</w:t>
            </w:r>
          </w:p>
        </w:tc>
      </w:tr>
      <w:tr>
        <w:trPr>
          <w:cantSplit/>
        </w:trPr>
        <w:tc>
          <w:tcPr>
            <w:tcW w:w="1593" w:type="dxa"/>
            <w:vAlign w:val="center"/>
          </w:tcPr>
          <w:p>
            <w:pPr>
              <w:spacing w:before="20" w:after="20" w:line="252" w:lineRule="auto"/>
              <w:ind w:firstLine="0"/>
              <w:jc w:val="left"/>
            </w:pPr>
            <w:r>
              <w:rPr>
                <w:sz w:val="24"/>
              </w:rPr>
              <w:t xml:space="preserve">Thu khoa học, công nghệ</w:t>
            </w:r>
          </w:p>
        </w:tc>
        <w:tc>
          <w:tcPr>
            <w:tcW w:w="2083" w:type="dxa"/>
            <w:vAlign w:val="center"/>
          </w:tcPr>
          <w:p>
            <w:pPr>
              <w:spacing w:before="20" w:after="20" w:line="252" w:lineRule="auto"/>
              <w:ind w:firstLine="0"/>
              <w:jc w:val="left"/>
            </w:pPr>
            <w:r>
              <w:rPr>
                <w:sz w:val="24"/>
              </w:rPr>
              <w:t xml:space="preserve">Ít nhất 5% tổng thu với cơ sở có đào tạo tiến sĩ</w:t>
            </w:r>
          </w:p>
        </w:tc>
        <w:tc>
          <w:tcPr>
            <w:tcW w:w="2819" w:type="dxa"/>
            <w:vAlign w:val="center"/>
          </w:tcPr>
          <w:p>
            <w:pPr>
              <w:spacing w:before="20" w:after="20" w:line="252" w:lineRule="auto"/>
              <w:ind w:firstLine="0"/>
              <w:jc w:val="left"/>
            </w:pPr>
            <w:r>
              <w:rPr>
                <w:sz w:val="24"/>
              </w:rPr>
              <w:t xml:space="preserve">Giữ ngưỡng 5%; tách riêng khoản thu từ thương mại hóa kết quả nghiên cứu, sở hữu trí tuệ, spin-off, start-up</w:t>
            </w:r>
          </w:p>
        </w:tc>
        <w:tc>
          <w:tcPr>
            <w:tcW w:w="2573" w:type="dxa"/>
            <w:vAlign w:val="center"/>
          </w:tcPr>
          <w:p>
            <w:pPr>
              <w:spacing w:before="20" w:after="20" w:line="252" w:lineRule="auto"/>
              <w:ind w:firstLine="0"/>
              <w:jc w:val="left"/>
            </w:pPr>
            <w:r>
              <w:rPr>
                <w:sz w:val="24"/>
              </w:rPr>
              <w:t xml:space="preserve">Chưa có số liệu tách bạch; thu từ khai thác quyền mới ghi nhận ở 2 hợp đồng bản quyền theo doanh số</w:t>
            </w:r>
          </w:p>
        </w:tc>
      </w:tr>
    </w:tbl>
    <w:p w14:paraId="645FDCAF" w14:textId="77777777" w:rsidR="005B561C" w:rsidRPr="000F7C87" w:rsidRDefault="00000000">
      <w:pPr>
        <w:spacing w:after="160"/>
        <w:ind w:firstLine="0"/>
        <w:rPr>
          <w:szCs w:val="26"/>
        </w:rPr>
      </w:pPr>
      <w:r w:rsidRPr="000F7C87">
        <w:rPr>
          <w:i/>
          <w:szCs w:val="26"/>
        </w:rPr>
        <w:t>Nguồn: Nhóm nghiên cứu đối chiếu Thông tư số 01/2024/TT-BGDĐT và Thông tư số 83/2026/TT-BGDĐT; ước tính từ Bảng 2.1, Bảng 2.2 và danh mục bài báo quốc tế. Giảng viên quy đổi tạm tính theo danh sách năm 2026: 83 giảng viên tiến sĩ và tương đương hệ số 1,0, 58 thạc sĩ và tương đương hệ số 0,75, 3 đại học hệ số 0,5, tổng 128,0. Bài báo có phân hạng Q được coi là thuộc WoS hoặc Scopus; chưa áp dụng hệ số lĩnh vực. Công thức tại mục 6.2.1 Phụ lục II xếp bằng độc quyền giải pháp hữu ích vào nhóm hệ số 3, nhưng bảng tổng hợp cuối Phụ lục II chưa nêu loại này.</w:t>
      </w:r>
    </w:p>
    <w:p w14:paraId="48E95726" w14:textId="77777777" w:rsidR="005B561C" w:rsidRPr="000F7C87" w:rsidRDefault="00000000">
      <w:pPr>
        <w:rPr>
          <w:szCs w:val="26"/>
        </w:rPr>
      </w:pPr>
      <w:r w:rsidRPr="000F7C87">
        <w:rPr>
          <w:szCs w:val="26"/>
        </w:rPr>
        <w:t>Bảng 2.3 cho thấy Chuẩn mới tác động đến quản lý quyền sở hữu trí tuệ theo hai chiều. Ở chiều thể chế và dữ liệu, yêu cầu chặt hơn: lần đầu tiên quy định về sở hữu trí tuệ nằm trong danh mục văn bản quản trị bắt buộc, gắn với liêm chính khoa học và liêm chính học thuật, trong khi Quyết định 213 và Quyết định 217 chưa có nội dung về liêm chính và còn chồng lấn nhau. Dữ liệu kết quả hoạt động phải nhất quán trên HEMIS, trong khi hệ thống thống kê hiện hành chưa theo dõi tài sản trí tuệ.</w:t>
      </w:r>
    </w:p>
    <w:p w14:paraId="48E95726" w14:textId="77777777" w:rsidR="005B561C" w:rsidRPr="000F7C87" w:rsidRDefault="00000000">
      <w:pPr>
        <w:rPr>
          <w:szCs w:val="26"/>
        </w:rPr>
      </w:pPr>
      <w:r w:rsidRPr="000F7C87">
        <w:rPr>
          <w:szCs w:val="26"/>
        </w:rPr>
        <w:t>Ở chiều kết quả, Chuẩn mới nâng giá trị của văn bằng nhưng chưa tạo sức ép buộc Nhà trường đăng ký. Một bằng độc quyền giải pháp hữu ích được tính 3 sản phẩm quy đổi thay cho 1 như trước; nếu 8 sản phẩm đề tài phù hợp với giải pháp hữu ích được cấp văn bằng, Nhà trường có thêm 24 sản phẩm quy đổi. Tuy nhiên, chỉ riêng 40 bài báo có phân hạng Q năm 2025 đã cho khoảng 0,63 sản phẩm quy đổi trên một giảng viên quy đổi, vượt ngưỡng 0,6. Ràng buộc thực sự là chỉ số công bố WoS, Scopus, khoảng 0,31 năm 2025 so với ngưỡng 0,3, và văn bằng không được tính vào chỉ số này. Chuẩn mới vì vậy tiếp tục kéo nguồn lực về công bố quốc tế; nếu không có bước rà soát trước khi công bố, sức ép này làm tăng nguy cơ kết quả nghiên cứu mất tính mới trước khi kịp nộp đơn.</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tại Phòng Khoa học Công nghệ; Điều 36 quy định hai công thức chia lợi ích.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yêu cầu tác giả xin ý kiến Phòng Khoa học Công nghệ trước khi bộc lộ công khai tài sản có thể bảo hộ; Điều 11 giao Phòng nhận diện, lập hồ sơ theo dõi, xúc tiến thương mại hóa và giao bộ phận pháp chế thực hiện thủ tục xác lập quyền. Hai văn bản còn lại là Quy chế chi tiêu nội bộ ban hành ngày 01 tháng 8 năm 2026 và Điều lệ Quỹ Học bổng sau tiến sĩ Ngô Xuân Độ năm 2025.</w:t>
      </w:r>
    </w:p>
    <w:p w14:paraId="48E95726" w14:textId="77777777" w:rsidR="005B561C" w:rsidRPr="000F7C87" w:rsidRDefault="00000000">
      <w:pPr>
        <w:rPr>
          <w:szCs w:val="26"/>
        </w:rPr>
      </w:pPr>
      <w:r w:rsidRPr="000F7C87">
        <w:rPr>
          <w:szCs w:val="26"/>
        </w:rPr>
        <w:t>Quyết định 217 không dẫn chiếu và không thay thế Chương VI Quyết định 213, nên hai văn bản cùng hiệu lực. Bốn văn bản chứa năm quy định khác nhau về phân chia lợi ích, được trình bày tại Bảng 2.4.</w:t>
      </w:r>
    </w:p>
    <w:p w14:paraId="478B6AC7" w14:textId="77777777" w:rsidR="005B561C" w:rsidRPr="000F7C87" w:rsidRDefault="00000000">
      <w:pPr>
        <w:keepNext/>
        <w:spacing w:before="160" w:after="80"/>
        <w:ind w:firstLine="0"/>
        <w:jc w:val="center"/>
        <w:rPr>
          <w:szCs w:val="26"/>
        </w:rPr>
      </w:pPr>
      <w:r w:rsidRPr="000F7C87">
        <w:rPr>
          <w:b/>
          <w:szCs w:val="26"/>
        </w:rPr>
        <w:t>Bảng 2.4. Các quy định về phân chia lợi ích từ tài sản trí tuệ trong nội bộ Trường Đại học Thành Đô</w:t>
      </w:r>
    </w:p>
    <w:tbl>
      <w:tblPr>
        <w:tblStyle w:val="TableGrid"/>
        <w:tblW w:w="0" w:type="auto"/>
        <w:jc w:val="center"/>
        <w:tblLook w:val="04A0" w:firstRow="1" w:lastRow="0" w:firstColumn="1" w:lastColumn="0" w:noHBand="0" w:noVBand="1"/>
      </w:tblPr>
      <w:tblGrid>
        <w:gridCol w:w="1987"/>
        <w:gridCol w:w="869"/>
        <w:gridCol w:w="2112"/>
        <w:gridCol w:w="2857"/>
        <w:gridCol w:w="1242"/>
      </w:tblGrid>
      <w:tr>
        <w:trPr>
          <w:cantSplit/>
          <w:tblHeader/>
        </w:trPr>
        <w:tc>
          <w:tcPr>
            <w:tcW w:w="1987" w:type="dxa"/>
            <w:shd w:val="clear" w:color="auto" w:fill="DCE8F7"/>
            <w:vAlign w:val="center"/>
          </w:tcPr>
          <w:p>
            <w:pPr>
              <w:spacing w:before="20" w:after="20" w:line="252" w:lineRule="auto"/>
              <w:ind w:firstLine="0"/>
              <w:jc w:val="center"/>
            </w:pPr>
            <w:r>
              <w:rPr>
                <w:b/>
                <w:sz w:val="24"/>
              </w:rPr>
              <w:t xml:space="preserve">Văn bản</w:t>
            </w:r>
          </w:p>
        </w:tc>
        <w:tc>
          <w:tcPr>
            <w:tcW w:w="869" w:type="dxa"/>
            <w:shd w:val="clear" w:color="auto" w:fill="DCE8F7"/>
            <w:vAlign w:val="center"/>
          </w:tcPr>
          <w:p>
            <w:pPr>
              <w:spacing w:before="20" w:after="20" w:line="252" w:lineRule="auto"/>
              <w:ind w:firstLine="0"/>
              <w:jc w:val="center"/>
            </w:pPr>
            <w:r>
              <w:rPr>
                <w:b/>
                <w:sz w:val="24"/>
              </w:rPr>
              <w:t xml:space="preserve">Năm</w:t>
            </w:r>
          </w:p>
        </w:tc>
        <w:tc>
          <w:tcPr>
            <w:tcW w:w="2112" w:type="dxa"/>
            <w:shd w:val="clear" w:color="auto" w:fill="DCE8F7"/>
            <w:vAlign w:val="center"/>
          </w:tcPr>
          <w:p>
            <w:pPr>
              <w:spacing w:before="20" w:after="20" w:line="252" w:lineRule="auto"/>
              <w:ind w:firstLine="0"/>
              <w:jc w:val="center"/>
            </w:pPr>
            <w:r>
              <w:rPr>
                <w:b/>
                <w:sz w:val="24"/>
              </w:rPr>
              <w:t xml:space="preserve">Phạm vi áp dụng</w:t>
            </w:r>
          </w:p>
        </w:tc>
        <w:tc>
          <w:tcPr>
            <w:tcW w:w="2857" w:type="dxa"/>
            <w:shd w:val="clear" w:color="auto" w:fill="DCE8F7"/>
            <w:vAlign w:val="center"/>
          </w:tcPr>
          <w:p>
            <w:pPr>
              <w:spacing w:before="20" w:after="20" w:line="252" w:lineRule="auto"/>
              <w:ind w:firstLine="0"/>
              <w:jc w:val="center"/>
            </w:pPr>
            <w:r>
              <w:rPr>
                <w:b/>
                <w:sz w:val="24"/>
              </w:rPr>
              <w:t xml:space="preserve">Công thức chia lợi ích</w:t>
            </w:r>
          </w:p>
        </w:tc>
        <w:tc>
          <w:tcPr>
            <w:tcW w:w="1242" w:type="dxa"/>
            <w:shd w:val="clear" w:color="auto" w:fill="DCE8F7"/>
            <w:vAlign w:val="center"/>
          </w:tcPr>
          <w:p>
            <w:pPr>
              <w:spacing w:before="20" w:after="20" w:line="252" w:lineRule="auto"/>
              <w:ind w:firstLine="0"/>
              <w:jc w:val="center"/>
            </w:pPr>
            <w:r>
              <w:rPr>
                <w:b/>
                <w:sz w:val="24"/>
              </w:rPr>
              <w:t xml:space="preserve">Mức trần</w:t>
            </w:r>
          </w:p>
        </w:tc>
      </w:tr>
      <w:tr>
        <w:trPr>
          <w:cantSplit/>
        </w:trPr>
        <w:tc>
          <w:tcPr>
            <w:tcW w:w="1987" w:type="dxa"/>
            <w:vAlign w:val="center"/>
          </w:tcPr>
          <w:p>
            <w:pPr>
              <w:spacing w:before="20" w:after="20" w:line="252" w:lineRule="auto"/>
              <w:ind w:firstLine="0"/>
              <w:jc w:val="left"/>
            </w:pPr>
            <w:r>
              <w:rPr>
                <w:sz w:val="24"/>
              </w:rPr>
              <w:t xml:space="preserve">Quyết định 213, điểm a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Đề tài sử dụng ngân sách nhà nước do Trường chủ trì</w:t>
            </w:r>
          </w:p>
        </w:tc>
        <w:tc>
          <w:tcPr>
            <w:tcW w:w="2857"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242" w:type="dxa"/>
            <w:vAlign w:val="center"/>
          </w:tcPr>
          <w:p>
            <w:pPr>
              <w:spacing w:before="20" w:after="20" w:line="252" w:lineRule="auto"/>
              <w:ind w:firstLine="0"/>
              <w:jc w:val="left"/>
            </w:pPr>
            <w:r>
              <w:rPr>
                <w:sz w:val="24"/>
              </w:rPr>
              <w:t xml:space="preserve">100 triệu đồng</w:t>
            </w:r>
          </w:p>
        </w:tc>
      </w:tr>
      <w:tr>
        <w:trPr>
          <w:cantSplit/>
        </w:trPr>
        <w:tc>
          <w:tcPr>
            <w:tcW w:w="1987" w:type="dxa"/>
            <w:vAlign w:val="center"/>
          </w:tcPr>
          <w:p>
            <w:pPr>
              <w:spacing w:before="20" w:after="20" w:line="252" w:lineRule="auto"/>
              <w:ind w:firstLine="0"/>
              <w:jc w:val="left"/>
            </w:pPr>
            <w:r>
              <w:rPr>
                <w:sz w:val="24"/>
              </w:rPr>
              <w:t xml:space="preserve">Quyết định 213, điểm b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Tài sản trí tuệ thuộc sở hữu của Trường được chuyển giao</w:t>
            </w:r>
          </w:p>
        </w:tc>
        <w:tc>
          <w:tcPr>
            <w:tcW w:w="2857" w:type="dxa"/>
            <w:vAlign w:val="center"/>
          </w:tcPr>
          <w:p>
            <w:pPr>
              <w:spacing w:before="20" w:after="20" w:line="252" w:lineRule="auto"/>
              <w:ind w:firstLine="0"/>
              <w:jc w:val="left"/>
            </w:pPr>
            <w:r>
              <w:rPr>
                <w:sz w:val="24"/>
              </w:rPr>
              <w:t xml:space="preserve">30% tác giả, 20% đơn vị có tác giả, 50% Quỹ nghiên cứu khoa học của Trường</w:t>
            </w:r>
          </w:p>
        </w:tc>
        <w:tc>
          <w:tcPr>
            <w:tcW w:w="1242" w:type="dxa"/>
            <w:vAlign w:val="center"/>
          </w:tcPr>
          <w:p>
            <w:pPr>
              <w:spacing w:before="20" w:after="20" w:line="252" w:lineRule="auto"/>
              <w:ind w:firstLine="0"/>
              <w:jc w:val="left"/>
            </w:pPr>
            <w:r>
              <w:rPr>
                <w:sz w:val="24"/>
              </w:rPr>
              <w:t xml:space="preserve">Không đặt trần</w:t>
            </w:r>
          </w:p>
        </w:tc>
      </w:tr>
      <w:tr>
        <w:trPr>
          <w:cantSplit/>
        </w:trPr>
        <w:tc>
          <w:tcPr>
            <w:tcW w:w="1987" w:type="dxa"/>
            <w:vAlign w:val="center"/>
          </w:tcPr>
          <w:p>
            <w:pPr>
              <w:spacing w:before="20" w:after="20" w:line="252" w:lineRule="auto"/>
              <w:ind w:firstLine="0"/>
              <w:jc w:val="left"/>
            </w:pPr>
            <w:r>
              <w:rPr>
                <w:sz w:val="24"/>
              </w:rPr>
              <w:t xml:space="preserve">Quyết định 217, Điều 13</w:t>
            </w:r>
          </w:p>
        </w:tc>
        <w:tc>
          <w:tcPr>
            <w:tcW w:w="869" w:type="dxa"/>
            <w:vAlign w:val="center"/>
          </w:tcPr>
          <w:p>
            <w:pPr>
              <w:spacing w:before="20" w:after="20" w:line="252" w:lineRule="auto"/>
              <w:ind w:firstLine="0"/>
              <w:jc w:val="center"/>
            </w:pPr>
            <w:r>
              <w:rPr>
                <w:sz w:val="24"/>
              </w:rPr>
              <w:t xml:space="preserve">2024</w:t>
            </w:r>
          </w:p>
        </w:tc>
        <w:tc>
          <w:tcPr>
            <w:tcW w:w="2112" w:type="dxa"/>
            <w:vAlign w:val="center"/>
          </w:tcPr>
          <w:p>
            <w:pPr>
              <w:spacing w:before="20" w:after="20" w:line="252" w:lineRule="auto"/>
              <w:ind w:firstLine="0"/>
              <w:jc w:val="left"/>
            </w:pPr>
            <w:r>
              <w:rPr>
                <w:sz w:val="24"/>
              </w:rPr>
              <w:t xml:space="preserve">Tài sản trí tuệ của Trường khi các bên không có thỏa thuận</w:t>
            </w:r>
          </w:p>
        </w:tc>
        <w:tc>
          <w:tcPr>
            <w:tcW w:w="2857" w:type="dxa"/>
            <w:vAlign w:val="center"/>
          </w:tcPr>
          <w:p>
            <w:pPr>
              <w:spacing w:before="20" w:after="20" w:line="252" w:lineRule="auto"/>
              <w:ind w:firstLine="0"/>
              <w:jc w:val="left"/>
            </w:pPr>
            <w:r>
              <w:rPr>
                <w:sz w:val="24"/>
              </w:rPr>
              <w:t xml:space="preserve">Sau khi trừ chi phí, Hiệu trưởng quyết định tỷ lệ</w:t>
            </w:r>
          </w:p>
        </w:tc>
        <w:tc>
          <w:tcPr>
            <w:tcW w:w="1242" w:type="dxa"/>
            <w:vAlign w:val="center"/>
          </w:tcPr>
          <w:p>
            <w:pPr>
              <w:spacing w:before="20" w:after="20" w:line="252" w:lineRule="auto"/>
              <w:ind w:firstLine="0"/>
              <w:jc w:val="left"/>
            </w:pPr>
            <w:r>
              <w:rPr>
                <w:sz w:val="24"/>
              </w:rPr>
              <w:t xml:space="preserve">Không quy định</w:t>
            </w:r>
          </w:p>
        </w:tc>
      </w:tr>
      <w:tr>
        <w:trPr>
          <w:cantSplit/>
        </w:trPr>
        <w:tc>
          <w:tcPr>
            <w:tcW w:w="1987" w:type="dxa"/>
            <w:vAlign w:val="center"/>
          </w:tcPr>
          <w:p>
            <w:pPr>
              <w:spacing w:before="20" w:after="20" w:line="252" w:lineRule="auto"/>
              <w:ind w:firstLine="0"/>
              <w:jc w:val="left"/>
            </w:pPr>
            <w:r>
              <w:rPr>
                <w:sz w:val="24"/>
              </w:rPr>
              <w:t xml:space="preserve">Quy chế chi tiêu nội bộ</w:t>
            </w:r>
          </w:p>
        </w:tc>
        <w:tc>
          <w:tcPr>
            <w:tcW w:w="869" w:type="dxa"/>
            <w:vAlign w:val="center"/>
          </w:tcPr>
          <w:p>
            <w:pPr>
              <w:spacing w:before="20" w:after="20" w:line="252" w:lineRule="auto"/>
              <w:ind w:firstLine="0"/>
              <w:jc w:val="center"/>
            </w:pPr>
            <w:r>
              <w:rPr>
                <w:sz w:val="24"/>
              </w:rPr>
              <w:t xml:space="preserve">2026</w:t>
            </w:r>
          </w:p>
        </w:tc>
        <w:tc>
          <w:tcPr>
            <w:tcW w:w="2112" w:type="dxa"/>
            <w:vAlign w:val="center"/>
          </w:tcPr>
          <w:p>
            <w:pPr>
              <w:spacing w:before="20" w:after="20" w:line="252" w:lineRule="auto"/>
              <w:ind w:firstLine="0"/>
              <w:jc w:val="left"/>
            </w:pPr>
            <w:r>
              <w:rPr>
                <w:sz w:val="24"/>
              </w:rPr>
              <w:t xml:space="preserve">Đề tài có đăng ký sở hữu trí tuệ</w:t>
            </w:r>
          </w:p>
        </w:tc>
        <w:tc>
          <w:tcPr>
            <w:tcW w:w="2857" w:type="dxa"/>
            <w:vAlign w:val="center"/>
          </w:tcPr>
          <w:p>
            <w:pPr>
              <w:spacing w:before="20" w:after="20" w:line="252" w:lineRule="auto"/>
              <w:ind w:firstLine="0"/>
              <w:jc w:val="left"/>
            </w:pPr>
            <w:r>
              <w:rPr>
                <w:sz w:val="24"/>
              </w:rPr>
              <w:t xml:space="preserve">Trích 50% kinh phí chuyển giao công nghệ về Trường, không nêu phần của tác giả</w:t>
            </w:r>
          </w:p>
        </w:tc>
        <w:tc>
          <w:tcPr>
            <w:tcW w:w="1242" w:type="dxa"/>
            <w:vAlign w:val="center"/>
          </w:tcPr>
          <w:p>
            <w:pPr>
              <w:spacing w:before="20" w:after="20" w:line="252" w:lineRule="auto"/>
              <w:ind w:firstLine="0"/>
              <w:jc w:val="left"/>
            </w:pPr>
            <w:r>
              <w:rPr>
                <w:sz w:val="24"/>
              </w:rPr>
              <w:t xml:space="preserve">50 triệu đồng kinh phí đề tài</w:t>
            </w:r>
          </w:p>
        </w:tc>
      </w:tr>
      <w:tr>
        <w:trPr>
          <w:cantSplit/>
        </w:trPr>
        <w:tc>
          <w:tcPr>
            <w:tcW w:w="1987" w:type="dxa"/>
            <w:vAlign w:val="center"/>
          </w:tcPr>
          <w:p>
            <w:pPr>
              <w:spacing w:before="20" w:after="20" w:line="252" w:lineRule="auto"/>
              <w:ind w:firstLine="0"/>
              <w:jc w:val="left"/>
            </w:pPr>
            <w:r>
              <w:rPr>
                <w:sz w:val="24"/>
              </w:rPr>
              <w:t xml:space="preserve">Điều lệ Quỹ Ngô Xuân Độ, Điều 9</w:t>
            </w:r>
          </w:p>
        </w:tc>
        <w:tc>
          <w:tcPr>
            <w:tcW w:w="869" w:type="dxa"/>
            <w:vAlign w:val="center"/>
          </w:tcPr>
          <w:p>
            <w:pPr>
              <w:spacing w:before="20" w:after="20" w:line="252" w:lineRule="auto"/>
              <w:ind w:firstLine="0"/>
              <w:jc w:val="center"/>
            </w:pPr>
            <w:r>
              <w:rPr>
                <w:sz w:val="24"/>
              </w:rPr>
              <w:t xml:space="preserve">2025</w:t>
            </w:r>
          </w:p>
        </w:tc>
        <w:tc>
          <w:tcPr>
            <w:tcW w:w="2112" w:type="dxa"/>
            <w:vAlign w:val="center"/>
          </w:tcPr>
          <w:p>
            <w:pPr>
              <w:spacing w:before="20" w:after="20" w:line="252" w:lineRule="auto"/>
              <w:ind w:firstLine="0"/>
              <w:jc w:val="left"/>
            </w:pPr>
            <w:r>
              <w:rPr>
                <w:sz w:val="24"/>
              </w:rPr>
              <w:t xml:space="preserve">Sản phẩm hình thành từ kinh phí của Quỹ</w:t>
            </w:r>
          </w:p>
        </w:tc>
        <w:tc>
          <w:tcPr>
            <w:tcW w:w="2857"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242" w:type="dxa"/>
            <w:vAlign w:val="center"/>
          </w:tcPr>
          <w:p>
            <w:pPr>
              <w:spacing w:before="20" w:after="20" w:line="252" w:lineRule="auto"/>
              <w:ind w:firstLine="0"/>
              <w:jc w:val="left"/>
            </w:pPr>
            <w:r>
              <w:rPr>
                <w:sz w:val="24"/>
              </w:rPr>
              <w:t xml:space="preserve">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và Điều lệ Quỹ Học bổng sau tiến sĩ Ngô Xuân Độ.</w:t>
      </w:r>
    </w:p>
    <w:p w14:paraId="478B6AC7" w14:textId="77777777" w:rsidR="005B561C" w:rsidRPr="000F7C87" w:rsidRDefault="00000000">
      <w:pPr>
        <w:keepNext/>
        <w:spacing w:before="160" w:after="80"/>
        <w:ind w:firstLine="0"/>
        <w:jc w:val="center"/>
        <w:rPr>
          <w:szCs w:val="26"/>
        </w:rPr>
      </w:pPr>
      <w:r w:rsidRPr="000F7C87">
        <w:rPr>
          <w:b/>
          <w:szCs w:val="26"/>
        </w:rPr>
        <w:t>Hình 2.2. Mô phỏng phần lợi ích của tác giả theo các quy định nội bộ và mức mặc định của Luật Sở hữu trí tuệ</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2" name="Biểu đồ 502" descr="Hình 2.2. Mô phỏng phần lợi ích của tác giả theo các quy định nội bộ và mức mặc định của Luật Sở hữu trí tuệ"/>
            <wp:cNvGraphicFramePr/>
            <a:graphic>
              <a:graphicData uri="http://schemas.openxmlformats.org/drawingml/2006/chart">
                <c:chart r:id="rId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Điều 36 Quyết định 213, Điều 9 Điều lệ Quỹ Học bổng sau tiến sĩ Ngô Xuân Độ và điểm b khoản 1 Điều 135 Luật Sở hữu trí tuệ. Khoản thu là số tiền nhận được từ một hợp đồng chuyển giao sau khi trừ chi phí hợp lệ; đơn vị: triệu đồng.</w:t>
      </w:r>
    </w:p>
    <w:p w14:paraId="48E95726" w14:textId="77777777" w:rsidR="005B561C" w:rsidRPr="000F7C87" w:rsidRDefault="00000000">
      <w:pPr>
        <w:rPr>
          <w:szCs w:val="26"/>
        </w:rPr>
      </w:pPr>
      <w:r w:rsidRPr="000F7C87">
        <w:rPr>
          <w:szCs w:val="26"/>
        </w:rPr>
        <w:t>Hình 2.2 mô phỏng phần của tác giả từ một hợp đồng chuyển giao theo từng quy định. Với khoản thu 500 triệu đồng, phần của tác giả dao động từ 100 triệu đồng theo điểm a Điều 36 Quyết định 213 hoặc theo Quỹ từ năm thứ hai, 150 triệu đồng theo điểm b, đến 250 triệu đồng theo Quỹ trong năm đầu, chênh lệch 2,5 lần. Đường điểm a gãy tại khoảng 333 triệu đồng do trần 100 triệu đồng; vượt khoảng 667 triệu đồng, đường này nằm dưới mức mặc định 15% của Luật. Điều 13 Quyết định 217 giao Hiệu trưởng quyết định tỷ lệ nên không mô phỏng được.</w:t>
      </w:r>
    </w:p>
    <w:p w14:paraId="48E95726" w14:textId="77777777" w:rsidR="005B561C" w:rsidRPr="000F7C87" w:rsidRDefault="00000000">
      <w:pPr>
        <w:rPr>
          <w:szCs w:val="26"/>
        </w:rPr>
      </w:pPr>
      <w:r w:rsidRPr="000F7C87">
        <w:rPr>
          <w:szCs w:val="26"/>
        </w:rPr>
        <w:t>Về tỷ lệ, quy chế nội bộ không kém hào phóng so với mức mặc định của Luật. Vấn đề là tác giả không biết trước mình thuộc đường nào, trong khi mức thưởng cho công bố được niêm yết theo từng hạng tạp chí. Mức trần 100 triệu đồng được xây dựng theo khung pháp luật trước đây; khoản 2 Điều 135 Luật Sở hữu trí tuệ về khung thù lao cho nhiệm vụ sử dụng ngân sách nhà nước đã bị bãi bỏ, Điều 135 hiện hành chỉ quy định mức áp dụng khi không có thỏa thuận, gồm 10% lợi nhuận trước thuế khi chủ sở hữu tự sử dụng và 15% số tiền nhận được mỗi lần chuyển giao quyền sử dụng, và không đặt trần. Trong bốn văn bản, Điều lệ Quỹ là văn bản duy nhất vừa không đặt trần vừa cho phép các bên thỏa thuận tỷ lệ khác.</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và theo dõi tài sản trí tuệ; bộ phận pháp chế thực hiện thủ tục xác lập quyền. Trên thực tế, chức năng này phân tán ở bốn điểm. Phòng Khoa học Công nghệ giữ khâu tiếp nhận hồ sơ nhưng chỉ có 2 nhân sự. Trung tâm Tuyển sinh và Quản trị thương hiệu thực hiện xác lập quyền đối với nhãn hiệu và logo. Bộ phận pháp chế thuộc Trung tâm Dịch vụ và Quản trị hành chính tổng hợp là đầu mối của Mạng lưới Trung tâm Hỗ trợ công nghệ và đổi mới sáng tạo mà Nhà trường tham gia từ năm 2023. Viện Nghiên cứu giáo dục và Chuyển giao tri thức là đơn vị duy nhất đã đăng ký hoạt động khoa học và công nghệ, có con dấu riêng và có hợp đồng khai thác quyền.</w:t>
      </w:r>
    </w:p>
    <w:p w14:paraId="48E95726" w14:textId="77777777" w:rsidR="005B561C" w:rsidRPr="000F7C87" w:rsidRDefault="00000000">
      <w:pPr>
        <w:rPr>
          <w:szCs w:val="26"/>
        </w:rPr>
      </w:pPr>
      <w:r w:rsidRPr="000F7C87">
        <w:rPr>
          <w:szCs w:val="26"/>
        </w:rPr>
        <w:t>Ba trong bốn điểm thuộc khối Quản trị và Dịch vụ, còn kết quả nghiên cứu phát sinh ở khối Đào tạo và Nghiên cứu. Vấn đề vì vậy không phải thiếu đầu mối hay thiếu phân công, vì Quyết định 217 đã phân công rõ, mà nằm ở khâu thực thi: bộ hồ sơ thu thập được không có biểu mẫu khai báo hay hồ sơ theo dõi tài sản trí tuệ do Phòng lập; mỗi đơn vị nắm một đoạn của chu trình và giữa các đoạn không có cơ chế chuyển hồ sơ.</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2.5.</w:t>
      </w:r>
    </w:p>
    <w:p w14:paraId="478B6AC7" w14:textId="77777777" w:rsidR="005B561C" w:rsidRPr="000F7C87" w:rsidRDefault="00000000">
      <w:pPr>
        <w:keepNext/>
        <w:spacing w:before="160" w:after="80"/>
        <w:ind w:firstLine="0"/>
        <w:jc w:val="center"/>
        <w:rPr>
          <w:szCs w:val="26"/>
        </w:rPr>
      </w:pPr>
      <w:r w:rsidRPr="000F7C87">
        <w:rPr>
          <w:b/>
          <w:szCs w:val="26"/>
        </w:rPr>
        <w:t>Bảng 2.5. Ba kênh tài trợ nghiên cứu và chế độ sở hữu trí tuệ tương ứng</w:t>
      </w:r>
    </w:p>
    <w:tbl>
      <w:tblPr>
        <w:tblStyle w:val="TableGrid"/>
        <w:tblW w:w="0" w:type="auto"/>
        <w:jc w:val="center"/>
        <w:tblLook w:val="04A0" w:firstRow="1" w:lastRow="0" w:firstColumn="1" w:lastColumn="0" w:noHBand="0" w:noVBand="1"/>
      </w:tblPr>
      <w:tblGrid>
        <w:gridCol w:w="2148"/>
        <w:gridCol w:w="2983"/>
        <w:gridCol w:w="1909"/>
        <w:gridCol w:w="2028"/>
      </w:tblGrid>
      <w:tr>
        <w:trPr>
          <w:cantSplit/>
          <w:tblHeader/>
        </w:trPr>
        <w:tc>
          <w:tcPr>
            <w:tcW w:w="2148" w:type="dxa"/>
            <w:shd w:val="clear" w:color="auto" w:fill="DCE8F7"/>
            <w:vAlign w:val="center"/>
          </w:tcPr>
          <w:p>
            <w:pPr>
              <w:spacing w:before="20" w:after="20" w:line="252" w:lineRule="auto"/>
              <w:ind w:firstLine="0"/>
              <w:jc w:val="center"/>
            </w:pPr>
            <w:r>
              <w:rPr>
                <w:b/>
                <w:sz w:val="24"/>
              </w:rPr>
              <w:t xml:space="preserve">Kênh tài trợ</w:t>
            </w:r>
          </w:p>
        </w:tc>
        <w:tc>
          <w:tcPr>
            <w:tcW w:w="2983" w:type="dxa"/>
            <w:shd w:val="clear" w:color="auto" w:fill="DCE8F7"/>
            <w:vAlign w:val="center"/>
          </w:tcPr>
          <w:p>
            <w:pPr>
              <w:spacing w:before="20" w:after="20" w:line="252" w:lineRule="auto"/>
              <w:ind w:firstLine="0"/>
              <w:jc w:val="center"/>
            </w:pPr>
            <w:r>
              <w:rPr>
                <w:b/>
                <w:sz w:val="24"/>
              </w:rPr>
              <w:t xml:space="preserve">Quy mô</w:t>
            </w:r>
          </w:p>
        </w:tc>
        <w:tc>
          <w:tcPr>
            <w:tcW w:w="1909" w:type="dxa"/>
            <w:shd w:val="clear" w:color="auto" w:fill="DCE8F7"/>
            <w:vAlign w:val="center"/>
          </w:tcPr>
          <w:p>
            <w:pPr>
              <w:spacing w:before="20" w:after="20" w:line="252" w:lineRule="auto"/>
              <w:ind w:firstLine="0"/>
              <w:jc w:val="center"/>
            </w:pPr>
            <w:r>
              <w:rPr>
                <w:b/>
                <w:sz w:val="24"/>
              </w:rPr>
              <w:t xml:space="preserve">Dòng chi cho phí nộp đơn</w:t>
            </w:r>
          </w:p>
        </w:tc>
        <w:tc>
          <w:tcPr>
            <w:tcW w:w="2028" w:type="dxa"/>
            <w:shd w:val="clear" w:color="auto" w:fill="DCE8F7"/>
            <w:vAlign w:val="center"/>
          </w:tcPr>
          <w:p>
            <w:pPr>
              <w:spacing w:before="20" w:after="20" w:line="252" w:lineRule="auto"/>
              <w:ind w:firstLine="0"/>
              <w:jc w:val="center"/>
            </w:pPr>
            <w:r>
              <w:rPr>
                <w:b/>
                <w:sz w:val="24"/>
              </w:rPr>
              <w:t xml:space="preserve">Kết quả tài sản trí tuệ</w:t>
            </w:r>
          </w:p>
        </w:tc>
      </w:tr>
      <w:tr>
        <w:trPr>
          <w:cantSplit/>
        </w:trPr>
        <w:tc>
          <w:tcPr>
            <w:tcW w:w="2148" w:type="dxa"/>
            <w:vAlign w:val="center"/>
          </w:tcPr>
          <w:p>
            <w:pPr>
              <w:spacing w:before="20" w:after="20" w:line="252" w:lineRule="auto"/>
              <w:ind w:firstLine="0"/>
              <w:jc w:val="left"/>
            </w:pPr>
            <w:r>
              <w:rPr>
                <w:sz w:val="24"/>
              </w:rPr>
              <w:t xml:space="preserve">Đề tài cấp cơ sở, ngân sách của Trường</w:t>
            </w:r>
          </w:p>
        </w:tc>
        <w:tc>
          <w:tcPr>
            <w:tcW w:w="2983"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1909" w:type="dxa"/>
            <w:vAlign w:val="center"/>
          </w:tcPr>
          <w:p>
            <w:pPr>
              <w:spacing w:before="20" w:after="20" w:line="252" w:lineRule="auto"/>
              <w:ind w:firstLine="0"/>
              <w:jc w:val="left"/>
            </w:pPr>
            <w:r>
              <w:rPr>
                <w:sz w:val="24"/>
              </w:rPr>
              <w:t xml:space="preserve">Không có</w:t>
            </w:r>
          </w:p>
        </w:tc>
        <w:tc>
          <w:tcPr>
            <w:tcW w:w="2028" w:type="dxa"/>
            <w:vAlign w:val="center"/>
          </w:tcPr>
          <w:p>
            <w:pPr>
              <w:spacing w:before="20" w:after="20" w:line="252" w:lineRule="auto"/>
              <w:ind w:firstLine="0"/>
              <w:jc w:val="left"/>
            </w:pPr>
            <w:r>
              <w:rPr>
                <w:sz w:val="24"/>
              </w:rPr>
              <w:t xml:space="preserve">11 đề tài có sản phẩm đủ điều kiện, 1 đơn sáng chế</w:t>
            </w:r>
          </w:p>
        </w:tc>
      </w:tr>
      <w:tr>
        <w:trPr>
          <w:cantSplit/>
        </w:trPr>
        <w:tc>
          <w:tcPr>
            <w:tcW w:w="2148" w:type="dxa"/>
            <w:vAlign w:val="center"/>
          </w:tcPr>
          <w:p>
            <w:pPr>
              <w:spacing w:before="20" w:after="20" w:line="252" w:lineRule="auto"/>
              <w:ind w:firstLine="0"/>
              <w:jc w:val="left"/>
            </w:pPr>
            <w:r>
              <w:rPr>
                <w:sz w:val="24"/>
              </w:rPr>
              <w:t xml:space="preserve">Quỹ Học bổng sau tiến sĩ Ngô Xuân Độ</w:t>
            </w:r>
          </w:p>
        </w:tc>
        <w:tc>
          <w:tcPr>
            <w:tcW w:w="2983"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1909" w:type="dxa"/>
            <w:vAlign w:val="center"/>
          </w:tcPr>
          <w:p>
            <w:pPr>
              <w:spacing w:before="20" w:after="20" w:line="252" w:lineRule="auto"/>
              <w:ind w:firstLine="0"/>
              <w:jc w:val="left"/>
            </w:pPr>
            <w:r>
              <w:rPr>
                <w:sz w:val="24"/>
              </w:rPr>
              <w:t xml:space="preserve">Có, qua khoản chi phí khác tối đa bằng 50% chi trực tiếp</w:t>
            </w:r>
          </w:p>
        </w:tc>
        <w:tc>
          <w:tcPr>
            <w:tcW w:w="2028" w:type="dxa"/>
            <w:vAlign w:val="center"/>
          </w:tcPr>
          <w:p>
            <w:pPr>
              <w:spacing w:before="20" w:after="20" w:line="252" w:lineRule="auto"/>
              <w:ind w:firstLine="0"/>
              <w:jc w:val="left"/>
            </w:pPr>
            <w:r>
              <w:rPr>
                <w:sz w:val="24"/>
              </w:rPr>
              <w:t xml:space="preserve">Quỹ hoạt động từ năm 2025, chưa có kết quả</w:t>
            </w:r>
          </w:p>
        </w:tc>
      </w:tr>
      <w:tr>
        <w:trPr>
          <w:cantSplit/>
        </w:trPr>
        <w:tc>
          <w:tcPr>
            <w:tcW w:w="2148"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983" w:type="dxa"/>
            <w:vAlign w:val="center"/>
          </w:tcPr>
          <w:p>
            <w:pPr>
              <w:spacing w:before="20" w:after="20" w:line="252" w:lineRule="auto"/>
              <w:ind w:firstLine="0"/>
              <w:jc w:val="left"/>
            </w:pPr>
            <w:r>
              <w:rPr>
                <w:sz w:val="24"/>
              </w:rPr>
              <w:t xml:space="preserve">3 đề tài, tổng 4,67 tỷ đồng, giao năm 2024 và 2025</w:t>
            </w:r>
          </w:p>
        </w:tc>
        <w:tc>
          <w:tcPr>
            <w:tcW w:w="1909" w:type="dxa"/>
            <w:vAlign w:val="center"/>
          </w:tcPr>
          <w:p>
            <w:pPr>
              <w:spacing w:before="20" w:after="20" w:line="252" w:lineRule="auto"/>
              <w:ind w:firstLine="0"/>
              <w:jc w:val="left"/>
            </w:pPr>
            <w:r>
              <w:rPr>
                <w:sz w:val="24"/>
              </w:rPr>
              <w:t xml:space="preserve">Theo quy định của cơ quan tài trợ</w:t>
            </w:r>
          </w:p>
        </w:tc>
        <w:tc>
          <w:tcPr>
            <w:tcW w:w="2028"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Điều lệ Quỹ Học bổng sau tiến sĩ Ngô Xuân Độ.</w:t>
      </w:r>
    </w:p>
    <w:p w14:paraId="48E95726" w14:textId="77777777" w:rsidR="005B561C" w:rsidRPr="000F7C87" w:rsidRDefault="00000000">
      <w:pPr>
        <w:rPr>
          <w:szCs w:val="26"/>
        </w:rPr>
      </w:pPr>
      <w:r w:rsidRPr="000F7C87">
        <w:rPr>
          <w:szCs w:val="26"/>
        </w:rPr>
        <w:t>Bảng 2.5 cho thấy nguồn lực không thiếu nhưng đặt chưa đúng chỗ. Quỹ Học bổng sau tiến sĩ Ngô Xuân Độ có ngân sách 5 tỷ đồng, có khoản chi phí khác đủ trang trải chi phí đăng ký và quy định rõ về đồng sở hữu văn bằng, nhưng chỉ dành cho nhà khoa học theo diện học bổng sau tiến sĩ. Đề tài cấp cơ sở, kênh duy nhất đến nay tạo ra sản phẩm đủ điều kiện xác lập quyền, chỉ được Nhà trường cấp 424,75 triệu đồng trong năm năm, bằng 8,5% ngân sách Quỹ, và không có dòng chi cho phí nộp đơn, phí duy trì hiệu lực. Điều 38 Quyết định 213 không có mục chi riêng cho lệ phí đăng ký; Điều 13 Quyết định 217 chỉ coi lệ phí xác lập quyền là khoản được trừ khi chia lợi ích, tức sau khi đã có doanh thu. Giữa hai kênh không có cơ chế chuyển tiếp.</w:t>
      </w:r>
    </w:p>
    <w:p w14:paraId="478B6AC7" w14:textId="77777777" w:rsidR="005B561C" w:rsidRPr="000F7C87" w:rsidRDefault="00000000">
      <w:pPr>
        <w:keepNext/>
        <w:spacing w:before="160" w:after="80"/>
        <w:ind w:firstLine="0"/>
        <w:jc w:val="center"/>
        <w:rPr>
          <w:szCs w:val="26"/>
        </w:rPr>
      </w:pPr>
      <w:r w:rsidRPr="000F7C87">
        <w:rPr>
          <w:b/>
          <w:szCs w:val="26"/>
        </w:rPr>
        <w:t>Hình 2.3.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3. Số đề tài cấp cơ sở theo hình thức kinh phí và kinh phí Nhà trường cấp, giai đoạn 2021 - 2025"/>
            <wp:cNvGraphicFramePr/>
            <a:graphic>
              <a:graphicData uri="http://schemas.openxmlformats.org/drawingml/2006/chart">
                <c:chart r:id="rId10"/>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2.3 cho thấy cơ chế cấp kinh phí đề tài cấp cơ sở thay đổi sau năm 2022: toàn bộ 6 đề tài năm 2021 và 7 trên 10 đề tài năm 2022 chỉ được quy đổi giờ nghiên cứu; từ năm 2023, phần lớn đề tài được cấp tiền và tổng kinh phí đạt 145 triệu đồng năm 2025. Mức cấp phân tán mạnh, trung vị 8,5 triệu đồng, cao nhất 80 triệu đồng. Đáng chú ý, cả 11 đề tài có sản phẩm đủ điều kiện xác lập quyền đều thuộc nhóm 19 đề tài được cấp tiền và dùng 396,75 triệu đồng, tức 93,4% tổng kinh phí. Kinh phí bằng tiền là điều kiện cần để tạo ra sản phẩm có thể bảo hộ, nhưng chỉ đủ tạo ra sản phẩm, không có phần cho bước đăng ký.</w:t>
      </w:r>
    </w:p>
    <w:p w14:paraId="48E95726" w14:textId="77777777" w:rsidR="005B561C" w:rsidRPr="000F7C87" w:rsidRDefault="00000000">
      <w:pPr>
        <w:rPr>
          <w:szCs w:val="26"/>
        </w:rPr>
      </w:pPr>
      <w:r w:rsidRPr="000F7C87">
        <w:rPr>
          <w:szCs w:val="26"/>
        </w:rPr>
        <w:t>Về khuyến khích, Quy chế chi tiêu nội bộ năm 2026 quy định kinh phí xét duyệt không quá 50 triệu đồng cho đề tài có đăng ký sở hữu trí tuệ và quy đổi giờ nghiên cứu cho văn bằng, với điều kiện đã có chứng nhận đăng ký thành công. Định mức này được đặt cạnh chế độ dành cho công bố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2.4.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4. Giờ nghiên cứu quy đổi và mức thưởng bằng tiền theo loại sản phẩm khoa học"/>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2.4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thường từ hai đến ba năm sau khi nộp đơn. Với cùng một kết quả nghiên cứu, lựa chọn hợp lý của giảng viên là công bố trước. Theo khoản 3 và khoản 4 Điều 60 Luật Sở hữu trí tuệ, đơn phải được nộp trong thời hạn mười hai tháng kể từ ngày bộc lộ thì sáng chế mới không bị coi là mất tính mới. Cấu trúc khuyến khích này phù hợp với việc công bố tăng mạnh trong khi đơn đăng ký hầu như vắng mặt.</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Hệ thống thống kê của Phòng Khoa học Công nghệ chỉ theo dõi bài báo, sách, giáo trình, đề tài và tham luận; không có danh mục nào theo dõi tài sản trí tuệ đã đăng ký hoặc được cấp văn bằng, dù Điều 11 Quyết định 217 giao Phòng nhiệm vụ này. Danh mục tài sản trí tuệ hiện có do bộ phận quản trị thương hiệu lập và không liên kết với các danh mục trên. Mức độ khai báo trong hồ sơ nghiệm thu thấp: 26 trên 38 đề tài khai tổng cộng 32 công bố, trong khi phép so khớp gắn được 107 bài báo với các đề tài, tức độ phủ khoảng 29,9%. Nếu bài báo, loại sản phẩm dễ nhận diện nhất, còn khai thiếu thì công thức, quy trình càng ít khả năng được ghi nhận. Dữ liệu cũng chưa chuẩn hóa: tên đơn vị ghi nhiều cách, danh mục bài báo không có trường đơn vị, biểu mẫu giáo trình năm 2021 khác các năm sau.</w:t>
      </w:r>
    </w:p>
    <w:p w14:paraId="478B6AC7" w14:textId="77777777" w:rsidR="005B561C" w:rsidRPr="000F7C87" w:rsidRDefault="00000000">
      <w:pPr>
        <w:keepNext/>
        <w:spacing w:before="160" w:after="80"/>
        <w:ind w:firstLine="0"/>
        <w:jc w:val="center"/>
        <w:rPr>
          <w:szCs w:val="26"/>
        </w:rPr>
      </w:pPr>
      <w:r w:rsidRPr="000F7C87">
        <w:rPr>
          <w:b/>
          <w:szCs w:val="26"/>
        </w:rPr>
        <w:t>Hình 2.5.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5. Khả năng tính toán bộ tiêu chí đánh giá hiệu quả quản lý quyền sở hữu trí tuệ từ dữ liệu hiện có"/>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2.5 lượng hóa hệ quả: trong 16 tiêu chí đánh giá hiệu quả quản lý quyền sở hữu trí tuệ xây dựng tại Mục 1.4.2, chỉ 5 tiêu chí tính được đầy đủ, 4 tiêu chí tính được một phần và 7 tiêu chí chưa tính được; nhóm kết quả không có tiêu chí nào tính được đầy đủ. Nhà trường đo được đã xác lập bao nhiêu quyền nhưng chưa đo được quyền mang lại giá trị gì. Đây lại là nhóm thông tin phải công khai theo điểm đ khoản 3 Điều 28 Luật Giáo dục đại học số 125/2025/QH15 và phải nhất quán trên HEMIS theo tiêu chí 1.3 của Chuẩn cơ sở giáo dục đại học mới.</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2.6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keepNext/>
        <w:spacing w:before="160" w:after="80"/>
        <w:ind w:firstLine="0"/>
        <w:jc w:val="center"/>
        <w:rPr>
          <w:szCs w:val="26"/>
        </w:rPr>
      </w:pPr>
      <w:r w:rsidRPr="000F7C87">
        <w:rPr>
          <w:b/>
          <w:szCs w:val="26"/>
        </w:rPr>
        <w:t>Bảng 2.6.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31"/>
        <w:gridCol w:w="2238"/>
        <w:gridCol w:w="1531"/>
        <w:gridCol w:w="2238"/>
        <w:gridCol w:w="1531"/>
      </w:tblGrid>
      <w:tr>
        <w:trPr>
          <w:cantSplit/>
          <w:tblHeader/>
        </w:trPr>
        <w:tc>
          <w:tcPr>
            <w:tcW w:w="1531" w:type="dxa"/>
            <w:shd w:val="clear" w:color="auto" w:fill="DCE8F7"/>
            <w:vAlign w:val="center"/>
          </w:tcPr>
          <w:p>
            <w:pPr>
              <w:spacing w:before="20" w:after="20" w:line="252" w:lineRule="auto"/>
              <w:ind w:firstLine="0"/>
              <w:jc w:val="center"/>
            </w:pPr>
            <w:r>
              <w:rPr>
                <w:b/>
                <w:sz w:val="24"/>
              </w:rPr>
              <w:t xml:space="preserve">Nhóm quyền</w:t>
            </w:r>
          </w:p>
        </w:tc>
        <w:tc>
          <w:tcPr>
            <w:tcW w:w="2238" w:type="dxa"/>
            <w:shd w:val="clear" w:color="auto" w:fill="DCE8F7"/>
            <w:vAlign w:val="center"/>
          </w:tcPr>
          <w:p>
            <w:pPr>
              <w:spacing w:before="20" w:after="20" w:line="252" w:lineRule="auto"/>
              <w:ind w:firstLine="0"/>
              <w:jc w:val="center"/>
            </w:pPr>
            <w:r>
              <w:rPr>
                <w:b/>
                <w:sz w:val="24"/>
              </w:rPr>
              <w:t xml:space="preserve">Đối tượng</w:t>
            </w:r>
          </w:p>
        </w:tc>
        <w:tc>
          <w:tcPr>
            <w:tcW w:w="1531" w:type="dxa"/>
            <w:shd w:val="clear" w:color="auto" w:fill="DCE8F7"/>
            <w:vAlign w:val="center"/>
          </w:tcPr>
          <w:p>
            <w:pPr>
              <w:spacing w:before="20" w:after="20" w:line="252" w:lineRule="auto"/>
              <w:ind w:firstLine="0"/>
              <w:jc w:val="center"/>
            </w:pPr>
            <w:r>
              <w:rPr>
                <w:b/>
                <w:sz w:val="24"/>
              </w:rPr>
              <w:t xml:space="preserve">Quy chế có liệt kê</w:t>
            </w:r>
          </w:p>
        </w:tc>
        <w:tc>
          <w:tcPr>
            <w:tcW w:w="2238" w:type="dxa"/>
            <w:shd w:val="clear" w:color="auto" w:fill="DCE8F7"/>
            <w:vAlign w:val="center"/>
          </w:tcPr>
          <w:p>
            <w:pPr>
              <w:spacing w:before="20" w:after="20" w:line="252" w:lineRule="auto"/>
              <w:ind w:firstLine="0"/>
              <w:jc w:val="center"/>
            </w:pPr>
            <w:r>
              <w:rPr>
                <w:b/>
                <w:sz w:val="24"/>
              </w:rPr>
              <w:t xml:space="preserve">Thực tế phát sinh</w:t>
            </w:r>
          </w:p>
        </w:tc>
        <w:tc>
          <w:tcPr>
            <w:tcW w:w="1531" w:type="dxa"/>
            <w:shd w:val="clear" w:color="auto" w:fill="DCE8F7"/>
            <w:vAlign w:val="center"/>
          </w:tcPr>
          <w:p>
            <w:pPr>
              <w:spacing w:before="20" w:after="20" w:line="252" w:lineRule="auto"/>
              <w:ind w:firstLine="0"/>
              <w:jc w:val="center"/>
            </w:pPr>
            <w:r>
              <w:rPr>
                <w:b/>
                <w:sz w:val="24"/>
              </w:rPr>
              <w:t xml:space="preserve">Đã xác lập quyền</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Bài báo, sách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405 bài báo, 12 sách</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Giáo trình, tài liệu giảng dạy</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87 tài liệu</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Chương trình đào tạo, ngân hàng đề thi, phần mềm</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Chưa thống kê</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Sưu tập dữ liệu</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Bộ mẫu cây thuốc, bộ tiêu bản</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Logo, bộ nhận diện</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Sáng chế</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đơn đang xử lý</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Giải pháp hữu ích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Công thức, quy trình từ đề tài</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Kiểu dáng công nghiệp</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5 văn bằng</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Nhãn hiệu</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 1 đơn</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Bí mật kinh doanh</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Công thức chưa công bố</w:t>
            </w:r>
          </w:p>
        </w:tc>
        <w:tc>
          <w:tcPr>
            <w:tcW w:w="1531"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2.6 cho thấy Nhà trường phát sinh tài sản ở nhiều nhóm đối tượng nhưng mới xác lập quyền ở bốn nhóm, trong đó ba nhóm đã có văn bằng. Giải pháp hữu ích và sưu tập dữ liệu, hai nhóm mà sản phẩm đề tài cấp cơ sở rơi vào nhiều nhất, đều đã có trong quy chế nhưng chưa sản phẩm nào được xác lập quyền; giáo trình, nhóm có khả năng khai thác trong đào tạo, chưa được đăng ký quyền tác giả. Khoảng trống vì vậy nằm ở khâu nhận diện,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w:t>
      </w:r>
    </w:p>
    <w:p w14:paraId="48E95726" w14:textId="77777777" w:rsidR="005B561C" w:rsidRPr="000F7C87" w:rsidRDefault="00000000">
      <w:pPr>
        <w:rPr>
          <w:szCs w:val="26"/>
        </w:rPr>
      </w:pPr>
      <w:r w:rsidRPr="000F7C87">
        <w:rPr>
          <w:szCs w:val="26"/>
        </w:rPr>
        <w:t>Đến thời điểm nghiên cứu, Nhà trường sở hữu 12 tài sản trí tuệ đã được xác lập quyền hoặc đang xử lý đơn, được liệt kê tại Bảng 2.7.</w:t>
      </w:r>
    </w:p>
    <w:p w14:paraId="478B6AC7" w14:textId="77777777" w:rsidR="005B561C" w:rsidRPr="000F7C87" w:rsidRDefault="00000000">
      <w:pPr>
        <w:keepNext/>
        <w:spacing w:before="160" w:after="80"/>
        <w:ind w:firstLine="0"/>
        <w:jc w:val="center"/>
        <w:rPr>
          <w:szCs w:val="26"/>
        </w:rPr>
      </w:pPr>
      <w:r w:rsidRPr="000F7C87">
        <w:rPr>
          <w:b/>
          <w:szCs w:val="26"/>
        </w:rPr>
        <w:t>Bảng 2.7. Tài sản trí tuệ thuộc sở hữu của Trường Đại học Thành Đô</w:t>
      </w:r>
    </w:p>
    <w:tbl>
      <w:tblPr>
        <w:tblStyle w:val="TableGrid"/>
        <w:tblW w:w="0" w:type="auto"/>
        <w:jc w:val="center"/>
        <w:tblLook w:val="04A0" w:firstRow="1" w:lastRow="0" w:firstColumn="1" w:lastColumn="0" w:noHBand="0" w:noVBand="1"/>
      </w:tblPr>
      <w:tblGrid>
        <w:gridCol w:w="566"/>
        <w:gridCol w:w="1360"/>
        <w:gridCol w:w="2380"/>
        <w:gridCol w:w="793"/>
        <w:gridCol w:w="1190"/>
        <w:gridCol w:w="1417"/>
        <w:gridCol w:w="1360"/>
      </w:tblGrid>
      <w:tr>
        <w:trPr>
          <w:cantSplit/>
          <w:tblHeader/>
        </w:trPr>
        <w:tc>
          <w:tcPr>
            <w:tcW w:w="566" w:type="dxa"/>
            <w:shd w:val="clear" w:color="auto" w:fill="DCE8F7"/>
            <w:vAlign w:val="center"/>
          </w:tcPr>
          <w:p>
            <w:pPr>
              <w:spacing w:before="20" w:after="20" w:line="252" w:lineRule="auto"/>
              <w:ind w:firstLine="0"/>
              <w:jc w:val="center"/>
            </w:pPr>
            <w:r>
              <w:rPr>
                <w:b/>
                <w:sz w:val="24"/>
              </w:rPr>
              <w:t xml:space="preserve">TT</w:t>
            </w:r>
          </w:p>
        </w:tc>
        <w:tc>
          <w:tcPr>
            <w:tcW w:w="1360" w:type="dxa"/>
            <w:shd w:val="clear" w:color="auto" w:fill="DCE8F7"/>
            <w:vAlign w:val="center"/>
          </w:tcPr>
          <w:p>
            <w:pPr>
              <w:spacing w:before="20" w:after="20" w:line="252" w:lineRule="auto"/>
              <w:ind w:firstLine="0"/>
              <w:jc w:val="center"/>
            </w:pPr>
            <w:r>
              <w:rPr>
                <w:b/>
                <w:sz w:val="24"/>
              </w:rPr>
              <w:t xml:space="preserve">Loại hình</w:t>
            </w:r>
          </w:p>
        </w:tc>
        <w:tc>
          <w:tcPr>
            <w:tcW w:w="2380" w:type="dxa"/>
            <w:shd w:val="clear" w:color="auto" w:fill="DCE8F7"/>
            <w:vAlign w:val="center"/>
          </w:tcPr>
          <w:p>
            <w:pPr>
              <w:spacing w:before="20" w:after="20" w:line="252" w:lineRule="auto"/>
              <w:ind w:firstLine="0"/>
              <w:jc w:val="center"/>
            </w:pPr>
            <w:r>
              <w:rPr>
                <w:b/>
                <w:sz w:val="24"/>
              </w:rPr>
              <w:t xml:space="preserve">Tên tài sản</w:t>
            </w:r>
          </w:p>
        </w:tc>
        <w:tc>
          <w:tcPr>
            <w:tcW w:w="793" w:type="dxa"/>
            <w:shd w:val="clear" w:color="auto" w:fill="DCE8F7"/>
            <w:vAlign w:val="center"/>
          </w:tcPr>
          <w:p>
            <w:pPr>
              <w:spacing w:before="20" w:after="20" w:line="252" w:lineRule="auto"/>
              <w:ind w:firstLine="0"/>
              <w:jc w:val="center"/>
            </w:pPr>
            <w:r>
              <w:rPr>
                <w:b/>
                <w:sz w:val="24"/>
              </w:rPr>
              <w:t xml:space="preserve">Năm</w:t>
            </w:r>
          </w:p>
        </w:tc>
        <w:tc>
          <w:tcPr>
            <w:tcW w:w="1190" w:type="dxa"/>
            <w:shd w:val="clear" w:color="auto" w:fill="DCE8F7"/>
            <w:vAlign w:val="center"/>
          </w:tcPr>
          <w:p>
            <w:pPr>
              <w:spacing w:before="20" w:after="20" w:line="252" w:lineRule="auto"/>
              <w:ind w:firstLine="0"/>
              <w:jc w:val="center"/>
            </w:pPr>
            <w:r>
              <w:rPr>
                <w:b/>
                <w:sz w:val="24"/>
              </w:rPr>
              <w:t xml:space="preserve">Trạng thái</w:t>
            </w:r>
          </w:p>
        </w:tc>
        <w:tc>
          <w:tcPr>
            <w:tcW w:w="1417" w:type="dxa"/>
            <w:shd w:val="clear" w:color="auto" w:fill="DCE8F7"/>
            <w:vAlign w:val="center"/>
          </w:tcPr>
          <w:p>
            <w:pPr>
              <w:spacing w:before="20" w:after="20" w:line="252" w:lineRule="auto"/>
              <w:ind w:firstLine="0"/>
              <w:jc w:val="center"/>
            </w:pPr>
            <w:r>
              <w:rPr>
                <w:b/>
                <w:sz w:val="24"/>
              </w:rPr>
              <w:t xml:space="preserve">Cơ cấu sở hữu</w:t>
            </w:r>
          </w:p>
        </w:tc>
        <w:tc>
          <w:tcPr>
            <w:tcW w:w="1360" w:type="dxa"/>
            <w:shd w:val="clear" w:color="auto" w:fill="DCE8F7"/>
            <w:vAlign w:val="center"/>
          </w:tcPr>
          <w:p>
            <w:pPr>
              <w:spacing w:before="20" w:after="20" w:line="252" w:lineRule="auto"/>
              <w:ind w:firstLine="0"/>
              <w:jc w:val="center"/>
            </w:pPr>
            <w:r>
              <w:rPr>
                <w:b/>
                <w:sz w:val="24"/>
              </w:rPr>
              <w:t xml:space="preserve">Nguồn hình thành</w:t>
            </w:r>
          </w:p>
        </w:tc>
      </w:tr>
      <w:tr>
        <w:trPr>
          <w:cantSplit/>
        </w:trPr>
        <w:tc>
          <w:tcPr>
            <w:tcW w:w="566" w:type="dxa"/>
            <w:vAlign w:val="center"/>
          </w:tcPr>
          <w:p>
            <w:pPr>
              <w:spacing w:before="20" w:after="20" w:line="252" w:lineRule="auto"/>
              <w:ind w:firstLine="0"/>
              <w:jc w:val="center"/>
            </w:pPr>
            <w:r>
              <w:rPr>
                <w:sz w:val="24"/>
              </w:rPr>
              <w:t xml:space="preserve">1</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Trường Đại học Thành Đô</w:t>
            </w:r>
          </w:p>
        </w:tc>
        <w:tc>
          <w:tcPr>
            <w:tcW w:w="793" w:type="dxa"/>
            <w:vAlign w:val="center"/>
          </w:tcPr>
          <w:p>
            <w:pPr>
              <w:spacing w:before="20" w:after="20" w:line="252" w:lineRule="auto"/>
              <w:ind w:firstLine="0"/>
              <w:jc w:val="center"/>
            </w:pPr>
            <w:r>
              <w:rPr>
                <w:sz w:val="24"/>
              </w:rPr>
              <w:t xml:space="preserve">2021</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2</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Hệ sinh thái giáo dục</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3</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Thanh do University</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4</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Thado Edupark</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5</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Double2n</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6</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Dung dịch vệ sinh phụ nữ</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7</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Tinh dầu vỏ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8</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Xịt miệng - họng thảo dược</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9</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Dầu gội nha đam -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10</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Kem ủ xả tóc từ Bưởi, Bơ, Dừa</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11</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Hợp chất furofuran lignan glucoside từ lá cây quế hoa</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r>
        <w:trPr>
          <w:cantSplit/>
        </w:trPr>
        <w:tc>
          <w:tcPr>
            <w:tcW w:w="566" w:type="dxa"/>
            <w:vAlign w:val="center"/>
          </w:tcPr>
          <w:p>
            <w:pPr>
              <w:spacing w:before="20" w:after="20" w:line="252" w:lineRule="auto"/>
              <w:ind w:firstLine="0"/>
              <w:jc w:val="center"/>
            </w:pPr>
            <w:r>
              <w:rPr>
                <w:sz w:val="24"/>
              </w:rPr>
              <w:t xml:space="preserve">12</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Phương pháp chiết tách hợp chất Isoembigenin từ cây Piper aduncum L</w:t>
            </w:r>
          </w:p>
        </w:tc>
        <w:tc>
          <w:tcPr>
            <w:tcW w:w="793" w:type="dxa"/>
            <w:vAlign w:val="center"/>
          </w:tcPr>
          <w:p>
            <w:pPr>
              <w:spacing w:before="20" w:after="20" w:line="252" w:lineRule="auto"/>
              <w:ind w:firstLine="0"/>
              <w:jc w:val="center"/>
            </w:pPr>
            <w:r>
              <w:rPr>
                <w:sz w:val="24"/>
              </w:rPr>
              <w:t xml:space="preserve">2026</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theo dõi đơn nhãn hiệu, kiểu dáng công nghiệp và thống kê văn bằng của Trường Đại học Thành Đô. Năm là năm cấp văn bằng hoặc năm nộp đơn đối với hồ sơ đang xử lý; danh mục chưa ghi số đơn của hai sáng chế.</w:t>
      </w:r>
    </w:p>
    <w:p w14:paraId="478B6AC7" w14:textId="77777777" w:rsidR="005B561C" w:rsidRPr="000F7C87" w:rsidRDefault="00000000">
      <w:pPr>
        <w:keepNext/>
        <w:spacing w:before="160" w:after="80"/>
        <w:ind w:firstLine="0"/>
        <w:jc w:val="center"/>
        <w:rPr>
          <w:szCs w:val="26"/>
        </w:rPr>
      </w:pPr>
      <w:r w:rsidRPr="000F7C87">
        <w:rPr>
          <w:b/>
          <w:szCs w:val="26"/>
        </w:rPr>
        <w:t>Hình 2.6. Tài sản trí tuệ của Nhà trường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6" name="Biểu đồ 506" descr="Hình 2.6. Tài sản trí tuệ của Nhà trường theo loại hình và tình trạng pháp lý"/>
            <wp:cNvGraphicFramePr/>
            <a:graphic>
              <a:graphicData uri="http://schemas.openxmlformats.org/drawingml/2006/chart">
                <c:chart r:id="rId13"/>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Bảng 2.7 và Hình 2.6 cho thấy danh mục hình thành từ ba luồng với kết quả rất khác nhau. Luồng thương hiệu gồm 4 tài sản, đều do Nhà trường đơn sở hữu và đều đã có văn bằng. Luồng hợp tác doanh nghiệp gồm 5 kiểu dáng công nghiệp và 1 nhãn hiệu, đều đồng sở hữu với cùng một doanh nghiệp; riêng năm 2024 có 5 kiểu dáng được cấp, nâng số lũy kế từ 4 lên 9 tài sản. Luồng nghiên cứu chỉ có 2 đơn sáng chế nộp năm 2025 và 2026, chưa có văn bằng. Như vậy, khoảng 475 sản phẩm khoa học chỉ đóng góp 2 trên 12 tài sản; năng lực xác lập quyền sở hữu công nghiệp phụ thuộc đáng kể vào một đối tác; và kiểu dáng công nghiệp chỉ bảo hộ hình dáng bên ngoài, không bảo hộ công thức hay quy trình. Giải pháp hữu ích, loại hình phù hợp nhất với sản phẩm đề tài cấp cơ sở, vắng mặt hoàn toàn.</w:t>
      </w:r>
    </w:p>
    <w:p w14:paraId="48E95726" w14:textId="77777777" w:rsidR="005B561C" w:rsidRPr="000F7C87" w:rsidRDefault="00000000">
      <w:pPr>
        <w:rPr>
          <w:szCs w:val="26"/>
        </w:rPr>
      </w:pPr>
      <w:r w:rsidRPr="000F7C87">
        <w:rPr>
          <w:szCs w:val="26"/>
        </w:rPr>
        <w:t>Về bảo vệ quyền, giai đoạn nghiên cứu không ghi nhận tranh chấp, khiếu nại hay xử lý xâm phạm liên quan đến Nhà trường, phù hợp với quy mô tài sản nhỏ và mức khai thác hạn chế. Thời hạn văn bằng được theo dõi trong bảng do bộ phận quản trị thương hiệu lập; do 5 kiểu dáng được cấp cùng năm 2024, việc gia hạn sẽ dồn vào cùng một thời điểm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đủ điều kiện xác lập quyền</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đủ điều kiện xác lập quyền ngoài báo cáo và bài báo, được liệt kê tại Bảng 2.8.</w:t>
      </w:r>
    </w:p>
    <w:p w14:paraId="478B6AC7" w14:textId="77777777" w:rsidR="005B561C" w:rsidRPr="000F7C87" w:rsidRDefault="00000000">
      <w:pPr>
        <w:keepNext/>
        <w:spacing w:before="160" w:after="80"/>
        <w:ind w:firstLine="0"/>
        <w:jc w:val="center"/>
        <w:rPr>
          <w:szCs w:val="26"/>
        </w:rPr>
      </w:pPr>
      <w:r w:rsidRPr="000F7C87">
        <w:rPr>
          <w:b/>
          <w:szCs w:val="26"/>
        </w:rPr>
        <w:t>Bảng 2.8. Đề tài cấp cơ sở có sản phẩm đủ điều kiện xác lập quyền, giai đoạn 2021 - 2025</w:t>
      </w:r>
    </w:p>
    <w:tbl>
      <w:tblPr>
        <w:tblStyle w:val="TableGrid"/>
        <w:tblW w:w="0" w:type="auto"/>
        <w:jc w:val="center"/>
        <w:tblLook w:val="04A0" w:firstRow="1" w:lastRow="0" w:firstColumn="1" w:lastColumn="0" w:noHBand="0" w:noVBand="1"/>
      </w:tblPr>
      <w:tblGrid>
        <w:gridCol w:w="846"/>
        <w:gridCol w:w="1813"/>
        <w:gridCol w:w="3144"/>
        <w:gridCol w:w="1995"/>
        <w:gridCol w:w="1269"/>
      </w:tblGrid>
      <w:tr>
        <w:trPr>
          <w:cantSplit/>
          <w:tblHeader/>
        </w:trPr>
        <w:tc>
          <w:tcPr>
            <w:tcW w:w="846" w:type="dxa"/>
            <w:shd w:val="clear" w:color="auto" w:fill="DCE8F7"/>
            <w:vAlign w:val="center"/>
          </w:tcPr>
          <w:p>
            <w:pPr>
              <w:spacing w:before="20" w:after="20" w:line="252" w:lineRule="auto"/>
              <w:ind w:firstLine="0"/>
              <w:jc w:val="center"/>
            </w:pPr>
            <w:r>
              <w:rPr>
                <w:b/>
                <w:sz w:val="24"/>
              </w:rPr>
              <w:t xml:space="preserve">Năm</w:t>
            </w:r>
          </w:p>
        </w:tc>
        <w:tc>
          <w:tcPr>
            <w:tcW w:w="1813" w:type="dxa"/>
            <w:shd w:val="clear" w:color="auto" w:fill="DCE8F7"/>
            <w:vAlign w:val="center"/>
          </w:tcPr>
          <w:p>
            <w:pPr>
              <w:spacing w:before="20" w:after="20" w:line="252" w:lineRule="auto"/>
              <w:ind w:firstLine="0"/>
              <w:jc w:val="center"/>
            </w:pPr>
            <w:r>
              <w:rPr>
                <w:b/>
                <w:sz w:val="24"/>
              </w:rPr>
              <w:t xml:space="preserve">Đơn vị chủ trì</w:t>
            </w:r>
          </w:p>
        </w:tc>
        <w:tc>
          <w:tcPr>
            <w:tcW w:w="3144" w:type="dxa"/>
            <w:shd w:val="clear" w:color="auto" w:fill="DCE8F7"/>
            <w:vAlign w:val="center"/>
          </w:tcPr>
          <w:p>
            <w:pPr>
              <w:spacing w:before="20" w:after="20" w:line="252" w:lineRule="auto"/>
              <w:ind w:firstLine="0"/>
              <w:jc w:val="center"/>
            </w:pPr>
            <w:r>
              <w:rPr>
                <w:b/>
                <w:sz w:val="24"/>
              </w:rPr>
              <w:t xml:space="preserve">Sản phẩm nghiệm thu</w:t>
            </w:r>
          </w:p>
        </w:tc>
        <w:tc>
          <w:tcPr>
            <w:tcW w:w="1995" w:type="dxa"/>
            <w:shd w:val="clear" w:color="auto" w:fill="DCE8F7"/>
            <w:vAlign w:val="center"/>
          </w:tcPr>
          <w:p>
            <w:pPr>
              <w:spacing w:before="20" w:after="20" w:line="252" w:lineRule="auto"/>
              <w:ind w:firstLine="0"/>
              <w:jc w:val="center"/>
            </w:pPr>
            <w:r>
              <w:rPr>
                <w:b/>
                <w:sz w:val="24"/>
              </w:rPr>
              <w:t xml:space="preserve">Nhóm quyền có thể xác lập</w:t>
            </w:r>
          </w:p>
        </w:tc>
        <w:tc>
          <w:tcPr>
            <w:tcW w:w="1269" w:type="dxa"/>
            <w:shd w:val="clear" w:color="auto" w:fill="DCE8F7"/>
            <w:vAlign w:val="center"/>
          </w:tcPr>
          <w:p>
            <w:pPr>
              <w:spacing w:before="20" w:after="20" w:line="252" w:lineRule="auto"/>
              <w:ind w:firstLine="0"/>
              <w:jc w:val="center"/>
            </w:pPr>
            <w:r>
              <w:rPr>
                <w:b/>
                <w:sz w:val="24"/>
              </w:rPr>
              <w:t xml:space="preserve">Tình trạng</w:t>
            </w:r>
          </w:p>
        </w:tc>
      </w:tr>
      <w:tr>
        <w:trPr>
          <w:cantSplit/>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Công nghệ kỹ thuật Ô tô</w:t>
            </w:r>
          </w:p>
        </w:tc>
        <w:tc>
          <w:tcPr>
            <w:tcW w:w="3144"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995" w:type="dxa"/>
            <w:vAlign w:val="center"/>
          </w:tcPr>
          <w:p>
            <w:pPr>
              <w:spacing w:before="20" w:after="20" w:line="252" w:lineRule="auto"/>
              <w:ind w:firstLine="0"/>
              <w:jc w:val="left"/>
            </w:pPr>
            <w:r>
              <w:rPr>
                <w:sz w:val="24"/>
              </w:rPr>
              <w:t xml:space="preserve">Kiểu dáng công nghiệp hoặc 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Sản phẩm cầm máu dạng màng</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Bộ mẫu cây thuốc</w:t>
            </w:r>
          </w:p>
        </w:tc>
        <w:tc>
          <w:tcPr>
            <w:tcW w:w="1995" w:type="dxa"/>
            <w:vAlign w:val="center"/>
          </w:tcPr>
          <w:p>
            <w:pPr>
              <w:spacing w:before="20" w:after="20" w:line="252" w:lineRule="auto"/>
              <w:ind w:firstLine="0"/>
              <w:jc w:val="left"/>
            </w:pPr>
            <w:r>
              <w:rPr>
                <w:sz w:val="24"/>
              </w:rPr>
              <w:t xml:space="preserve">Sưu tập dữ liệu</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2023</w:t>
            </w:r>
          </w:p>
        </w:tc>
        <w:tc>
          <w:tcPr>
            <w:tcW w:w="1813" w:type="dxa"/>
            <w:vAlign w:val="center"/>
          </w:tcPr>
          <w:p>
            <w:pPr>
              <w:spacing w:before="20" w:after="20" w:line="252" w:lineRule="auto"/>
              <w:ind w:firstLine="0"/>
              <w:jc w:val="left"/>
            </w:pPr>
            <w:r>
              <w:rPr>
                <w:sz w:val="24"/>
              </w:rPr>
              <w:t xml:space="preserve">Viện Nghiên cứu giáo dục và Chuyển giao tri thức</w:t>
            </w:r>
          </w:p>
        </w:tc>
        <w:tc>
          <w:tcPr>
            <w:tcW w:w="3144"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Xà phòng hữu cơ tảo biển kèm quy trình và công thức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100 tiêu bản hiển vi và cẩm nang phát hiện giun sán</w:t>
            </w:r>
          </w:p>
        </w:tc>
        <w:tc>
          <w:tcPr>
            <w:tcW w:w="1995" w:type="dxa"/>
            <w:vAlign w:val="center"/>
          </w:tcPr>
          <w:p>
            <w:pPr>
              <w:spacing w:before="20" w:after="20" w:line="252" w:lineRule="auto"/>
              <w:ind w:firstLine="0"/>
              <w:jc w:val="left"/>
            </w:pPr>
            <w:r>
              <w:rPr>
                <w:sz w:val="24"/>
              </w:rPr>
              <w:t xml:space="preserve">Sưu tập dữ liệu, quyền tác giả</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Rutin độ tinh khiết 90% kèm quy trình chiết xuất, tinh chế</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Thang thuốc 100 ml kèm công thức và quy trình sắc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Chiết xuất lá Quế hoa, hồ sơ ghi giai đoạn 2 là sáng chế</w:t>
            </w:r>
          </w:p>
        </w:tc>
        <w:tc>
          <w:tcPr>
            <w:tcW w:w="1995" w:type="dxa"/>
            <w:vAlign w:val="center"/>
          </w:tcPr>
          <w:p>
            <w:pPr>
              <w:spacing w:before="20" w:after="20" w:line="252" w:lineRule="auto"/>
              <w:ind w:firstLine="0"/>
              <w:jc w:val="left"/>
            </w:pPr>
            <w:r>
              <w:rPr>
                <w:sz w:val="24"/>
              </w:rPr>
              <w:t xml:space="preserve">Sáng chế</w:t>
            </w:r>
          </w:p>
        </w:tc>
        <w:tc>
          <w:tcPr>
            <w:tcW w:w="1269"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có thể xác lập là đánh giá sơ bộ dựa trên mô tả sản phẩm trong hồ sơ nghiệm thu.</w:t>
      </w:r>
    </w:p>
    <w:p w14:paraId="478B6AC7" w14:textId="77777777" w:rsidR="005B561C" w:rsidRPr="000F7C87" w:rsidRDefault="00000000">
      <w:pPr>
        <w:keepNext/>
        <w:spacing w:before="160" w:after="80"/>
        <w:ind w:firstLine="0"/>
        <w:jc w:val="center"/>
        <w:rPr>
          <w:szCs w:val="26"/>
        </w:rPr>
      </w:pPr>
      <w:r w:rsidRPr="000F7C87">
        <w:rPr>
          <w:b/>
          <w:szCs w:val="26"/>
        </w:rPr>
        <w:t>Hình 2.7. Sản phẩm đề tài cấp cơ sở đủ điều kiện xác lập quyền theo nhóm quyền có thể xác lập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7. Sản phẩm đề tài cấp cơ sở đủ điều kiện xác lập quyền theo nhóm quyền có thể xác lập"/>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2.8.</w:t>
      </w:r>
    </w:p>
    <w:p w14:paraId="48E95726" w14:textId="77777777" w:rsidR="005B561C" w:rsidRPr="000F7C87" w:rsidRDefault="00000000">
      <w:pPr>
        <w:rPr>
          <w:szCs w:val="26"/>
        </w:rPr>
      </w:pPr>
      <w:r w:rsidRPr="000F7C87">
        <w:rPr>
          <w:szCs w:val="26"/>
        </w:rPr>
        <w:t>Hình 2.7 cho thấy 9 trên 11 sản phẩm thuộc nhóm sở hữu công nghiệp và giải pháp hữu ích phù hợp với 8 sản phẩm. Loại hình này không đòi hỏi trình độ sáng tạo như sáng chế, phù hợp với quy mô đề tài cấp cơ sở và theo Chuẩn cơ sở giáo dục đại học mới được tính 3 sản phẩm quy đổi mỗi văn bằng, nhưng chưa sản phẩm nào được nộp đơn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keepNext/>
        <w:spacing w:before="160" w:after="80"/>
        <w:ind w:firstLine="0"/>
        <w:jc w:val="center"/>
        <w:rPr>
          <w:szCs w:val="26"/>
        </w:rPr>
      </w:pPr>
      <w:r w:rsidRPr="000F7C87">
        <w:rPr>
          <w:b/>
          <w:szCs w:val="26"/>
        </w:rPr>
        <w:t>Hình 2.8.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8. Chuỗi chuyển hóa từ đề tài cấp cơ sở sang đơn đăng ký sở hữu công nghiệp"/>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2.8.</w:t>
      </w:r>
    </w:p>
    <w:p w14:paraId="48E95726" w14:textId="77777777" w:rsidR="005B561C" w:rsidRPr="000F7C87" w:rsidRDefault="00000000">
      <w:pPr>
        <w:rPr>
          <w:szCs w:val="26"/>
        </w:rPr>
      </w:pPr>
      <w:r w:rsidRPr="000F7C87">
        <w:rPr>
          <w:szCs w:val="26"/>
        </w:rPr>
        <w:t>Hình 2.8 cho thấy điểm đứt gãy nằm ở bậc thứ hai của chuỗi. Có 28,9% số đề tài tạo ra sản phẩm có thể xác lập quyền, tỷ lệ đáng ghi nhận với một trường có phần lớn ngành thuộc kinh tế, xã hội và ngôn ngữ; nhưng chỉ 9,1% số đề tài đủ điều kiện được nộp đơn. Nếu chỉ xét đề tài giao đến năm 2024, đã đủ thời gian để nộp đơn, có 8 đề tài đủ điều kiện và không đề tài nào nộp đơn. Vấn đề không nằm ở đầu vào mà ở khâu nối giữa nghiệm thu và đăng ký.</w:t>
      </w:r>
    </w:p>
    <w:p w14:paraId="48E95726" w14:textId="77777777" w:rsidR="005B561C" w:rsidRPr="000F7C87" w:rsidRDefault="00000000">
      <w:pPr>
        <w:rPr>
          <w:szCs w:val="26"/>
        </w:rPr>
      </w:pPr>
      <w:r w:rsidRPr="000F7C87">
        <w:rPr>
          <w:szCs w:val="26"/>
        </w:rPr>
        <w:t>Đề tài chiết xuất lá Quế hoa năm 2025 là đề tài cấp cơ sở duy nhất trong năm năm chuyển thành đơn sáng chế, và đơn được nộp ngay trong năm nghiệm thu. Trường hợp này cho thấy kênh chuyển hóa vận hành được trong điều kiện hiện có, nhưng mới vận hành một lần, do một chủ nhiệm đồng thời chủ trì đề tài cấp quốc gia. Hai đề tài năm 2025 khác ghi dự kiến đăng ký giải pháp hữu ích nhưng chưa có đơn; hai sản phẩm này vẫn có thể được nộp đơn nếu còn trong thời hạn mười hai tháng kể từ ngày bộc lộ. Đề tài tinh dầu Citrus grandis năm 2023 có liên hệ về tên gọi với kiểu dáng tinh dầu vỏ bưởi đào cấp năm 2024, nhưng hồ sơ chưa đủ để khẳng định; kể cả khi liên hệ được xác nhận, công thức và quy trình chiết xuất vẫn chưa được đăng ký. Hai danh mục do hai bộ phận lập và không có trường liên kết, là bằng chứng trực tiếp cho sự tách rời giữa luồng thương hiệu và luồng nghiên cứu.</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không có hợp đồng, biên bản chuyển giao hay kết quả thương mại hóa kèm theo. Ý định chuyển giao được ghi vào hồ sơ nhưng không có bước nào biến ý định thành giao dịch.</w:t>
      </w:r>
    </w:p>
    <w:p w14:paraId="48E95726" w14:textId="77777777" w:rsidR="005B561C" w:rsidRPr="000F7C87" w:rsidRDefault="00000000">
      <w:pPr>
        <w:rPr>
          <w:szCs w:val="26"/>
        </w:rPr>
      </w:pPr>
      <w:r w:rsidRPr="000F7C87">
        <w:rPr>
          <w:szCs w:val="26"/>
        </w:rPr>
        <w:t>Ở mức khai thác có thu phí, thống kê của Viện Nghiên cứu giáo dục và Chuyển giao tri thức ghi nhận năm hợp đồng giai đoạn 2023 - 2024.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đúng nghĩa. Ba hợp đồng còn lại là dịch vụ đào tạo, giảng dạy, tổng trị giá 100 triệu đồng, thuộc khai thác tri thức chuyên môn chứ không phải khai thác một tài sản đã xác lập quyền.</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mới có hai hợp đồng, do một đơn vị thực hiện và đối với sách chuyên khảo; chín văn bằng đã được cấp chưa phát sinh giao dịch chuyển giao quyền nào. Năng lực khai thác gắn với tư cách pháp lý và chức năng được giao của Viện Nghiên cứu giáo dục và Chuyển giao tri thức, không phân bố theo năng lực chuyên môn. Đây cũng là nội dung có dữ liệu mỏng nhất, vì hệ thống thống kê không theo dõi việc sử dụng và khai thác tài sản trí tuệ, trong khi Bảng 6B của Chuẩn cơ sở giáo dục đại học mới yêu cầu tách riêng khoản thu từ thương mại hóa kết quả nghiên cứu và sở hữu trí tuệ.</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do chính Nhà trường đặt ra và là loại chỉ số hoạt động chính mà tiêu chí 1.2 của Chuẩn cơ sở giáo dục đại học mới yêu cầu đạt tối thiểu 50%.</w:t>
      </w:r>
    </w:p>
    <w:p w14:paraId="478B6AC7" w14:textId="77777777" w:rsidR="005B561C" w:rsidRPr="000F7C87" w:rsidRDefault="00000000">
      <w:pPr>
        <w:keepNext/>
        <w:spacing w:before="160" w:after="80"/>
        <w:ind w:firstLine="0"/>
        <w:jc w:val="center"/>
        <w:rPr>
          <w:szCs w:val="26"/>
        </w:rPr>
      </w:pPr>
      <w:r w:rsidRPr="000F7C87">
        <w:rPr>
          <w:b/>
          <w:szCs w:val="26"/>
        </w:rPr>
        <w:t>Hình 2.9.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096000"/>
            <wp:effectExtent l="0" t="0" r="0" b="0"/>
            <wp:docPr id="509" name="Biểu đồ 509" descr="Hình 2.9. Tỷ lệ thực hiện so với chỉ tiêu Kế hoạch 07/KH-ĐHTĐ, cộng dồn hai năm 2024 - 2025"/>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Chỉ tiêu bài báo trong nước gồm bài đăng tạp chí trong nước và tạp chí của Trường; văn bằng sở hữu trí tuệ gồm sáng chế, kiểu dáng công nghiệp, quyền tác giả được cấp; không gồm tham luận hội thảo quốc gia do danh mục không có năm.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2.9 cho thấy 7 trên 10 chỉ tiêu đạt hoặc vượt kế hoạch, nhưng kết quả phân hóa rõ theo nhóm. Nhóm công bố vượt xa chỉ tiêu: bài báo quốc tế đạt 85 bài so với 30 bài, tức 283%; sách 267%; tham luận cấp trường 223%; bài báo trong nước 165%. Nhóm đề tài và học liệu dao động quanh kế hoạch, từ 90% với giáo trình đến 150% với đề tài cấp Bộ, Nhà nước. Ở nhóm tài sản trí tuệ, chỉ tiêu văn bằng đạt 150% với 6 văn bằng, nhưng đó là 5 kiểu dáng đồng sở hữu với doanh nghiệp và nhãn hiệu Thado Edupark, không văn bằng nào hình thành từ đề tài; chỉ tiêu chuyển giao công nghệ năm 2025 không đạt.</w:t>
      </w:r>
    </w:p>
    <w:p w14:paraId="48E95726" w14:textId="77777777" w:rsidR="005B561C" w:rsidRPr="000F7C87" w:rsidRDefault="00000000">
      <w:pPr>
        <w:rPr>
          <w:szCs w:val="26"/>
        </w:rPr>
      </w:pPr>
      <w:r w:rsidRPr="000F7C87">
        <w:rPr>
          <w:szCs w:val="26"/>
        </w:rPr>
        <w:t>Do Kế hoạch gộp sáng chế với kiểu dáng công nghiệp và quyền tác giả trong một chỉ tiêu, chỉ tiêu này có thể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hệ thống quy định về sở hữu trí tuệ từ sớm. Quyết định 213 năm 2021 đã có một chương riêng với phạm vi tài sản khá đầy đủ và quy trình đăng ký một cửa; Quyết định 217 năm 2024 mở rộng phạm vi tài sản, bổ sung nguyên tắc công bố và bảo mật, phân công đầu mối. Đây là nền để đáp ứng nội dung quản trị bắt buộc về sở hữu trí tuệ của Chuẩn cơ sở giáo dục đại học mới.</w:t>
      </w:r>
    </w:p>
    <w:p w14:paraId="48E95726" w14:textId="77777777" w:rsidR="005B561C" w:rsidRPr="000F7C87" w:rsidRDefault="00000000">
      <w:pPr>
        <w:rPr>
          <w:szCs w:val="26"/>
        </w:rPr>
      </w:pPr>
      <w:r w:rsidRPr="000F7C87">
        <w:rPr>
          <w:szCs w:val="26"/>
        </w:rPr>
        <w:t>Thứ hai, Nhà trường đã xác lập 12 tài sản trí tuệ, trong đó 9 tài sản có văn bằng; nhóm thương hiệu gồm tên trường, bộ nhận diện và thương hiệu hệ sinh thái được bảo hộ liên tục từ năm 2021, có ý nghĩa trong cạnh tranh tuyển sinh.</w:t>
      </w:r>
    </w:p>
    <w:p w14:paraId="48E95726" w14:textId="77777777" w:rsidR="005B561C" w:rsidRPr="000F7C87" w:rsidRDefault="00000000">
      <w:pPr>
        <w:rPr>
          <w:szCs w:val="26"/>
        </w:rPr>
      </w:pPr>
      <w:r w:rsidRPr="000F7C87">
        <w:rPr>
          <w:szCs w:val="26"/>
        </w:rPr>
        <w:t>Thứ ba, năng lực nghiên cứu tăng nhanh: số bài báo tăng bình quân 62,7% một năm, đạt 1,11 bài trên một giảng viên năm 2025; 7 trên 10 chỉ tiêu khoa học công nghệ của Kế hoạch 07/KH-ĐHTĐ đạt hoặc vượt; ba đề tài cấp quốc gia với tổng kinh phí 4,67 tỷ đồng được giao.</w:t>
      </w:r>
    </w:p>
    <w:p w14:paraId="48E95726" w14:textId="77777777" w:rsidR="005B561C" w:rsidRPr="000F7C87" w:rsidRDefault="00000000">
      <w:pPr>
        <w:rPr>
          <w:szCs w:val="26"/>
        </w:rPr>
      </w:pPr>
      <w:r w:rsidRPr="000F7C87">
        <w:rPr>
          <w:szCs w:val="26"/>
        </w:rPr>
        <w:t>Thứ tư, kênh chuyển hóa từ đề tài sang quyền sở hữu công nghiệp đã vận hành được, với đơn sáng chế từ đề tài chiết xuất lá Quế hoa năm 2025 và đơn sáng chế thứ hai năm 2026.</w:t>
      </w:r>
    </w:p>
    <w:p w14:paraId="48E95726" w14:textId="77777777" w:rsidR="005B561C" w:rsidRPr="000F7C87" w:rsidRDefault="00000000">
      <w:pPr>
        <w:rPr>
          <w:szCs w:val="26"/>
        </w:rPr>
      </w:pPr>
      <w:r w:rsidRPr="000F7C87">
        <w:rPr>
          <w:szCs w:val="26"/>
        </w:rPr>
        <w:t>Thứ năm, Nhà trường đã có nguồn lực tài chính gắn cơ chế sở hữu trí tuệ tương đối hoàn chỉnh là Quỹ Học bổng sau tiến sĩ Ngô Xuân Độ với ngân sách 5 tỷ đồng, và có kết nối với Mạng lưới Trung tâm Hỗ trợ công nghệ và đổi mới sáng tạo từ năm 2023.</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hầu như không được chuyển hóa thành quyền: 11 trên 38 đề tài có sản phẩm đủ điều kiện nhưng chỉ 1 đề tài nộp đơn; 8 đề tài đủ điều kiện giai đoạn 2021 - 2024 đều không nộp đơn; hoạt động nghiên cứu chỉ đóng góp 2 trên 12 tài sản trí tuệ.</w:t>
      </w:r>
    </w:p>
    <w:p w14:paraId="48E95726" w14:textId="77777777" w:rsidR="005B561C" w:rsidRPr="000F7C87" w:rsidRDefault="00000000">
      <w:pPr>
        <w:rPr>
          <w:szCs w:val="26"/>
        </w:rPr>
      </w:pPr>
      <w:r w:rsidRPr="000F7C87">
        <w:rPr>
          <w:szCs w:val="26"/>
        </w:rPr>
        <w:t>Thứ hai, hệ thống quy định chồng lấn và chưa theo kịp pháp luật: bốn văn bản chứa năm quy định chia lợi ích, mức trần 100 triệu đồng không còn tương thích với Điều 135 Luật Sở hữu trí tuệ hiện hành, và chưa có quy định về liêm chính khoa học, liêm chính học thuật đi kèm như nội dung bắt buộc của Chuẩn cơ sở giáo dục đại học mới.</w:t>
      </w:r>
    </w:p>
    <w:p w14:paraId="48E95726" w14:textId="77777777" w:rsidR="005B561C" w:rsidRPr="000F7C87" w:rsidRDefault="00000000">
      <w:pPr>
        <w:rPr>
          <w:szCs w:val="26"/>
        </w:rPr>
      </w:pPr>
      <w:r w:rsidRPr="000F7C87">
        <w:rPr>
          <w:szCs w:val="26"/>
        </w:rPr>
        <w:t>Thứ ba, quản lý quyền diễn ra theo hai luồng tách rời: luồng thương hiệu vận hành đều và có kết quả, luồng nghiên cứu gần như không; danh mục tài sản và danh mục sản phẩm đề tài gần như không có điểm giao.</w:t>
      </w:r>
    </w:p>
    <w:p w14:paraId="48E95726" w14:textId="77777777" w:rsidR="005B561C" w:rsidRPr="000F7C87" w:rsidRDefault="00000000">
      <w:pPr>
        <w:rPr>
          <w:szCs w:val="26"/>
        </w:rPr>
      </w:pPr>
      <w:r w:rsidRPr="000F7C87">
        <w:rPr>
          <w:szCs w:val="26"/>
        </w:rPr>
        <w:t>Thứ tư, năng lực xác lập quyền sở hữu công nghiệp phụ thuộc đối tác: 6 trên 12 tài sản, gồm toàn bộ kiểu dáng công nghiệp, đồng sở hữu với một doanh nghiệp.</w:t>
      </w:r>
    </w:p>
    <w:p w14:paraId="48E95726" w14:textId="77777777" w:rsidR="005B561C" w:rsidRPr="000F7C87" w:rsidRDefault="00000000">
      <w:pPr>
        <w:rPr>
          <w:szCs w:val="26"/>
        </w:rPr>
      </w:pPr>
      <w:r w:rsidRPr="000F7C87">
        <w:rPr>
          <w:szCs w:val="26"/>
        </w:rPr>
        <w:t>Thứ năm, hệ thống dữ liệu chưa đáp ứng yêu cầu quản lý và yêu cầu dữ liệu trên HEMIS: không có danh mục tài sản trí tuệ trong hệ thống thống kê, độ phủ khai báo khoảng 29,9%, 7 trên 16 tiêu chí đánh giá chưa tính được.</w:t>
      </w:r>
    </w:p>
    <w:p w14:paraId="48E95726" w14:textId="77777777" w:rsidR="005B561C" w:rsidRPr="000F7C87" w:rsidRDefault="00000000">
      <w:pPr>
        <w:rPr>
          <w:szCs w:val="26"/>
        </w:rPr>
      </w:pPr>
      <w:r w:rsidRPr="000F7C87">
        <w:rPr>
          <w:szCs w:val="26"/>
        </w:rPr>
        <w:t>Thứ sáu, khai thác có thu phí rất hẹp: hai hợp đồng chuyển giao quyền sử dụng tác phẩm trong năm năm, chín văn bằng chưa phát sinh giao dịch chuyển giao quyền.</w:t>
      </w:r>
    </w:p>
    <w:p w14:paraId="48E95726" w14:textId="77777777" w:rsidR="005B561C" w:rsidRPr="000F7C87" w:rsidRDefault="00000000">
      <w:pPr>
        <w:rPr>
          <w:szCs w:val="26"/>
        </w:rPr>
      </w:pPr>
      <w:r w:rsidRPr="000F7C87">
        <w:rPr>
          <w:szCs w:val="26"/>
        </w:rPr>
        <w:t>Thứ bảy, nghiệm thu chưa gắn với sản phẩm có thể bảo hộ: 20 trên 38 đề tài xếp loại Tốt trở lên, 7 đề tài chỉ có báo cáo tổng kết nhưng 5 trong số đó vẫn xếp loại Tốt, và quy trình nghiệm thu không có khâu đánh giá khả năng bảo hộ.</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khung pháp luật thay đổi dồn dập trong giai đoạn 2025 - 2026, gồm Luật Khoa học, công nghệ và đổi mới sáng tạo số 93/2025/QH15 có hiệu lực từ ngày 01 tháng 10 năm 2025, Luật Giáo dục đại học số 125/2025/QH15, Luật số 131/2025/QH15 sửa đổi Luật Sở hữu trí tuệ có hiệu lực từ ngày 01 tháng 4 năm 2026, Kết luận số 51-KL/TW ngày 17 tháng 6 năm 2026, Quyết định số 1624/QĐ-TTg ngày 21 tháng 8 năm 2026 và Thông tư số 83/2026/TT-BGDĐT ngày 30 tháng 9 năm 2026. Quy chế ban hành năm 2021 được xây dựng trên khung cũ nên một số quy định như mức trần thù lao không còn tương thích.</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phải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Thứ tư, các thước đo đánh giá bên ngoài vẫn đặt trọng số lớn vào công bố quốc tế. Theo Chuẩn cơ sở giáo dục đại học mới, Nhà trường vượt ngưỡng kết quả khoa học công nghệ mà không cần văn bằng, còn ngưỡng công bố WoS, Scopus là ràng buộc thực sự và không tính văn bằng; sức ép từ bên ngoài vì vậy tiếp tục hướng về công bố.</w:t>
      </w:r>
    </w:p>
    <w:p w14:paraId="48E95726" w14:textId="77777777" w:rsidR="005B561C" w:rsidRPr="000F7C87" w:rsidRDefault="00000000">
      <w:pPr>
        <w:rPr>
          <w:szCs w:val="26"/>
        </w:rPr>
      </w:pPr>
      <w:r w:rsidRPr="000F7C87">
        <w:rPr>
          <w:szCs w:val="26"/>
        </w:rPr>
        <w:t>Các nguyên nhân khách quan giải thích vì sao quy mô tài sản trí tuệ còn nhỏ, nhưng không giải thích được vì sao 8 đề tài đủ điều kiện giai đoạn 2021 - 2024 đều không được nộp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Về thể chế, bốn văn bản chứa năm quy định chia lợi ích với phạm vi không rõ ranh giới; Quyết định 217 không thay thế Chương VI Quyết định 213, nên người có sản phẩm không xác định được quy định nào áp dụng.</w:t>
      </w:r>
    </w:p>
    <w:p w14:paraId="48E95726" w14:textId="77777777" w:rsidR="005B561C" w:rsidRPr="000F7C87" w:rsidRDefault="00000000">
      <w:pPr>
        <w:rPr>
          <w:szCs w:val="26"/>
        </w:rPr>
      </w:pPr>
      <w:r w:rsidRPr="000F7C87">
        <w:rPr>
          <w:szCs w:val="26"/>
        </w:rPr>
        <w:t>Về quy trình, Điều 35 Quyết định 213 thiết kế theo cơ chế tác giả chủ động nộp đơn, không có khâu rà soát bắt buộc khả năng bảo hộ khi nghiệm thu; Điều 10 Quyết định 217 tiếp tục đặt trách nhiệm tự nhận diện lên tác giả. Quy trình có trên văn bản nhưng không được kích hoạt.</w:t>
      </w:r>
    </w:p>
    <w:p w14:paraId="48E95726" w14:textId="77777777" w:rsidR="005B561C" w:rsidRPr="000F7C87" w:rsidRDefault="00000000">
      <w:pPr>
        <w:rPr>
          <w:szCs w:val="26"/>
        </w:rPr>
      </w:pPr>
      <w:r w:rsidRPr="000F7C87">
        <w:rPr>
          <w:szCs w:val="26"/>
        </w:rPr>
        <w:t>Về nguồn lực, kênh sinh ra sản phẩm có thể bảo hộ không có dòng chi cho phí nộp đơn và duy trì hiệu lực; kênh có đủ cơ chế là Quỹ Học bổng sau tiến sĩ chỉ dành cho đối tượng hẹp; đơn vị đầu mối chỉ có 2 nhân sự và không có người chuyên trách về sở hữu trí tuệ.</w:t>
      </w:r>
    </w:p>
    <w:p w14:paraId="48E95726" w14:textId="77777777" w:rsidR="005B561C" w:rsidRPr="000F7C87" w:rsidRDefault="00000000">
      <w:pPr>
        <w:rPr>
          <w:szCs w:val="26"/>
        </w:rPr>
      </w:pPr>
      <w:r w:rsidRPr="000F7C87">
        <w:rPr>
          <w:szCs w:val="26"/>
        </w:rPr>
        <w:t>Về động lực, văn bằng được quy đổi từ 180 đến 600 giờ nghiên cứu nhưng không có tiền thưởng và chỉ được ghi nhận sau khi được cấp, trong khi bài báo quốc tế được thưởng từ 10 đến 20 triệu đồng ngay khi đăng.</w:t>
      </w:r>
    </w:p>
    <w:p w14:paraId="48E95726" w14:textId="77777777" w:rsidR="005B561C" w:rsidRPr="000F7C87" w:rsidRDefault="00000000">
      <w:pPr>
        <w:rPr>
          <w:szCs w:val="26"/>
        </w:rPr>
      </w:pPr>
      <w:r w:rsidRPr="000F7C87">
        <w:rPr>
          <w:szCs w:val="26"/>
        </w:rPr>
        <w:t>Về tổ chức, chức năng quản lý bị chia cho bốn đơn vị, ba đơn vị thuộc khối Quản trị và Dịch vụ, và không đơn vị nào thực hiện trọn chu trình từ nhận diện đến khai thác.</w:t>
      </w:r>
    </w:p>
    <w:p w14:paraId="48E95726" w14:textId="77777777" w:rsidR="005B561C" w:rsidRPr="000F7C87" w:rsidRDefault="00000000">
      <w:pPr>
        <w:rPr>
          <w:szCs w:val="26"/>
        </w:rPr>
      </w:pPr>
      <w:r w:rsidRPr="000F7C87">
        <w:rPr>
          <w:szCs w:val="26"/>
        </w:rPr>
        <w:t>Về dữ liệu, không có danh mục tài sản trí tuệ và độ phủ khai báo thấp nên đơn vị đầu mối không có công cụ phát hiện sản phẩm cần rà soát.</w:t>
      </w:r>
    </w:p>
    <w:p w14:paraId="48E95726" w14:textId="77777777" w:rsidR="005B561C" w:rsidRPr="000F7C87" w:rsidRDefault="00000000">
      <w:pPr>
        <w:rPr>
          <w:szCs w:val="26"/>
        </w:rPr>
      </w:pPr>
      <w:r w:rsidRPr="000F7C87">
        <w:rPr>
          <w:szCs w:val="26"/>
        </w:rPr>
        <w:t>Về con người, năng lực nghiên cứu tập trung ở khoảng một phần ba nhân sự, và trường hợp chuyển hóa thành công duy nhất thuộc về một chủ nhiệm đồng thời chủ trì đề tài cấp quốc gia, nên hoạt động xác lập quyền mang tính đơn lẻ.</w:t>
      </w:r>
    </w:p>
    <w:p w14:paraId="48E95726" w14:textId="77777777" w:rsidR="005B561C" w:rsidRPr="000F7C87" w:rsidRDefault="00000000">
      <w:pPr>
        <w:rPr>
          <w:szCs w:val="26"/>
        </w:rPr>
      </w:pPr>
      <w:r w:rsidRPr="000F7C87">
        <w:rPr>
          <w:szCs w:val="26"/>
        </w:rPr>
        <w:t>Bảy nguyên nhân chủ quan liên kết thành một chuỗi: thiếu dữ liệu nên đầu mối không phát hiện sản phẩm; thiếu khâu rà soát nên trách nhiệm dồn về tác giả; tác giả đối diện quy định không thống nhất, không có kinh phí nộp đơn và phần thưởng đến chậm nên chọn công bố; sau mười hai tháng, sản phẩm mất khả năng xác lập quyền sáng chế và giải pháp hữu ích. Việc Nhà trường tham gia Mạng lưới Trung tâm Hỗ trợ công nghệ và đổi mới sáng tạo từ năm 2023 mà hai năm 2023 - 2024 không có đơn nào xuất phát từ đề tài cho thấy điểm nghẽn không nằm ở khả năng tiếp cận thông tin mà ở khâu nhận diện và khởi động quy trình. Hệ thống giải pháp tại Chương 3 vì vậy cần tác động đồng thời vào cả chuỗi, trong đó khâu rà soát khả năng bảo hộ tại thời điểm nghiệm thu là điểm can thiệp ưu tiên.</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chart" Target="charts/chart1.xml"/><Relationship Id="rId9" Type="http://schemas.openxmlformats.org/officeDocument/2006/relationships/chart" Target="charts/chart2.xml"/><Relationship Id="rId10" Type="http://schemas.openxmlformats.org/officeDocument/2006/relationships/chart" Target="charts/chart3.xml"/><Relationship Id="rId11" Type="http://schemas.openxmlformats.org/officeDocument/2006/relationships/chart" Target="charts/chart4.xml"/><Relationship Id="rId12" Type="http://schemas.openxmlformats.org/officeDocument/2006/relationships/chart" Target="charts/chart5.xml"/><Relationship Id="rId13" Type="http://schemas.openxmlformats.org/officeDocument/2006/relationships/chart" Target="charts/chart6.xml"/><Relationship Id="rId14" Type="http://schemas.openxmlformats.org/officeDocument/2006/relationships/chart" Target="charts/chart7.xml"/><Relationship Id="rId15" Type="http://schemas.openxmlformats.org/officeDocument/2006/relationships/chart" Target="charts/chart8.xml"/><Relationship Id="rId16" Type="http://schemas.openxmlformats.org/officeDocument/2006/relationships/chart" Target="charts/chart9.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64210526315789473"/>
        </c:manualLayout>
      </c:layout>
      <c:lineChart>
        <c:grouping val="standard"/>
        <c:ser>
          <c:idx val="0"/>
          <c:order val="0"/>
          <c:tx>
            <c:strRef>
              <c:f>'Du_lieu'!$B$1</c:f>
              <c:strCache>
                <c:ptCount val="1"/>
                <c:pt idx="0">
                  <c:v>Quyết định 213, điểm a</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Quyết định 213, điểm b</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ser>
          <c:idx val="2"/>
          <c:order val="2"/>
          <c:tx>
            <c:strRef>
              <c:f>'Du_lieu'!$D$1</c:f>
              <c:strCache>
                <c:ptCount val="1"/>
                <c:pt idx="0">
                  <c:v>Quỹ Ngô Xuân Độ, năm đầu</c:v>
                </c:pt>
              </c:strCache>
            </c:strRef>
          </c:tx>
          <c:spPr>
            <a:ln w="28575">
              <a:solidFill>
                <a:srgbClr val="EB6834"/>
              </a:solidFill>
            </a:ln>
          </c:spPr>
          <c:marker>
            <c:symbol val="circle"/>
            <c:size val="6"/>
            <c:spPr>
              <a:solidFill>
                <a:srgbClr val="EB6834"/>
              </a:solidFill>
              <a:ln>
                <a:solidFill>
                  <a:srgbClr val="EB6834"/>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'Du_lieu'!$D$2:$D$9</c:f>
              <c:numCache>
                <c:formatCode>General</c:formatCode>
                <c:ptCount val="8"/>
                <c:pt idx="0">
                  <c:v>0</c:v>
                </c:pt>
                <c:pt idx="1">
                  <c:v>50</c:v>
                </c:pt>
                <c:pt idx="2">
                  <c:v>100</c:v>
                </c:pt>
                <c:pt idx="3">
                  <c:v>150</c:v>
                </c:pt>
                <c:pt idx="4">
                  <c:v>200</c:v>
                </c:pt>
                <c:pt idx="5">
                  <c:v>250</c:v>
                </c:pt>
                <c:pt idx="6">
                  <c:v>300</c:v>
                </c:pt>
                <c:pt idx="7">
                  <c:v>350</c:v>
                </c:pt>
              </c:numCache>
            </c:numRef>
          </c:val>
          <c:smooth val="0"/>
        </c:ser>
        <c:ser>
          <c:idx val="3"/>
          <c:order val="3"/>
          <c:tx>
            <c:strRef>
              <c:f>'Du_lieu'!$E$1</c:f>
              <c:strCache>
                <c:ptCount val="1"/>
                <c:pt idx="0">
                  <c:v>Quỹ Ngô Xuân Độ, từ năm thứ hai</c:v>
                </c:pt>
              </c:strCache>
            </c:strRef>
          </c:tx>
          <c:spPr>
            <a:ln w="28575">
              <a:solidFill>
                <a:srgbClr val="4A3AA7"/>
              </a:solidFill>
              <a:prstDash val="dash"/>
            </a:ln>
          </c:spPr>
          <c:marker>
            <c:symbol val="circle"/>
            <c:size val="6"/>
            <c:spPr>
              <a:solidFill>
                <a:srgbClr val="4A3AA7"/>
              </a:solidFill>
              <a:ln>
                <a:solidFill>
                  <a:srgbClr val="4A3AA7"/>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'Du_lieu'!$E$2:$E$9</c:f>
              <c:numCache>
                <c:formatCode>General</c:formatCode>
                <c:ptCount val="8"/>
                <c:pt idx="0">
                  <c:v>0</c:v>
                </c:pt>
                <c:pt idx="1">
                  <c:v>20</c:v>
                </c:pt>
                <c:pt idx="2">
                  <c:v>40</c:v>
                </c:pt>
                <c:pt idx="3">
                  <c:v>60</c:v>
                </c:pt>
                <c:pt idx="4">
                  <c:v>80</c:v>
                </c:pt>
                <c:pt idx="5">
                  <c:v>100</c:v>
                </c:pt>
                <c:pt idx="6">
                  <c:v>120</c:v>
                </c:pt>
                <c:pt idx="7">
                  <c:v>140</c:v>
                </c:pt>
              </c:numCache>
            </c:numRef>
          </c:val>
          <c:smooth val="0"/>
        </c:ser>
        <c:ser>
          <c:idx val="4"/>
          <c:order val="4"/>
          <c:tx>
            <c:strRef>
              <c:f>'Du_lieu'!$F$1</c:f>
              <c:strCache>
                <c:ptCount val="1"/>
                <c:pt idx="0">
                  <c:v>Luật Sở hữu trí tuệ, Điều 135</c:v>
                </c:pt>
              </c:strCache>
            </c:strRef>
          </c:tx>
          <c:spPr>
            <a:ln w="19050">
              <a:solidFill>
                <a:srgbClr val="3B3A36"/>
              </a:solidFill>
              <a:prstDash val="sysDot"/>
            </a:ln>
          </c:spPr>
          <c:marker>
            <c:symbol val="circle"/>
            <c:size val="6"/>
            <c:spPr>
              <a:solidFill>
                <a:srgbClr val="3B3A36"/>
              </a:solidFill>
              <a:ln>
                <a:solidFill>
                  <a:srgbClr val="3B3A3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'Du_lieu'!$F$2:$F$9</c:f>
              <c:numCache>
                <c:formatCode>General</c:formatCode>
                <c:ptCount val="8"/>
                <c:pt idx="0">
                  <c:v>0</c:v>
                </c:pt>
                <c:pt idx="1">
                  <c:v>15</c:v>
                </c:pt>
                <c:pt idx="2">
                  <c:v>30</c:v>
                </c:pt>
                <c:pt idx="3">
                  <c:v>45</c:v>
                </c:pt>
                <c:pt idx="4">
                  <c:v>60</c:v>
                </c:pt>
                <c:pt idx="5">
                  <c:v>75</c:v>
                </c:pt>
                <c:pt idx="6">
                  <c:v>90</c:v>
                </c:pt>
                <c:pt idx="7">
                  <c:v>105</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Khoản thu từ một hợp đồng chuyển giao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của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3</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1</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Đang xử lý</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2</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tài sản</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giai đoạn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'Du_lieu'!$B$2:$B$4</c:f>
              <c:numCache>
                <c:formatCode>General</c:formatCode>
                <c:ptCount val="3"/>
                <c:pt idx="0">
                  <c:v>38</c:v>
                </c:pt>
                <c:pt idx="1">
                  <c:v>11</c:v>
                </c:pt>
                <c:pt idx="2">
                  <c:v>1</c:v>
                </c:pt>
              </c:numCache>
            </c:numRef>
          </c:val>
        </c:ser>
        <c:ser>
          <c:idx val="1"/>
          <c:order val="1"/>
          <c:tx>
            <c:strRef>
              <c:f>'Du_lieu'!$C$1</c:f>
              <c:strCache>
                <c:ptCount val="1"/>
                <c:pt idx="0">
                  <c:v>Đề tài giao từ năm 2021 đến năm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'Du_lieu'!$C$2:$C$4</c:f>
              <c:numCache>
                <c:formatCode>General</c:formatCode>
                <c:ptCount val="3"/>
                <c:pt idx="0">
                  <c:v>31</c:v>
                </c:pt>
                <c:pt idx="1">
                  <c:v>8</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3032258064516129"/>
          <c:y val="0.034883720930232558"/>
          <c:w val="0.59870967741935477"/>
          <c:h val="0.83720930232558133"/>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Pt>
            <c:idx val="9"/>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'Du_lieu'!$A$2:$A$11</c:f>
              <c:strCache>
                <c:ptCount val="10"/>
                <c:pt idx="0">
                  <c:v>Bài báo quốc tế</c:v>
                </c:pt>
                <c:pt idx="1">
                  <c:v>Sách có ISBN</c:v>
                </c:pt>
                <c:pt idx="2">
                  <c:v>Tham luận cấp trường</c:v>
                </c:pt>
                <c:pt idx="3">
                  <c:v>Bài báo trong nước</c:v>
                </c:pt>
                <c:pt idx="4">
                  <c:v>Đề tài cấp Bộ, Nhà nước</c:v>
                </c:pt>
                <c:pt idx="5">
                  <c:v>Đề tài cấp cơ sở</c:v>
                </c:pt>
                <c:pt idx="6">
                  <c:v>Tham luận quốc tế</c:v>
                </c:pt>
                <c:pt idx="7">
                  <c:v>Giáo trình, tài liệu</c:v>
                </c:pt>
                <c:pt idx="8">
                  <c:v>Văn bằng sở hữu trí tuệ</c:v>
                </c:pt>
                <c:pt idx="9">
                  <c:v>Chuyển giao công nghệ</c:v>
                </c:pt>
              </c:strCache>
            </c:strRef>
          </c:cat>
          <c:val>
            <c:numRef>
              <c:f>'Du_lieu'!$E$2:$E$11</c:f>
              <c:numCache>
                <c:formatCode>General</c:formatCode>
                <c:ptCount val="10"/>
                <c:pt idx="0">
                  <c:v>2.833333333333333</c:v>
                </c:pt>
                <c:pt idx="1">
                  <c:v>2.666666666666667</c:v>
                </c:pt>
                <c:pt idx="2">
                  <c:v>2.233333333333333</c:v>
                </c:pt>
                <c:pt idx="3">
                  <c:v>1.645454545454546</c:v>
                </c:pt>
                <c:pt idx="4">
                  <c:v>1.5</c:v>
                </c:pt>
                <c:pt idx="5">
                  <c:v>1.071428571428571</c:v>
                </c:pt>
                <c:pt idx="6">
                  <c:v>0.9090909090909091</c:v>
                </c:pt>
                <c:pt idx="7">
                  <c:v>0.9</c:v>
                </c:pt>
                <c:pt idx="8">
                  <c:v>1.5</c:v>
                </c:pt>
                <c:pt idx="9">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2. Thực trạng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