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Phạm vi: chỉ kiểm tra tính chính xác của nội dung, không đánh giá bố cục, cách trình bày hay văn phong. Mức độ: A là lỗi phải sửa trước khi nộp (sai quy định pháp luật, sai số liệu, tài liệu tham khảo sai, khai phương pháp không thực hiện); B là lỗi cần sửa; C là sai sót nhỏ.</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41 phát hiện, trong đó 16 lỗi mức A, 23 lỗi mức B và 2 lỗi mức C. Báo cáo chưa đủ điều kiện nộp nghiệm thu nếu chưa sửa các lỗi mức A. Bốn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15 tài liệu và mâu thuẫn với danh mục ở Mở đầu; một bài báo bị gán cho sai tác giả (Rialti thay cho O'Dwyer).</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Bảng 2.1 khớp từng dòng với danh sách nhân sự ở dạng tổng hợp (252 nhân sự, 145 giảng viên, 94 tiến sĩ, 25 GS và PGS); các tỷ lệ 37,3%, 57,9%, 86,2%, 88,0%; Phòng KHCN có 02 nhân sự trình độ thạc sĩ; số ngành của ba viện.</w:t>
      </w:r>
    </w:p>
    <w:p>
      <w:pPr>
        <w:spacing w:before="0" w:after="60" w:line="276" w:lineRule="auto"/>
        <w:ind w:left="340"/>
        <w:jc w:val="both"/>
      </w:pPr>
      <w:r>
        <w:rPr>
          <w:rFonts w:ascii="Times New Roman" w:hAnsi="Times New Roman" w:eastAsia="Times New Roman"/>
          <w:b w:val="0"/>
          <w:i w:val="0"/>
          <w:sz w:val="26"/>
        </w:rPr>
        <w:t>- Bảng 2.2 khớp từng ô; các phép tính 3,43 lần, 36,1%/năm, 7 lần, 62,7%/năm, tỷ trọng 41,1% và 83,9%; tổng kinh phí 424,75 triệu đồng và cơ cấu 19/16/3; 396,75 triệu đồng (93,4%); 71 bài quốc tế có phân hạng; hệ số Gini 0,836 và tỷ lệ 38,3%; ba đề tài NAFOSTED 4,67 tỷ đồng và ngày phê duyệt.</w:t>
      </w:r>
    </w:p>
    <w:p>
      <w:pPr>
        <w:spacing w:before="0" w:after="60" w:line="276" w:lineRule="auto"/>
        <w:ind w:left="340"/>
        <w:jc w:val="both"/>
      </w:pPr>
      <w:r>
        <w:rPr>
          <w:rFonts w:ascii="Times New Roman" w:hAnsi="Times New Roman" w:eastAsia="Times New Roman"/>
          <w:b w:val="0"/>
          <w:i w:val="0"/>
          <w:sz w:val="26"/>
        </w:rPr>
        <w:t>- Bảng 2.7: mã số, sản phẩm, nhóm quyền và ngày nghiệm thu khớp danh mục đề tài (trừ cột đơn vị, xem phát hiện số 30).</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văn bản giao đề tài trong hồ sơ.</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Đối chiếu với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Nghị định số 100/2026/NĐ-CP ban hành ngày 31/3/2026, sửa đổi Nghị định số 65/2023/NĐ-CP về sở hữu công nghiệp (chính báo cáo cũng mô tả đúng như vậy ở Mục 1.2).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giải pháp 3.2.3, 3.2.4</w:t>
            </w:r>
          </w:p>
        </w:tc>
        <w:tc>
          <w:tcPr>
            <w:tcW w:type="dxa" w:w="3515"/>
          </w:tcPr>
          <w:p>
            <w:pPr>
              <w:spacing w:after="40"/>
              <w:jc w:val="left"/>
            </w:pPr>
            <w:r/>
            <w:r>
              <w:rPr>
                <w:rFonts w:ascii="Times New Roman" w:hAnsi="Times New Roman" w:eastAsia="Times New Roman"/>
                <w:b w:val="0"/>
                <w:i w:val="0"/>
                <w:sz w:val="21"/>
              </w:rPr>
              <w:t>Đầu mối Trung tâm Đào tạo và Chuyển giao công nghệ, Viện Quản trị và Sáng tạo số; Trung tâm Công nghệ thông tin chủ trì hoặc phối hợp.</w:t>
            </w:r>
          </w:p>
        </w:tc>
        <w:tc>
          <w:tcPr>
            <w:tcW w:type="dxa" w:w="4535"/>
          </w:tcPr>
          <w:p>
            <w:pPr>
              <w:spacing w:after="40"/>
              <w:jc w:val="left"/>
            </w:pPr>
            <w:r/>
            <w:r>
              <w:rPr>
                <w:rFonts w:ascii="Times New Roman" w:hAnsi="Times New Roman" w:eastAsia="Times New Roman"/>
                <w:b w:val="0"/>
                <w:i w:val="0"/>
                <w:sz w:val="21"/>
              </w:rPr>
              <w:t>Các đơn vị này không có trong cơ cấu tổ chức ở Bảng 2.1 và danh sách nhân sự năm 2026.</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tên đơn vị; dùng đúng tên trong quy chế tổ chức.</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và tệp Zotero: danh mục ở cuối sai thông tin xuất bản của 15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thông tin xuất bản theo Bảng 2.</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Mở đầu 2.1, 2.2</w:t>
            </w:r>
          </w:p>
        </w:tc>
        <w:tc>
          <w:tcPr>
            <w:tcW w:type="dxa" w:w="3515"/>
          </w:tcPr>
          <w:p>
            <w:pPr>
              <w:spacing w:after="40"/>
              <w:jc w:val="left"/>
            </w:pPr>
            <w:r/>
            <w:r>
              <w:rPr>
                <w:rFonts w:ascii="Times New Roman" w:hAnsi="Times New Roman" w:eastAsia="Times New Roman"/>
                <w:b w:val="0"/>
                <w:i w:val="0"/>
                <w:sz w:val="21"/>
              </w:rPr>
              <w:t>Maresova et al. tổng quan 22 công trình, phân loại theo bốn trụ cột; Phạm và Nguyễn (2018) nêu tỷ lệ 50% - 70% doanh thu cấp phép cho tác giả; Lê và Nguyễn (2019) đề xuất mô hình 5 bước.</w:t>
            </w:r>
          </w:p>
        </w:tc>
        <w:tc>
          <w:tcPr>
            <w:tcW w:type="dxa" w:w="4535"/>
          </w:tcPr>
          <w:p>
            <w:pPr>
              <w:spacing w:after="40"/>
              <w:jc w:val="left"/>
            </w:pPr>
            <w:r/>
            <w:r>
              <w:rPr>
                <w:rFonts w:ascii="Times New Roman" w:hAnsi="Times New Roman" w:eastAsia="Times New Roman"/>
                <w:b w:val="0"/>
                <w:i w:val="0"/>
                <w:sz w:val="21"/>
              </w:rPr>
              <w:t>Thư mục không có bản gốc của các bài này nên chưa kiểm chứng được các con số. Con số 22 công trình và mô hình 5 bước đã có từ bản thuyết minh đề tài; tỷ lệ 50% - 70% chỉ thấy trong một bản nháp cũ, ghi là kinh nghiệm quốc tế, không gắn với Đại học Thanh Hoa. (Số liệu Öztürk khảo sát 96 tư vấn viên sở hữu công nghiệp là đúng theo trang Zenodo của bài.) Danh mục cuối còn ghi Phạm và Nguyễn (2018) về Đại học Bách khoa Hà Nội, trái với chính Mở đầu ghi Đại học Thanh Hoa.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bản gốc; chưa kiểm chứng được thì bỏ con số.</w:t>
            </w:r>
          </w:p>
        </w:tc>
      </w:tr>
    </w:tbl>
    <w:p>
      <w:pPr>
        <w:spacing w:before="120" w:after="80" w:line="276" w:lineRule="auto"/>
        <w:jc w:val="both"/>
      </w:pPr>
      <w:r>
        <w:rPr>
          <w:rFonts w:ascii="Times New Roman" w:hAnsi="Times New Roman" w:eastAsia="Times New Roman"/>
          <w:b/>
          <w:i w:val="0"/>
          <w:sz w:val="24"/>
        </w:rPr>
        <w:t>5. Dẫn chiếu nội bộ</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đã xác lập tại Mục 1.4.1 ở Chương 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có danh sách 16 chỉ tiêu được đánh số như Hình 2.6 sử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danh sách 16 chỉ tiêu ở Chương 1 hoặc sửa dẫn chiếu.</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tệp Zotero trong thư mục đề tài và trang của nhà xuất bản (tra cứu ngày 04/10/2026).</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2(30), 38-45</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 danh mục ở Mở đầu ghi DOI 10.1111/jpim.12244</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 DOI đúng 10.1111/jpim.12242 (trang Wiley)</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 (danh mục ở Mở đầu ghi Tech Monitor, WIPO)</w:t>
            </w:r>
          </w:p>
        </w:tc>
        <w:tc>
          <w:tcPr>
            <w:tcW w:type="dxa" w:w="6066"/>
          </w:tcPr>
          <w:p>
            <w:pPr>
              <w:spacing w:after="40"/>
              <w:jc w:val="left"/>
            </w:pPr>
            <w:r/>
            <w:r>
              <w:rPr>
                <w:rFonts w:ascii="Times New Roman" w:hAnsi="Times New Roman" w:eastAsia="Times New Roman"/>
                <w:b w:val="0"/>
                <w:i w:val="0"/>
                <w:sz w:val="21"/>
              </w:rPr>
              <w:t>Asia-Pacific Tech Monitor, 42(2), tháng 4 - 6/2025, do APCTT (ESCAP) xuất bản, không phải WIPO</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 (danh mục ở Mở đầu ghi European Patent Office)</w:t>
            </w:r>
          </w:p>
        </w:tc>
        <w:tc>
          <w:tcPr>
            <w:tcW w:type="dxa" w:w="6066"/>
          </w:tcPr>
          <w:p>
            <w:pPr>
              <w:spacing w:after="40"/>
              <w:jc w:val="left"/>
            </w:pPr>
            <w:r/>
            <w:r>
              <w:rPr>
                <w:rFonts w:ascii="Times New Roman" w:hAnsi="Times New Roman" w:eastAsia="Times New Roman"/>
                <w:b w:val="0"/>
                <w:i w:val="0"/>
                <w:sz w:val="21"/>
              </w:rPr>
              <w:t>Báo cáo của European Commission, Directorate-General for Research and Innovation; tác giả hoàn thành tháng 10/2021, phát hành ngày 02/3/2022</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 640-649</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w:t>
            </w:r>
          </w:p>
        </w:tc>
      </w:tr>
    </w:tbl>
    <w:p>
      <w:pPr>
        <w:spacing w:before="200" w:after="120" w:line="276" w:lineRule="auto"/>
        <w:jc w:val="both"/>
      </w:pPr>
      <w:r>
        <w:rPr>
          <w:rFonts w:ascii="Times New Roman" w:hAnsi="Times New Roman" w:eastAsia="Times New Roman"/>
          <w:b/>
          <w:i w:val="0"/>
          <w:sz w:val="26"/>
        </w:rPr>
        <w:t>5. Văn bản cần bổ sung</w:t>
      </w:r>
    </w:p>
    <w:p>
      <w:pPr>
        <w:spacing w:before="0" w:after="120" w:line="276" w:lineRule="auto"/>
        <w:jc w:val="both"/>
      </w:pPr>
      <w:r>
        <w:rPr>
          <w:rFonts w:ascii="Times New Roman" w:hAnsi="Times New Roman" w:eastAsia="Times New Roman"/>
          <w:b w:val="0"/>
          <w:i w:val="0"/>
          <w:sz w:val="26"/>
        </w:rPr>
        <w:t>Các nội dung sau chưa có văn bản gốc trong hồ sơ; cần bổ sung để giữ lại, nếu không thì bỏ: hai hợp đồng chuyển giao quyền sử dụng sách; Điều lệ Quỹ Học bổng sau tiến sĩ Ngô Xuân Độ; quy định về tỷ lệ trùng lặp; quyết định thành lập Trường; tên các đơn vị ở Hình 2.3; bản gốc các bài của Maresova et al., Phạm và Nguyễn (2018), Lê và Nguyễn (2019) để kiểm tra các con số được dẫn.</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