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Times New Roman"/>
          <w:b/>
          <w:i w:val="0"/>
          <w:sz w:val="30"/>
        </w:rPr>
        <w:t>BÁO CÁO RÀ SOÁT TÍNH CHÍNH XÁC VÀ LIÊM CHÍNH HỌC THUẬT</w:t>
      </w:r>
    </w:p>
    <w:p>
      <w:pPr>
        <w:spacing w:before="0" w:after="240" w:line="276" w:lineRule="auto"/>
        <w:jc w:val="center"/>
      </w:pPr>
      <w:r>
        <w:rPr>
          <w:rFonts w:ascii="Times New Roman" w:hAnsi="Times New Roman" w:eastAsia="Times New Roman"/>
          <w:b w:val="0"/>
          <w:i/>
          <w:sz w:val="26"/>
        </w:rPr>
        <w:t>Bản Báo cáo toàn văn tổng kết đề tài tải lên ngày 04/10/2026</w:t>
      </w:r>
    </w:p>
    <w:p>
      <w:pPr>
        <w:spacing w:before="120" w:after="120" w:line="276" w:lineRule="auto"/>
        <w:jc w:val="both"/>
      </w:pPr>
      <w:r>
        <w:rPr>
          <w:rFonts w:ascii="Times New Roman" w:hAnsi="Times New Roman" w:eastAsia="Times New Roman"/>
          <w:b/>
          <w:i w:val="0"/>
          <w:sz w:val="26"/>
        </w:rPr>
        <w:t>1. Phạm vi và cách rà soát</w:t>
      </w:r>
    </w:p>
    <w:p>
      <w:pPr>
        <w:spacing w:before="0" w:after="120" w:line="276" w:lineRule="auto"/>
        <w:jc w:val="both"/>
      </w:pPr>
      <w:r>
        <w:rPr>
          <w:rFonts w:ascii="Times New Roman" w:hAnsi="Times New Roman" w:eastAsia="Times New Roman"/>
          <w:b w:val="0"/>
          <w:i w:val="0"/>
          <w:sz w:val="26"/>
        </w:rPr>
        <w:t>Bản báo cáo được đọc toàn văn, từ Mở đầu đến Tài liệu tham khảo (khoảng 36.800 chữ). Mỗi nhận định về pháp luật, số liệu và tài liệu được đối chiếu với nguồn gốc lưu trong thư mục đề tài: văn bản pháp luật trong thư mục VBPL (Văn bản hợp nhất số 67/VBHN-VPQH Luật Sở hữu trí tuệ, Luật số 93/2025/QH15, Luật số 125/2025/QH15, Nghị định 267, Nghị định 134, Thông tư 83, Kết luận 51, Quyết định 1624, Chỉ thị 02); tài liệu của Trường trong thư mục Tai lieu thanh do (Quy chế chi tiêu nội bộ 2026, Chiến lược của Trường, khung chiến lược Edupark); bộ dữ liệu đã chuẩn hóa Du_lieu_bieu_do_Chuong_2.xlsx; bản PDF của các tài liệu tham khảo hiện có. Nghị định 100/2026/NĐ-CP không có trong thư mục nên được tra cứu trên mạng. Dữ liệu cá nhân trong danh sách nhân sự chỉ được dùng ở dạng tổng hợp.</w:t>
      </w:r>
    </w:p>
    <w:p>
      <w:pPr>
        <w:spacing w:before="0" w:after="120" w:line="276" w:lineRule="auto"/>
        <w:jc w:val="both"/>
      </w:pPr>
      <w:r>
        <w:rPr>
          <w:rFonts w:ascii="Times New Roman" w:hAnsi="Times New Roman" w:eastAsia="Times New Roman"/>
          <w:b w:val="0"/>
          <w:i w:val="0"/>
          <w:sz w:val="26"/>
        </w:rPr>
        <w:t>Phạm vi: chỉ kiểm tra tính chính xác của nội dung, không đánh giá bố cục, cách trình bày hay văn phong. Mức độ: A là lỗi phải sửa trước khi nộp (sai quy định pháp luật, sai số liệu, tài liệu tham khảo sai, khai phương pháp không thực hiện); B là lỗi cần sửa; C là sai sót nhỏ.</w:t>
      </w:r>
    </w:p>
    <w:p>
      <w:pPr>
        <w:spacing w:before="120" w:after="120" w:line="276" w:lineRule="auto"/>
        <w:jc w:val="both"/>
      </w:pPr>
      <w:r>
        <w:rPr>
          <w:rFonts w:ascii="Times New Roman" w:hAnsi="Times New Roman" w:eastAsia="Times New Roman"/>
          <w:b/>
          <w:i w:val="0"/>
          <w:sz w:val="26"/>
        </w:rPr>
        <w:t>2. Kết luận chung</w:t>
      </w:r>
    </w:p>
    <w:p>
      <w:pPr>
        <w:spacing w:before="0" w:after="120" w:line="276" w:lineRule="auto"/>
        <w:jc w:val="both"/>
      </w:pPr>
      <w:r>
        <w:rPr>
          <w:rFonts w:ascii="Times New Roman" w:hAnsi="Times New Roman" w:eastAsia="Times New Roman"/>
          <w:b w:val="0"/>
          <w:i w:val="0"/>
          <w:sz w:val="26"/>
        </w:rPr>
        <w:t>Có 42 phát hiện, trong đó 16 lỗi mức A, 24 lỗi mức B và 2 lỗi mức C. Báo cáo chưa đủ điều kiện nộp nghiệm thu nếu chưa sửa các lỗi mức A. Bốn vấn đề chính:</w:t>
      </w:r>
    </w:p>
    <w:p>
      <w:pPr>
        <w:spacing w:before="0" w:after="60" w:line="276" w:lineRule="auto"/>
        <w:ind w:left="340"/>
        <w:jc w:val="both"/>
      </w:pPr>
      <w:r>
        <w:rPr>
          <w:rFonts w:ascii="Times New Roman" w:hAnsi="Times New Roman" w:eastAsia="Times New Roman"/>
          <w:b w:val="0"/>
          <w:i w:val="0"/>
          <w:sz w:val="26"/>
        </w:rPr>
        <w:t>- Khai phương pháp chuyên gia và dữ liệu sơ cấp trong khi đề tài không thực hiện; viết giả thuyết về việc công bố sớm làm mất tính mới như một phát hiện đã chứng minh.</w:t>
      </w:r>
    </w:p>
    <w:p>
      <w:pPr>
        <w:spacing w:before="0" w:after="60" w:line="276" w:lineRule="auto"/>
        <w:ind w:left="340"/>
        <w:jc w:val="both"/>
      </w:pPr>
      <w:r>
        <w:rPr>
          <w:rFonts w:ascii="Times New Roman" w:hAnsi="Times New Roman" w:eastAsia="Times New Roman"/>
          <w:b w:val="0"/>
          <w:i w:val="0"/>
          <w:sz w:val="26"/>
        </w:rPr>
        <w:t>- Một số căn cứ pháp luật sai: Điều 86a đã bị bãi bỏ; Điều 73 và Điều 126 Luật Sở hữu trí tuệ dẫn sai nội dung; mức thưởng 30% đến 50% không có trong luật; tên, ngày và nội dung của Nghị định 100/2026 sai.</w:t>
      </w:r>
    </w:p>
    <w:p>
      <w:pPr>
        <w:spacing w:before="0" w:after="60" w:line="276" w:lineRule="auto"/>
        <w:ind w:left="340"/>
        <w:jc w:val="both"/>
      </w:pPr>
      <w:r>
        <w:rPr>
          <w:rFonts w:ascii="Times New Roman" w:hAnsi="Times New Roman" w:eastAsia="Times New Roman"/>
          <w:b w:val="0"/>
          <w:i w:val="0"/>
          <w:sz w:val="26"/>
        </w:rPr>
        <w:t>- Bốn nhóm số liệu của Trường lệch với nguồn gốc: kinh phí đề tài theo năm (Hình 2.4), chỉ tiêu Kế hoạch 07 (Hình 2.10), giờ quy đổi và mức thưởng (Hình 2.5), số đề tài tiềm năng thuộc Viện Y - Dược.</w:t>
      </w:r>
    </w:p>
    <w:p>
      <w:pPr>
        <w:spacing w:before="0" w:after="60" w:line="276" w:lineRule="auto"/>
        <w:ind w:left="340"/>
        <w:jc w:val="both"/>
      </w:pPr>
      <w:r>
        <w:rPr>
          <w:rFonts w:ascii="Times New Roman" w:hAnsi="Times New Roman" w:eastAsia="Times New Roman"/>
          <w:b w:val="0"/>
          <w:i w:val="0"/>
          <w:sz w:val="26"/>
        </w:rPr>
        <w:t>- Danh mục tài liệu tham khảo cuối sai thông tin xuất bản của 15 tài liệu và mâu thuẫn với danh mục ở Mở đầu; một bài báo bị gán cho sai tác giả (Rialti thay cho O'Dwyer).</w:t>
      </w:r>
    </w:p>
    <w:p>
      <w:pPr>
        <w:spacing w:before="120" w:after="120" w:line="276" w:lineRule="auto"/>
        <w:jc w:val="both"/>
      </w:pPr>
      <w:r>
        <w:rPr>
          <w:rFonts w:ascii="Times New Roman" w:hAnsi="Times New Roman" w:eastAsia="Times New Roman"/>
          <w:b/>
          <w:i w:val="0"/>
          <w:sz w:val="26"/>
        </w:rPr>
        <w:t>Những nội dung đã khớp nguồn gốc, có thể giữ:</w:t>
      </w:r>
    </w:p>
    <w:p>
      <w:pPr>
        <w:spacing w:before="0" w:after="60" w:line="276" w:lineRule="auto"/>
        <w:ind w:left="340"/>
        <w:jc w:val="both"/>
      </w:pPr>
      <w:r>
        <w:rPr>
          <w:rFonts w:ascii="Times New Roman" w:hAnsi="Times New Roman" w:eastAsia="Times New Roman"/>
          <w:b w:val="0"/>
          <w:i w:val="0"/>
          <w:sz w:val="26"/>
        </w:rPr>
        <w:t>- Bảng 2.1 khớp từng dòng với danh sách nhân sự ở dạng tổng hợp (252 nhân sự, 145 giảng viên, 94 tiến sĩ, 25 GS và PGS); các tỷ lệ 37,3%, 57,9%, 86,2%, 88,0%; Phòng KHCN có 02 nhân sự trình độ thạc sĩ; số ngành của ba viện.</w:t>
      </w:r>
    </w:p>
    <w:p>
      <w:pPr>
        <w:spacing w:before="0" w:after="60" w:line="276" w:lineRule="auto"/>
        <w:ind w:left="340"/>
        <w:jc w:val="both"/>
      </w:pPr>
      <w:r>
        <w:rPr>
          <w:rFonts w:ascii="Times New Roman" w:hAnsi="Times New Roman" w:eastAsia="Times New Roman"/>
          <w:b w:val="0"/>
          <w:i w:val="0"/>
          <w:sz w:val="26"/>
        </w:rPr>
        <w:t>- Bảng 2.2 khớp từng ô; các phép tính 3,43 lần, 36,1%/năm, 7 lần, 62,7%/năm, tỷ trọng 41,1% và 83,9%; tổng kinh phí 424,75 triệu đồng và cơ cấu 19/16/3; 396,75 triệu đồng (93,4%); 71 bài quốc tế có phân hạng; hệ số Gini 0,836 và tỷ lệ 38,3%; ba đề tài NAFOSTED 4,67 tỷ đồng và ngày phê duyệt.</w:t>
      </w:r>
    </w:p>
    <w:p>
      <w:pPr>
        <w:spacing w:before="0" w:after="60" w:line="276" w:lineRule="auto"/>
        <w:ind w:left="340"/>
        <w:jc w:val="both"/>
      </w:pPr>
      <w:r>
        <w:rPr>
          <w:rFonts w:ascii="Times New Roman" w:hAnsi="Times New Roman" w:eastAsia="Times New Roman"/>
          <w:b w:val="0"/>
          <w:i w:val="0"/>
          <w:sz w:val="26"/>
        </w:rPr>
        <w:t>- Bảng 2.7: mã số, sản phẩm, nhóm quyền và ngày nghiệm thu khớp danh mục đề tài (trừ cột đơn vị, xem phát hiện số 30).</w:t>
      </w:r>
    </w:p>
    <w:p>
      <w:pPr>
        <w:spacing w:before="0" w:after="60" w:line="276" w:lineRule="auto"/>
        <w:ind w:left="340"/>
        <w:jc w:val="both"/>
      </w:pPr>
      <w:r>
        <w:rPr>
          <w:rFonts w:ascii="Times New Roman" w:hAnsi="Times New Roman" w:eastAsia="Times New Roman"/>
          <w:b w:val="0"/>
          <w:i w:val="0"/>
          <w:sz w:val="26"/>
        </w:rPr>
        <w:t>- Bảng 2.6 về 12 hồ sơ tài sản trí tuệ (số đơn, số văn bằng, chủ sở hữu); chuỗi 38 - 9 - 1 và nhóm 31 đề tài 2021 - 2024 không có đơn ở Hình 2.9.</w:t>
      </w:r>
    </w:p>
    <w:p>
      <w:pPr>
        <w:spacing w:before="0" w:after="60" w:line="276" w:lineRule="auto"/>
        <w:ind w:left="340"/>
        <w:jc w:val="both"/>
      </w:pPr>
      <w:r>
        <w:rPr>
          <w:rFonts w:ascii="Times New Roman" w:hAnsi="Times New Roman" w:eastAsia="Times New Roman"/>
          <w:b w:val="0"/>
          <w:i w:val="0"/>
          <w:sz w:val="26"/>
        </w:rPr>
        <w:t>- Nội dung điểm a, điểm b khoản 4 Điều 36 Quyết định 213 (40/30/30, trần 100 triệu đồng; 30/20/50), Điều 13 Quyết định 217 và Bảng 7 Quy chế chi tiêu nội bộ ở Bảng 2.3; phép mô phỏng ngưỡng 333 triệu đồng.</w:t>
      </w:r>
    </w:p>
    <w:p>
      <w:pPr>
        <w:spacing w:before="0" w:after="60" w:line="276" w:lineRule="auto"/>
        <w:ind w:left="340"/>
        <w:jc w:val="both"/>
      </w:pPr>
      <w:r>
        <w:rPr>
          <w:rFonts w:ascii="Times New Roman" w:hAnsi="Times New Roman" w:eastAsia="Times New Roman"/>
          <w:b w:val="0"/>
          <w:i w:val="0"/>
          <w:sz w:val="26"/>
        </w:rPr>
        <w:t>- Khoản 1 Điều 135 ở Bảng 2.3 và Chương 3 (10% lợi nhuận trước thuế; 15% tổng số tiền nhận được trước thuế); Điều 6, Điều 60, Điều 90, Điều 93, khoản 1 và khoản 2 Điều 148 Luật Sở hữu trí tuệ.</w:t>
      </w:r>
    </w:p>
    <w:p>
      <w:pPr>
        <w:spacing w:before="0" w:after="60" w:line="276" w:lineRule="auto"/>
        <w:ind w:left="340"/>
        <w:jc w:val="both"/>
      </w:pPr>
      <w:r>
        <w:rPr>
          <w:rFonts w:ascii="Times New Roman" w:hAnsi="Times New Roman" w:eastAsia="Times New Roman"/>
          <w:b w:val="0"/>
          <w:i w:val="0"/>
          <w:sz w:val="26"/>
        </w:rPr>
        <w:t>- Khoản 1, điểm d và điểm đ khoản 2, điểm a và điểm d khoản 3 Điều 28 Luật Giáo dục đại học; khoản 2 Điều 34 Nghị định 267; Điều 5a Nghị định 134; mốc công khai trước 31/5 và yêu cầu cập nhật HEMIS của Thông tư 83; nội dung Quyết định 1624.</w:t>
      </w:r>
    </w:p>
    <w:p>
      <w:pPr>
        <w:spacing w:before="160" w:after="120" w:line="276" w:lineRule="auto"/>
        <w:jc w:val="both"/>
      </w:pPr>
      <w:r>
        <w:rPr>
          <w:rFonts w:ascii="Times New Roman" w:hAnsi="Times New Roman" w:eastAsia="Times New Roman"/>
          <w:b/>
          <w:i w:val="0"/>
          <w:sz w:val="26"/>
        </w:rPr>
        <w:t>3. Bảng 1. Danh sách phát hiện</w:t>
      </w:r>
    </w:p>
    <w:p>
      <w:pPr>
        <w:spacing w:before="120" w:after="80" w:line="276" w:lineRule="auto"/>
        <w:jc w:val="both"/>
      </w:pPr>
      <w:r>
        <w:rPr>
          <w:rFonts w:ascii="Times New Roman" w:hAnsi="Times New Roman" w:eastAsia="Times New Roman"/>
          <w:b/>
          <w:i w:val="0"/>
          <w:sz w:val="24"/>
        </w:rPr>
        <w:t>1. Khai báo phương pháp, dữ liệu và kết luận vượt bằng chứng</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1</w:t>
            </w:r>
          </w:p>
        </w:tc>
        <w:tc>
          <w:tcPr>
            <w:tcW w:type="dxa" w:w="1701"/>
          </w:tcPr>
          <w:p>
            <w:pPr>
              <w:spacing w:after="40"/>
              <w:jc w:val="left"/>
            </w:pPr>
            <w:r/>
            <w:r>
              <w:rPr>
                <w:rFonts w:ascii="Times New Roman" w:hAnsi="Times New Roman" w:eastAsia="Times New Roman"/>
                <w:b w:val="0"/>
                <w:i w:val="0"/>
                <w:sz w:val="21"/>
              </w:rPr>
              <w:t>Mở đầu, mục 7</w:t>
            </w:r>
          </w:p>
        </w:tc>
        <w:tc>
          <w:tcPr>
            <w:tcW w:type="dxa" w:w="3515"/>
          </w:tcPr>
          <w:p>
            <w:pPr>
              <w:spacing w:after="40"/>
              <w:jc w:val="left"/>
            </w:pPr>
            <w:r/>
            <w:r>
              <w:rPr>
                <w:rFonts w:ascii="Times New Roman" w:hAnsi="Times New Roman" w:eastAsia="Times New Roman"/>
                <w:b w:val="0"/>
                <w:i w:val="0"/>
                <w:sz w:val="21"/>
              </w:rPr>
              <w:t>Nêu phương pháp chuyên gia: tham vấn chuyên gia quản lý khoa học, chuyên gia pháp lý và nhà khoa học đầu ngành.</w:t>
            </w:r>
          </w:p>
        </w:tc>
        <w:tc>
          <w:tcPr>
            <w:tcW w:type="dxa" w:w="4535"/>
          </w:tcPr>
          <w:p>
            <w:pPr>
              <w:spacing w:after="40"/>
              <w:jc w:val="left"/>
            </w:pPr>
            <w:r/>
            <w:r>
              <w:rPr>
                <w:rFonts w:ascii="Times New Roman" w:hAnsi="Times New Roman" w:eastAsia="Times New Roman"/>
                <w:b w:val="0"/>
                <w:i w:val="0"/>
                <w:sz w:val="21"/>
              </w:rPr>
              <w:t>Đề tài không tổ chức tham vấn chuyên gia. Khai một phương pháp không thực hiện là lỗi liêm chính.</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Bỏ phương pháp chuyên gia, hoặc ghi rõ phương pháp này chưa thực hiện và nêu thành giới hạn nghiên cứu.</w:t>
            </w:r>
          </w:p>
        </w:tc>
      </w:tr>
      <w:tr>
        <w:tc>
          <w:tcPr>
            <w:tcW w:type="dxa" w:w="737"/>
          </w:tcPr>
          <w:p>
            <w:pPr>
              <w:spacing w:after="40"/>
              <w:jc w:val="center"/>
            </w:pPr>
            <w:r/>
            <w:r>
              <w:rPr>
                <w:rFonts w:ascii="Times New Roman" w:hAnsi="Times New Roman" w:eastAsia="Times New Roman"/>
                <w:b w:val="0"/>
                <w:i w:val="0"/>
                <w:sz w:val="21"/>
              </w:rPr>
              <w:t>2</w:t>
            </w:r>
          </w:p>
        </w:tc>
        <w:tc>
          <w:tcPr>
            <w:tcW w:type="dxa" w:w="1701"/>
          </w:tcPr>
          <w:p>
            <w:pPr>
              <w:spacing w:after="40"/>
              <w:jc w:val="left"/>
            </w:pPr>
            <w:r/>
            <w:r>
              <w:rPr>
                <w:rFonts w:ascii="Times New Roman" w:hAnsi="Times New Roman" w:eastAsia="Times New Roman"/>
                <w:b w:val="0"/>
                <w:i w:val="0"/>
                <w:sz w:val="21"/>
              </w:rPr>
              <w:t>Mở đầu, mục 5</w:t>
            </w:r>
          </w:p>
        </w:tc>
        <w:tc>
          <w:tcPr>
            <w:tcW w:type="dxa" w:w="3515"/>
          </w:tcPr>
          <w:p>
            <w:pPr>
              <w:spacing w:after="40"/>
              <w:jc w:val="left"/>
            </w:pPr>
            <w:r/>
            <w:r>
              <w:rPr>
                <w:rFonts w:ascii="Times New Roman" w:hAnsi="Times New Roman" w:eastAsia="Times New Roman"/>
                <w:b w:val="0"/>
                <w:i w:val="0"/>
                <w:sz w:val="21"/>
              </w:rPr>
              <w:t>Phạm vi thời gian: số liệu thứ cấp và sơ cấp, giai đoạn từ năm 2020 đến năm 2025.</w:t>
            </w:r>
          </w:p>
        </w:tc>
        <w:tc>
          <w:tcPr>
            <w:tcW w:type="dxa" w:w="4535"/>
          </w:tcPr>
          <w:p>
            <w:pPr>
              <w:spacing w:after="40"/>
              <w:jc w:val="left"/>
            </w:pPr>
            <w:r/>
            <w:r>
              <w:rPr>
                <w:rFonts w:ascii="Times New Roman" w:hAnsi="Times New Roman" w:eastAsia="Times New Roman"/>
                <w:b w:val="0"/>
                <w:i w:val="0"/>
                <w:sz w:val="21"/>
              </w:rPr>
              <w:t>Đề tài không thu thập dữ liệu sơ cấp. Toàn bộ phân tích ở Chương 2 dùng giai đoạn 2021 - 2025.</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số liệu thứ cấp giai đoạn 2021 - 2025. Thay các chữ khảo sát ở Chương 2 bằng rà soát hoặc tổng hợp dữ liệu hành chính.</w:t>
            </w:r>
          </w:p>
        </w:tc>
      </w:tr>
      <w:tr>
        <w:tc>
          <w:tcPr>
            <w:tcW w:type="dxa" w:w="737"/>
          </w:tcPr>
          <w:p>
            <w:pPr>
              <w:spacing w:after="40"/>
              <w:jc w:val="center"/>
            </w:pPr>
            <w:r/>
            <w:r>
              <w:rPr>
                <w:rFonts w:ascii="Times New Roman" w:hAnsi="Times New Roman" w:eastAsia="Times New Roman"/>
                <w:b w:val="0"/>
                <w:i w:val="0"/>
                <w:sz w:val="21"/>
              </w:rPr>
              <w:t>3</w:t>
            </w:r>
          </w:p>
        </w:tc>
        <w:tc>
          <w:tcPr>
            <w:tcW w:type="dxa" w:w="1701"/>
          </w:tcPr>
          <w:p>
            <w:pPr>
              <w:spacing w:after="40"/>
              <w:jc w:val="left"/>
            </w:pPr>
            <w:r/>
            <w:r>
              <w:rPr>
                <w:rFonts w:ascii="Times New Roman" w:hAnsi="Times New Roman" w:eastAsia="Times New Roman"/>
                <w:b w:val="0"/>
                <w:i w:val="0"/>
                <w:sz w:val="21"/>
              </w:rPr>
              <w:t>Trang đầu</w:t>
            </w:r>
          </w:p>
        </w:tc>
        <w:tc>
          <w:tcPr>
            <w:tcW w:type="dxa" w:w="3515"/>
          </w:tcPr>
          <w:p>
            <w:pPr>
              <w:spacing w:after="40"/>
              <w:jc w:val="left"/>
            </w:pPr>
            <w:r/>
            <w:r>
              <w:rPr>
                <w:rFonts w:ascii="Times New Roman" w:hAnsi="Times New Roman" w:eastAsia="Times New Roman"/>
                <w:b w:val="0"/>
                <w:i w:val="0"/>
                <w:sz w:val="21"/>
              </w:rPr>
              <w:t>Mã số đề tài: ĐTCS-2026-SHTT.</w:t>
            </w:r>
          </w:p>
        </w:tc>
        <w:tc>
          <w:tcPr>
            <w:tcW w:type="dxa" w:w="4535"/>
          </w:tcPr>
          <w:p>
            <w:pPr>
              <w:spacing w:after="40"/>
              <w:jc w:val="left"/>
            </w:pPr>
            <w:r/>
            <w:r>
              <w:rPr>
                <w:rFonts w:ascii="Times New Roman" w:hAnsi="Times New Roman" w:eastAsia="Times New Roman"/>
                <w:b w:val="0"/>
                <w:i w:val="0"/>
                <w:sz w:val="21"/>
              </w:rPr>
              <w:t>Không có trong thuyết minh hay văn bản giao đề tài trong hồ sơ.</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Đối chiếu với quyết định giao đề tài.</w:t>
            </w:r>
          </w:p>
        </w:tc>
      </w:tr>
      <w:tr>
        <w:tc>
          <w:tcPr>
            <w:tcW w:type="dxa" w:w="737"/>
          </w:tcPr>
          <w:p>
            <w:pPr>
              <w:spacing w:after="40"/>
              <w:jc w:val="center"/>
            </w:pPr>
            <w:r/>
            <w:r>
              <w:rPr>
                <w:rFonts w:ascii="Times New Roman" w:hAnsi="Times New Roman" w:eastAsia="Times New Roman"/>
                <w:b w:val="0"/>
                <w:i w:val="0"/>
                <w:sz w:val="21"/>
              </w:rPr>
              <w:t>4</w:t>
            </w:r>
          </w:p>
        </w:tc>
        <w:tc>
          <w:tcPr>
            <w:tcW w:type="dxa" w:w="1701"/>
          </w:tcPr>
          <w:p>
            <w:pPr>
              <w:spacing w:after="40"/>
              <w:jc w:val="left"/>
            </w:pPr>
            <w:r/>
            <w:r>
              <w:rPr>
                <w:rFonts w:ascii="Times New Roman" w:hAnsi="Times New Roman" w:eastAsia="Times New Roman"/>
                <w:b w:val="0"/>
                <w:i w:val="0"/>
                <w:sz w:val="21"/>
              </w:rPr>
              <w:t>Mục 2.3.3, Hình 2.11, Tiểu kết Chương 2, Kết luận</w:t>
            </w:r>
          </w:p>
        </w:tc>
        <w:tc>
          <w:tcPr>
            <w:tcW w:type="dxa" w:w="3515"/>
          </w:tcPr>
          <w:p>
            <w:pPr>
              <w:spacing w:after="40"/>
              <w:jc w:val="left"/>
            </w:pPr>
            <w:r/>
            <w:r>
              <w:rPr>
                <w:rFonts w:ascii="Times New Roman" w:hAnsi="Times New Roman" w:eastAsia="Times New Roman"/>
                <w:b w:val="0"/>
                <w:i w:val="0"/>
                <w:sz w:val="21"/>
              </w:rPr>
              <w:t>Khẳng định giảng viên đã vội vàng công bố bài báo, làm mất tính mới tuyệt đối của giải pháp; nhóm nghiên cứu đã làm sáng tỏ chuỗi nguyên nhân gốc rễ.</w:t>
            </w:r>
          </w:p>
        </w:tc>
        <w:tc>
          <w:tcPr>
            <w:tcW w:type="dxa" w:w="4535"/>
          </w:tcPr>
          <w:p>
            <w:pPr>
              <w:spacing w:after="40"/>
              <w:jc w:val="left"/>
            </w:pPr>
            <w:r/>
            <w:r>
              <w:rPr>
                <w:rFonts w:ascii="Times New Roman" w:hAnsi="Times New Roman" w:eastAsia="Times New Roman"/>
                <w:b w:val="0"/>
                <w:i w:val="0"/>
                <w:sz w:val="21"/>
              </w:rPr>
              <w:t>Tên Hình 2.11 ghi là giả thuyết. Hồ sơ không có dữ liệu cho thấy sản phẩm nào trong 8 sản phẩm đã bị bộc lộ qua bài báo. Đây là giả thuyết chưa kiểm chứng nhưng được viết như phát hiện.</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Viết thành giả thuyết hoặc nguy cơ cần kiểm tra; đưa việc rà soát tình trạng bộc lộ thành nhiệm vụ của giải pháp.</w:t>
            </w:r>
          </w:p>
        </w:tc>
      </w:tr>
      <w:tr>
        <w:tc>
          <w:tcPr>
            <w:tcW w:type="dxa" w:w="737"/>
          </w:tcPr>
          <w:p>
            <w:pPr>
              <w:spacing w:after="40"/>
              <w:jc w:val="center"/>
            </w:pPr>
            <w:r/>
            <w:r>
              <w:rPr>
                <w:rFonts w:ascii="Times New Roman" w:hAnsi="Times New Roman" w:eastAsia="Times New Roman"/>
                <w:b w:val="0"/>
                <w:i w:val="0"/>
                <w:sz w:val="21"/>
              </w:rPr>
              <w:t>5</w:t>
            </w:r>
          </w:p>
        </w:tc>
        <w:tc>
          <w:tcPr>
            <w:tcW w:type="dxa" w:w="1701"/>
          </w:tcPr>
          <w:p>
            <w:pPr>
              <w:spacing w:after="40"/>
              <w:jc w:val="left"/>
            </w:pPr>
            <w:r/>
            <w:r>
              <w:rPr>
                <w:rFonts w:ascii="Times New Roman" w:hAnsi="Times New Roman" w:eastAsia="Times New Roman"/>
                <w:b w:val="0"/>
                <w:i w:val="0"/>
                <w:sz w:val="21"/>
              </w:rPr>
              <w:t>Mục 2.2.3; 2.3.2 (ý Sáu là); Bảng 3.3</w:t>
            </w:r>
          </w:p>
        </w:tc>
        <w:tc>
          <w:tcPr>
            <w:tcW w:type="dxa" w:w="3515"/>
          </w:tcPr>
          <w:p>
            <w:pPr>
              <w:spacing w:after="40"/>
              <w:jc w:val="left"/>
            </w:pPr>
            <w:r/>
            <w:r>
              <w:rPr>
                <w:rFonts w:ascii="Times New Roman" w:hAnsi="Times New Roman" w:eastAsia="Times New Roman"/>
                <w:b w:val="0"/>
                <w:i w:val="0"/>
                <w:sz w:val="21"/>
              </w:rPr>
              <w:t>Nhà trường đã ký 02 hợp đồng chuyển giao quyền sử dụng sách chuyên khảo, mỗi hợp đồng 5 triệu đồng mỗi năm, theo số liệu của Viện Nghiên cứu giáo dục và Chuyển giao tri thức.</w:t>
            </w:r>
          </w:p>
        </w:tc>
        <w:tc>
          <w:tcPr>
            <w:tcW w:type="dxa" w:w="4535"/>
          </w:tcPr>
          <w:p>
            <w:pPr>
              <w:spacing w:after="40"/>
              <w:jc w:val="left"/>
            </w:pPr>
            <w:r/>
            <w:r>
              <w:rPr>
                <w:rFonts w:ascii="Times New Roman" w:hAnsi="Times New Roman" w:eastAsia="Times New Roman"/>
                <w:b w:val="0"/>
                <w:i w:val="0"/>
                <w:sz w:val="21"/>
              </w:rPr>
              <w:t>Không tìm thấy hợp đồng, sổ theo dõi hay số liệu nào về nội dung này trong thư mục tài liệu của Trường và bộ dữ liệu đã chuẩn hóa.</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Bổ sung văn bản gốc trước khi dùng; nếu không có thì bỏ.</w:t>
            </w:r>
          </w:p>
        </w:tc>
      </w:tr>
      <w:tr>
        <w:tc>
          <w:tcPr>
            <w:tcW w:type="dxa" w:w="737"/>
          </w:tcPr>
          <w:p>
            <w:pPr>
              <w:spacing w:after="40"/>
              <w:jc w:val="center"/>
            </w:pPr>
            <w:r/>
            <w:r>
              <w:rPr>
                <w:rFonts w:ascii="Times New Roman" w:hAnsi="Times New Roman" w:eastAsia="Times New Roman"/>
                <w:b w:val="0"/>
                <w:i w:val="0"/>
                <w:sz w:val="21"/>
              </w:rPr>
              <w:t>6</w:t>
            </w:r>
          </w:p>
        </w:tc>
        <w:tc>
          <w:tcPr>
            <w:tcW w:type="dxa" w:w="1701"/>
          </w:tcPr>
          <w:p>
            <w:pPr>
              <w:spacing w:after="40"/>
              <w:jc w:val="left"/>
            </w:pPr>
            <w:r/>
            <w:r>
              <w:rPr>
                <w:rFonts w:ascii="Times New Roman" w:hAnsi="Times New Roman" w:eastAsia="Times New Roman"/>
                <w:b w:val="0"/>
                <w:i w:val="0"/>
                <w:sz w:val="21"/>
              </w:rPr>
              <w:t>Mục 2.2.3</w:t>
            </w:r>
          </w:p>
        </w:tc>
        <w:tc>
          <w:tcPr>
            <w:tcW w:type="dxa" w:w="3515"/>
          </w:tcPr>
          <w:p>
            <w:pPr>
              <w:spacing w:after="40"/>
              <w:jc w:val="left"/>
            </w:pPr>
            <w:r/>
            <w:r>
              <w:rPr>
                <w:rFonts w:ascii="Times New Roman" w:hAnsi="Times New Roman" w:eastAsia="Times New Roman"/>
                <w:b w:val="0"/>
                <w:i w:val="0"/>
                <w:sz w:val="21"/>
              </w:rPr>
              <w:t>Đề tài 08-2023 đã bàn giao toàn bộ quy trình và sản phẩm mẫu cho Nhà trường để thương mại hóa phục vụ quà tặng.</w:t>
            </w:r>
          </w:p>
        </w:tc>
        <w:tc>
          <w:tcPr>
            <w:tcW w:type="dxa" w:w="4535"/>
          </w:tcPr>
          <w:p>
            <w:pPr>
              <w:spacing w:after="40"/>
              <w:jc w:val="left"/>
            </w:pPr>
            <w:r/>
            <w:r>
              <w:rPr>
                <w:rFonts w:ascii="Times New Roman" w:hAnsi="Times New Roman" w:eastAsia="Times New Roman"/>
                <w:b w:val="0"/>
                <w:i w:val="0"/>
                <w:sz w:val="21"/>
              </w:rPr>
              <w:t>Hồ sơ đề tài chỉ ghi sản phẩm chuyển giao cho Trường thương mại hóa; không có hợp đồng, biên bản bàn giao hay kết quả thương mại hóa.</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Viết đúng mức hồ sơ cho phép: hồ sơ ghi chuyển giao cho Trường, chưa có biên bản hay kết quả thương mại hóa.</w:t>
            </w:r>
          </w:p>
        </w:tc>
      </w:tr>
      <w:tr>
        <w:tc>
          <w:tcPr>
            <w:tcW w:type="dxa" w:w="737"/>
          </w:tcPr>
          <w:p>
            <w:pPr>
              <w:spacing w:after="40"/>
              <w:jc w:val="center"/>
            </w:pPr>
            <w:r/>
            <w:r>
              <w:rPr>
                <w:rFonts w:ascii="Times New Roman" w:hAnsi="Times New Roman" w:eastAsia="Times New Roman"/>
                <w:b w:val="0"/>
                <w:i w:val="0"/>
                <w:sz w:val="21"/>
              </w:rPr>
              <w:t>7</w:t>
            </w:r>
          </w:p>
        </w:tc>
        <w:tc>
          <w:tcPr>
            <w:tcW w:type="dxa" w:w="1701"/>
          </w:tcPr>
          <w:p>
            <w:pPr>
              <w:spacing w:after="40"/>
              <w:jc w:val="left"/>
            </w:pPr>
            <w:r/>
            <w:r>
              <w:rPr>
                <w:rFonts w:ascii="Times New Roman" w:hAnsi="Times New Roman" w:eastAsia="Times New Roman"/>
                <w:b w:val="0"/>
                <w:i w:val="0"/>
                <w:sz w:val="21"/>
              </w:rPr>
              <w:t>Mục 2.2.3</w:t>
            </w:r>
          </w:p>
        </w:tc>
        <w:tc>
          <w:tcPr>
            <w:tcW w:type="dxa" w:w="3515"/>
          </w:tcPr>
          <w:p>
            <w:pPr>
              <w:spacing w:after="40"/>
              <w:jc w:val="left"/>
            </w:pPr>
            <w:r/>
            <w:r>
              <w:rPr>
                <w:rFonts w:ascii="Times New Roman" w:hAnsi="Times New Roman" w:eastAsia="Times New Roman"/>
                <w:b w:val="0"/>
                <w:i w:val="0"/>
                <w:sz w:val="21"/>
              </w:rPr>
              <w:t>Toàn bộ 61 giáo trình nghiệm thu giai đoạn 2022 - 2025 đều được đưa vào giảng dạy theo đúng số tín chỉ.</w:t>
            </w:r>
          </w:p>
        </w:tc>
        <w:tc>
          <w:tcPr>
            <w:tcW w:type="dxa" w:w="4535"/>
          </w:tcPr>
          <w:p>
            <w:pPr>
              <w:spacing w:after="40"/>
              <w:jc w:val="left"/>
            </w:pPr>
            <w:r/>
            <w:r>
              <w:rPr>
                <w:rFonts w:ascii="Times New Roman" w:hAnsi="Times New Roman" w:eastAsia="Times New Roman"/>
                <w:b w:val="0"/>
                <w:i w:val="0"/>
                <w:sz w:val="21"/>
              </w:rPr>
              <w:t>Số 61 khớp Bảng 2.2, nhưng không có nguồn nào xác nhận việc đưa vào giảng dạy.</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Bỏ phần khẳng định, hoặc dẫn nguồn của Phòng Đào tạo.</w:t>
            </w:r>
          </w:p>
        </w:tc>
      </w:tr>
      <w:tr>
        <w:tc>
          <w:tcPr>
            <w:tcW w:type="dxa" w:w="737"/>
          </w:tcPr>
          <w:p>
            <w:pPr>
              <w:spacing w:after="40"/>
              <w:jc w:val="center"/>
            </w:pPr>
            <w:r/>
            <w:r>
              <w:rPr>
                <w:rFonts w:ascii="Times New Roman" w:hAnsi="Times New Roman" w:eastAsia="Times New Roman"/>
                <w:b w:val="0"/>
                <w:i w:val="0"/>
                <w:sz w:val="21"/>
              </w:rPr>
              <w:t>8</w:t>
            </w:r>
          </w:p>
        </w:tc>
        <w:tc>
          <w:tcPr>
            <w:tcW w:type="dxa" w:w="1701"/>
          </w:tcPr>
          <w:p>
            <w:pPr>
              <w:spacing w:after="40"/>
              <w:jc w:val="left"/>
            </w:pPr>
            <w:r/>
            <w:r>
              <w:rPr>
                <w:rFonts w:ascii="Times New Roman" w:hAnsi="Times New Roman" w:eastAsia="Times New Roman"/>
                <w:b w:val="0"/>
                <w:i w:val="0"/>
                <w:sz w:val="21"/>
              </w:rPr>
              <w:t>Mục 2.2.4</w:t>
            </w:r>
          </w:p>
        </w:tc>
        <w:tc>
          <w:tcPr>
            <w:tcW w:type="dxa" w:w="3515"/>
          </w:tcPr>
          <w:p>
            <w:pPr>
              <w:spacing w:after="40"/>
              <w:jc w:val="left"/>
            </w:pPr>
            <w:r/>
            <w:r>
              <w:rPr>
                <w:rFonts w:ascii="Times New Roman" w:hAnsi="Times New Roman" w:eastAsia="Times New Roman"/>
                <w:b w:val="0"/>
                <w:i w:val="0"/>
                <w:sz w:val="21"/>
              </w:rPr>
              <w:t>Tỷ lệ trùng lặp tối đa 20% đến 25% tùy bậc đào tạo; học liệu trên hệ thống quản lý học tập chưa gắn chữ ký số; chưa ghi nhận khiếu nại hay tranh chấp nào.</w:t>
            </w:r>
          </w:p>
        </w:tc>
        <w:tc>
          <w:tcPr>
            <w:tcW w:type="dxa" w:w="4535"/>
          </w:tcPr>
          <w:p>
            <w:pPr>
              <w:spacing w:after="40"/>
              <w:jc w:val="left"/>
            </w:pPr>
            <w:r/>
            <w:r>
              <w:rPr>
                <w:rFonts w:ascii="Times New Roman" w:hAnsi="Times New Roman" w:eastAsia="Times New Roman"/>
                <w:b w:val="0"/>
                <w:i w:val="0"/>
                <w:sz w:val="21"/>
              </w:rPr>
              <w:t>Không có văn bản nguồn trong hồ sơ. Mức 20% chỉ xuất hiện như một đề xuất trong bản nháp cũ, không phải quy định đang áp dụng.</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Dẫn văn bản quy định của Trường hoặc bỏ.</w:t>
            </w:r>
          </w:p>
        </w:tc>
      </w:tr>
      <w:tr>
        <w:tc>
          <w:tcPr>
            <w:tcW w:type="dxa" w:w="737"/>
          </w:tcPr>
          <w:p>
            <w:pPr>
              <w:spacing w:after="40"/>
              <w:jc w:val="center"/>
            </w:pPr>
            <w:r/>
            <w:r>
              <w:rPr>
                <w:rFonts w:ascii="Times New Roman" w:hAnsi="Times New Roman" w:eastAsia="Times New Roman"/>
                <w:b w:val="0"/>
                <w:i w:val="0"/>
                <w:sz w:val="21"/>
              </w:rPr>
              <w:t>9</w:t>
            </w:r>
          </w:p>
        </w:tc>
        <w:tc>
          <w:tcPr>
            <w:tcW w:type="dxa" w:w="1701"/>
          </w:tcPr>
          <w:p>
            <w:pPr>
              <w:spacing w:after="40"/>
              <w:jc w:val="left"/>
            </w:pPr>
            <w:r/>
            <w:r>
              <w:rPr>
                <w:rFonts w:ascii="Times New Roman" w:hAnsi="Times New Roman" w:eastAsia="Times New Roman"/>
                <w:b w:val="0"/>
                <w:i w:val="0"/>
                <w:sz w:val="21"/>
              </w:rPr>
              <w:t>Bảng 2.4, Bảng 2.3</w:t>
            </w:r>
          </w:p>
        </w:tc>
        <w:tc>
          <w:tcPr>
            <w:tcW w:type="dxa" w:w="3515"/>
          </w:tcPr>
          <w:p>
            <w:pPr>
              <w:spacing w:after="40"/>
              <w:jc w:val="left"/>
            </w:pPr>
            <w:r/>
            <w:r>
              <w:rPr>
                <w:rFonts w:ascii="Times New Roman" w:hAnsi="Times New Roman" w:eastAsia="Times New Roman"/>
                <w:b w:val="0"/>
                <w:i w:val="0"/>
                <w:sz w:val="21"/>
              </w:rPr>
              <w:t>Thông tin Quỹ Học bổng sau tiến sĩ Ngô Xuân Độ: ngân sách 5 tỷ đồng, Điều 9 chia 50/50 rồi 20/80.</w:t>
            </w:r>
          </w:p>
        </w:tc>
        <w:tc>
          <w:tcPr>
            <w:tcW w:type="dxa" w:w="4535"/>
          </w:tcPr>
          <w:p>
            <w:pPr>
              <w:spacing w:after="40"/>
              <w:jc w:val="left"/>
            </w:pPr>
            <w:r/>
            <w:r>
              <w:rPr>
                <w:rFonts w:ascii="Times New Roman" w:hAnsi="Times New Roman" w:eastAsia="Times New Roman"/>
                <w:b w:val="0"/>
                <w:i w:val="0"/>
                <w:sz w:val="21"/>
              </w:rPr>
              <w:t>Văn bản Điều lệ Quỹ không có trong hồ sơ. Các bản trước đều ghi rõ: nội dung ghi theo thông tin được cung cấp, chưa đối chiếu văn bản gốc.</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Giữ ghi chú chưa đối chiếu văn bản gốc, hoặc bổ sung Điều lệ.</w:t>
            </w:r>
          </w:p>
        </w:tc>
      </w:tr>
      <w:tr>
        <w:tc>
          <w:tcPr>
            <w:tcW w:type="dxa" w:w="737"/>
          </w:tcPr>
          <w:p>
            <w:pPr>
              <w:spacing w:after="40"/>
              <w:jc w:val="center"/>
            </w:pPr>
            <w:r/>
            <w:r>
              <w:rPr>
                <w:rFonts w:ascii="Times New Roman" w:hAnsi="Times New Roman" w:eastAsia="Times New Roman"/>
                <w:b w:val="0"/>
                <w:i w:val="0"/>
                <w:sz w:val="21"/>
              </w:rPr>
              <w:t>10</w:t>
            </w:r>
          </w:p>
        </w:tc>
        <w:tc>
          <w:tcPr>
            <w:tcW w:type="dxa" w:w="1701"/>
          </w:tcPr>
          <w:p>
            <w:pPr>
              <w:spacing w:after="40"/>
              <w:jc w:val="left"/>
            </w:pPr>
            <w:r/>
            <w:r>
              <w:rPr>
                <w:rFonts w:ascii="Times New Roman" w:hAnsi="Times New Roman" w:eastAsia="Times New Roman"/>
                <w:b w:val="0"/>
                <w:i w:val="0"/>
                <w:sz w:val="21"/>
              </w:rPr>
              <w:t>Bảng 2.6, Mục 2.3.1</w:t>
            </w:r>
          </w:p>
        </w:tc>
        <w:tc>
          <w:tcPr>
            <w:tcW w:type="dxa" w:w="3515"/>
          </w:tcPr>
          <w:p>
            <w:pPr>
              <w:spacing w:after="40"/>
              <w:jc w:val="left"/>
            </w:pPr>
            <w:r/>
            <w:r>
              <w:rPr>
                <w:rFonts w:ascii="Times New Roman" w:hAnsi="Times New Roman" w:eastAsia="Times New Roman"/>
                <w:b w:val="0"/>
                <w:i w:val="0"/>
                <w:sz w:val="21"/>
              </w:rPr>
              <w:t>Đơn sáng chế 1-2025-07378 đã được Cục Sở hữu trí tuệ chấp nhận đơn hợp lệ.</w:t>
            </w:r>
          </w:p>
        </w:tc>
        <w:tc>
          <w:tcPr>
            <w:tcW w:type="dxa" w:w="4535"/>
          </w:tcPr>
          <w:p>
            <w:pPr>
              <w:spacing w:after="40"/>
              <w:jc w:val="left"/>
            </w:pPr>
            <w:r/>
            <w:r>
              <w:rPr>
                <w:rFonts w:ascii="Times New Roman" w:hAnsi="Times New Roman" w:eastAsia="Times New Roman"/>
                <w:b w:val="0"/>
                <w:i w:val="0"/>
                <w:sz w:val="21"/>
              </w:rPr>
              <w:t>Sổ theo dõi có một dòng ghi chấp nhận đơn hợp lệ nhưng không có số đơn, nên không gán được cho đơn này.</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Ghi: đã nộp đơn năm 2025; trạng thái thẩm định cần xác minh.</w:t>
            </w:r>
          </w:p>
        </w:tc>
      </w:tr>
    </w:tbl>
    <w:p>
      <w:pPr>
        <w:spacing w:before="120" w:after="80" w:line="276" w:lineRule="auto"/>
        <w:jc w:val="both"/>
      </w:pPr>
      <w:r>
        <w:rPr>
          <w:rFonts w:ascii="Times New Roman" w:hAnsi="Times New Roman" w:eastAsia="Times New Roman"/>
          <w:b/>
          <w:i w:val="0"/>
          <w:sz w:val="24"/>
        </w:rPr>
        <w:t>2. Dẫn chiếu pháp luật</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11</w:t>
            </w:r>
          </w:p>
        </w:tc>
        <w:tc>
          <w:tcPr>
            <w:tcW w:type="dxa" w:w="1701"/>
          </w:tcPr>
          <w:p>
            <w:pPr>
              <w:spacing w:after="40"/>
              <w:jc w:val="left"/>
            </w:pPr>
            <w:r/>
            <w:r>
              <w:rPr>
                <w:rFonts w:ascii="Times New Roman" w:hAnsi="Times New Roman" w:eastAsia="Times New Roman"/>
                <w:b w:val="0"/>
                <w:i w:val="0"/>
                <w:sz w:val="21"/>
              </w:rPr>
              <w:t>Mở đầu mục 1; 1.1.3; 1.2.3; Bảng 1.1</w:t>
            </w:r>
          </w:p>
        </w:tc>
        <w:tc>
          <w:tcPr>
            <w:tcW w:type="dxa" w:w="3515"/>
          </w:tcPr>
          <w:p>
            <w:pPr>
              <w:spacing w:after="40"/>
              <w:jc w:val="left"/>
            </w:pPr>
            <w:r/>
            <w:r>
              <w:rPr>
                <w:rFonts w:ascii="Times New Roman" w:hAnsi="Times New Roman" w:eastAsia="Times New Roman"/>
                <w:b w:val="0"/>
                <w:i w:val="0"/>
                <w:sz w:val="21"/>
              </w:rPr>
              <w:t>Luật KH,CN&amp;ĐMST quy định mức thù lao tối thiểu bắt buộc từ 30% đến 50% cho tác giả sáng chế.</w:t>
            </w:r>
          </w:p>
        </w:tc>
        <w:tc>
          <w:tcPr>
            <w:tcW w:type="dxa" w:w="4535"/>
          </w:tcPr>
          <w:p>
            <w:pPr>
              <w:spacing w:after="40"/>
              <w:jc w:val="left"/>
            </w:pPr>
            <w:r/>
            <w:r>
              <w:rPr>
                <w:rFonts w:ascii="Times New Roman" w:hAnsi="Times New Roman" w:eastAsia="Times New Roman"/>
                <w:b w:val="0"/>
                <w:i w:val="0"/>
                <w:sz w:val="21"/>
              </w:rPr>
              <w:t>Điểm a khoản 3 Điều 28 Luật số 93/2025/QH15 chỉ quy định thưởng tối thiểu 30% lợi nhuận, cho phần kết quả dùng ngân sách nhà nước; luật không có mức 50%. Đây là khoản thưởng theo Luật KH,CN&amp;ĐMST, khác với thù lao theo Điều 135 Luật Sở hữu trí tuệ.</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thưởng tối thiểu 30% lợi nhuận đối với phần kết quả sử dụng ngân sách nhà nước. Tách riêng thưởng và thù lao.</w:t>
            </w:r>
          </w:p>
        </w:tc>
      </w:tr>
      <w:tr>
        <w:tc>
          <w:tcPr>
            <w:tcW w:type="dxa" w:w="737"/>
          </w:tcPr>
          <w:p>
            <w:pPr>
              <w:spacing w:after="40"/>
              <w:jc w:val="center"/>
            </w:pPr>
            <w:r/>
            <w:r>
              <w:rPr>
                <w:rFonts w:ascii="Times New Roman" w:hAnsi="Times New Roman" w:eastAsia="Times New Roman"/>
                <w:b w:val="0"/>
                <w:i w:val="0"/>
                <w:sz w:val="21"/>
              </w:rPr>
              <w:t>12</w:t>
            </w:r>
          </w:p>
        </w:tc>
        <w:tc>
          <w:tcPr>
            <w:tcW w:type="dxa" w:w="1701"/>
          </w:tcPr>
          <w:p>
            <w:pPr>
              <w:spacing w:after="40"/>
              <w:jc w:val="left"/>
            </w:pPr>
            <w:r/>
            <w:r>
              <w:rPr>
                <w:rFonts w:ascii="Times New Roman" w:hAnsi="Times New Roman" w:eastAsia="Times New Roman"/>
                <w:b w:val="0"/>
                <w:i w:val="0"/>
                <w:sz w:val="21"/>
              </w:rPr>
              <w:t>1.2.2 mục 1; Bảng 1.1; 3.1.1</w:t>
            </w:r>
          </w:p>
        </w:tc>
        <w:tc>
          <w:tcPr>
            <w:tcW w:type="dxa" w:w="3515"/>
          </w:tcPr>
          <w:p>
            <w:pPr>
              <w:spacing w:after="40"/>
              <w:jc w:val="left"/>
            </w:pPr>
            <w:r/>
            <w:r>
              <w:rPr>
                <w:rFonts w:ascii="Times New Roman" w:hAnsi="Times New Roman" w:eastAsia="Times New Roman"/>
                <w:b w:val="0"/>
                <w:i w:val="0"/>
                <w:sz w:val="21"/>
              </w:rPr>
              <w:t>Căn cứ Điều 86a Luật Sở hữu trí tuệ, quyền đăng ký đối với kết quả dùng ngân sách nhà nước được giao tự động, không bồi hoàn.</w:t>
            </w:r>
          </w:p>
        </w:tc>
        <w:tc>
          <w:tcPr>
            <w:tcW w:type="dxa" w:w="4535"/>
          </w:tcPr>
          <w:p>
            <w:pPr>
              <w:spacing w:after="40"/>
              <w:jc w:val="left"/>
            </w:pPr>
            <w:r/>
            <w:r>
              <w:rPr>
                <w:rFonts w:ascii="Times New Roman" w:hAnsi="Times New Roman" w:eastAsia="Times New Roman"/>
                <w:b w:val="0"/>
                <w:i w:val="0"/>
                <w:sz w:val="21"/>
              </w:rPr>
              <w:t>Điều 86a đã bị bãi bỏ từ ngày 01/10/2025 theo điểm h khoản 7 Điều 71 Luật số 93/2025/QH15 (Văn bản hợp nhất số 67/VBHN-VPQH, chú thích 161). Căn cứ hiện hành: khoản 2 Điều 25 Luật số 93/2025/QH15 và điểm c khoản 1 Điều 86 Luật Sở hữu trí tuệ, bổ sung bởi Luật số 131/2025/QH15, hiệu lực từ 01/4/2026.</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Thay toàn bộ dẫn chiếu Điều 86a bằng hai căn cứ trên.</w:t>
            </w:r>
          </w:p>
        </w:tc>
      </w:tr>
      <w:tr>
        <w:tc>
          <w:tcPr>
            <w:tcW w:type="dxa" w:w="737"/>
          </w:tcPr>
          <w:p>
            <w:pPr>
              <w:spacing w:after="40"/>
              <w:jc w:val="center"/>
            </w:pPr>
            <w:r/>
            <w:r>
              <w:rPr>
                <w:rFonts w:ascii="Times New Roman" w:hAnsi="Times New Roman" w:eastAsia="Times New Roman"/>
                <w:b w:val="0"/>
                <w:i w:val="0"/>
                <w:sz w:val="21"/>
              </w:rPr>
              <w:t>13</w:t>
            </w:r>
          </w:p>
        </w:tc>
        <w:tc>
          <w:tcPr>
            <w:tcW w:type="dxa" w:w="1701"/>
          </w:tcPr>
          <w:p>
            <w:pPr>
              <w:spacing w:after="40"/>
              <w:jc w:val="left"/>
            </w:pPr>
            <w:r/>
            <w:r>
              <w:rPr>
                <w:rFonts w:ascii="Times New Roman" w:hAnsi="Times New Roman" w:eastAsia="Times New Roman"/>
                <w:b w:val="0"/>
                <w:i w:val="0"/>
                <w:sz w:val="21"/>
              </w:rPr>
              <w:t>1.2.1 mục 2; Bảng 1.1</w:t>
            </w:r>
          </w:p>
        </w:tc>
        <w:tc>
          <w:tcPr>
            <w:tcW w:type="dxa" w:w="3515"/>
          </w:tcPr>
          <w:p>
            <w:pPr>
              <w:spacing w:after="40"/>
              <w:jc w:val="left"/>
            </w:pPr>
            <w:r/>
            <w:r>
              <w:rPr>
                <w:rFonts w:ascii="Times New Roman" w:hAnsi="Times New Roman" w:eastAsia="Times New Roman"/>
                <w:b w:val="0"/>
                <w:i w:val="0"/>
                <w:sz w:val="21"/>
              </w:rPr>
              <w:t>Căn cứ Điều 73 Luật Sở hữu trí tuệ về nghĩa vụ của tác giả thông báo kết quả sáng tạo cho nhà trường.</w:t>
            </w:r>
          </w:p>
        </w:tc>
        <w:tc>
          <w:tcPr>
            <w:tcW w:type="dxa" w:w="4535"/>
          </w:tcPr>
          <w:p>
            <w:pPr>
              <w:spacing w:after="40"/>
              <w:jc w:val="left"/>
            </w:pPr>
            <w:r/>
            <w:r>
              <w:rPr>
                <w:rFonts w:ascii="Times New Roman" w:hAnsi="Times New Roman" w:eastAsia="Times New Roman"/>
                <w:b w:val="0"/>
                <w:i w:val="0"/>
                <w:sz w:val="21"/>
              </w:rPr>
              <w:t>Điều 73 Luật Sở hữu trí tuệ quy định dấu hiệu không được bảo hộ với danh nghĩa nhãn hiệu, không liên quan.</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Bỏ dẫn chiếu. Nghĩa vụ thông báo nên đặt trong hợp đồng giao nhiệm vụ và quy chế của Trường.</w:t>
            </w:r>
          </w:p>
        </w:tc>
      </w:tr>
      <w:tr>
        <w:tc>
          <w:tcPr>
            <w:tcW w:type="dxa" w:w="737"/>
          </w:tcPr>
          <w:p>
            <w:pPr>
              <w:spacing w:after="40"/>
              <w:jc w:val="center"/>
            </w:pPr>
            <w:r/>
            <w:r>
              <w:rPr>
                <w:rFonts w:ascii="Times New Roman" w:hAnsi="Times New Roman" w:eastAsia="Times New Roman"/>
                <w:b w:val="0"/>
                <w:i w:val="0"/>
                <w:sz w:val="21"/>
              </w:rPr>
              <w:t>14</w:t>
            </w:r>
          </w:p>
        </w:tc>
        <w:tc>
          <w:tcPr>
            <w:tcW w:type="dxa" w:w="1701"/>
          </w:tcPr>
          <w:p>
            <w:pPr>
              <w:spacing w:after="40"/>
              <w:jc w:val="left"/>
            </w:pPr>
            <w:r/>
            <w:r>
              <w:rPr>
                <w:rFonts w:ascii="Times New Roman" w:hAnsi="Times New Roman" w:eastAsia="Times New Roman"/>
                <w:b w:val="0"/>
                <w:i w:val="0"/>
                <w:sz w:val="21"/>
              </w:rPr>
              <w:t>1.2.4 mục 2; Bảng 1.1</w:t>
            </w:r>
          </w:p>
        </w:tc>
        <w:tc>
          <w:tcPr>
            <w:tcW w:type="dxa" w:w="3515"/>
          </w:tcPr>
          <w:p>
            <w:pPr>
              <w:spacing w:after="40"/>
              <w:jc w:val="left"/>
            </w:pPr>
            <w:r/>
            <w:r>
              <w:rPr>
                <w:rFonts w:ascii="Times New Roman" w:hAnsi="Times New Roman" w:eastAsia="Times New Roman"/>
                <w:b w:val="0"/>
                <w:i w:val="0"/>
                <w:sz w:val="21"/>
              </w:rPr>
              <w:t>Điều 126 Luật Sở hữu trí tuệ quy định các hành vi xâm phạm bí mật kinh doanh.</w:t>
            </w:r>
          </w:p>
        </w:tc>
        <w:tc>
          <w:tcPr>
            <w:tcW w:type="dxa" w:w="4535"/>
          </w:tcPr>
          <w:p>
            <w:pPr>
              <w:spacing w:after="40"/>
              <w:jc w:val="left"/>
            </w:pPr>
            <w:r/>
            <w:r>
              <w:rPr>
                <w:rFonts w:ascii="Times New Roman" w:hAnsi="Times New Roman" w:eastAsia="Times New Roman"/>
                <w:b w:val="0"/>
                <w:i w:val="0"/>
                <w:sz w:val="21"/>
              </w:rPr>
              <w:t>Điều 126 quy định hành vi xâm phạm quyền đối với sáng chế, kiểu dáng công nghiệp, thiết kế bố trí. Hành vi xâm phạm bí mật kinh doanh thuộc Điều 127.</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Điều 127.</w:t>
            </w:r>
          </w:p>
        </w:tc>
      </w:tr>
      <w:tr>
        <w:tc>
          <w:tcPr>
            <w:tcW w:type="dxa" w:w="737"/>
          </w:tcPr>
          <w:p>
            <w:pPr>
              <w:spacing w:after="40"/>
              <w:jc w:val="center"/>
            </w:pPr>
            <w:r/>
            <w:r>
              <w:rPr>
                <w:rFonts w:ascii="Times New Roman" w:hAnsi="Times New Roman" w:eastAsia="Times New Roman"/>
                <w:b w:val="0"/>
                <w:i w:val="0"/>
                <w:sz w:val="21"/>
              </w:rPr>
              <w:t>15</w:t>
            </w:r>
          </w:p>
        </w:tc>
        <w:tc>
          <w:tcPr>
            <w:tcW w:type="dxa" w:w="1701"/>
          </w:tcPr>
          <w:p>
            <w:pPr>
              <w:spacing w:after="40"/>
              <w:jc w:val="left"/>
            </w:pPr>
            <w:r/>
            <w:r>
              <w:rPr>
                <w:rFonts w:ascii="Times New Roman" w:hAnsi="Times New Roman" w:eastAsia="Times New Roman"/>
                <w:b w:val="0"/>
                <w:i w:val="0"/>
                <w:sz w:val="21"/>
              </w:rPr>
              <w:t>3.1.1; Tài liệu tham khảo số 6</w:t>
            </w:r>
          </w:p>
        </w:tc>
        <w:tc>
          <w:tcPr>
            <w:tcW w:type="dxa" w:w="3515"/>
          </w:tcPr>
          <w:p>
            <w:pPr>
              <w:spacing w:after="40"/>
              <w:jc w:val="left"/>
            </w:pPr>
            <w:r/>
            <w:r>
              <w:rPr>
                <w:rFonts w:ascii="Times New Roman" w:hAnsi="Times New Roman" w:eastAsia="Times New Roman"/>
                <w:b w:val="0"/>
                <w:i w:val="0"/>
                <w:sz w:val="21"/>
              </w:rPr>
              <w:t>Nghị định số 100/2026/NĐ-CP ngày 18/02/2026 về quản lý và sử dụng Quỹ phát triển KH&amp;CN của cơ sở giáo dục đại học, cho phép Quỹ chi trực tiếp cho tra cứu, đăng ký, định giá.</w:t>
            </w:r>
          </w:p>
        </w:tc>
        <w:tc>
          <w:tcPr>
            <w:tcW w:type="dxa" w:w="4535"/>
          </w:tcPr>
          <w:p>
            <w:pPr>
              <w:spacing w:after="40"/>
              <w:jc w:val="left"/>
            </w:pPr>
            <w:r/>
            <w:r>
              <w:rPr>
                <w:rFonts w:ascii="Times New Roman" w:hAnsi="Times New Roman" w:eastAsia="Times New Roman"/>
                <w:b w:val="0"/>
                <w:i w:val="0"/>
                <w:sz w:val="21"/>
              </w:rPr>
              <w:t>Nghị định số 100/2026/NĐ-CP ban hành ngày 31/3/2026, sửa đổi Nghị định số 65/2023/NĐ-CP về sở hữu công nghiệp (chính báo cáo cũng mô tả đúng như vậy ở Mục 1.2). Tên văn bản, ngày ban hành và nội dung gán cho nghị định này đều không đúng. Căn cứ cho phép quỹ chi đăng ký, bảo hộ, khai thác quyền sở hữu trí tuệ là điểm b khoản 2 Điều 66 Luật số 93/2025/QH15.</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mục tài liệu tham khảo; thay căn cứ bằng điểm b khoản 2 Điều 66 Luật KH,CN&amp;ĐMST.</w:t>
            </w:r>
          </w:p>
        </w:tc>
      </w:tr>
      <w:tr>
        <w:tc>
          <w:tcPr>
            <w:tcW w:type="dxa" w:w="737"/>
          </w:tcPr>
          <w:p>
            <w:pPr>
              <w:spacing w:after="40"/>
              <w:jc w:val="center"/>
            </w:pPr>
            <w:r/>
            <w:r>
              <w:rPr>
                <w:rFonts w:ascii="Times New Roman" w:hAnsi="Times New Roman" w:eastAsia="Times New Roman"/>
                <w:b w:val="0"/>
                <w:i w:val="0"/>
                <w:sz w:val="21"/>
              </w:rPr>
              <w:t>16</w:t>
            </w:r>
          </w:p>
        </w:tc>
        <w:tc>
          <w:tcPr>
            <w:tcW w:type="dxa" w:w="1701"/>
          </w:tcPr>
          <w:p>
            <w:pPr>
              <w:spacing w:after="40"/>
              <w:jc w:val="left"/>
            </w:pPr>
            <w:r/>
            <w:r>
              <w:rPr>
                <w:rFonts w:ascii="Times New Roman" w:hAnsi="Times New Roman" w:eastAsia="Times New Roman"/>
                <w:b w:val="0"/>
                <w:i w:val="0"/>
                <w:sz w:val="21"/>
              </w:rPr>
              <w:t>Bảng 2.3; 2.2.3; 3.1.1; 3.2.3</w:t>
            </w:r>
          </w:p>
        </w:tc>
        <w:tc>
          <w:tcPr>
            <w:tcW w:type="dxa" w:w="3515"/>
          </w:tcPr>
          <w:p>
            <w:pPr>
              <w:spacing w:after="40"/>
              <w:jc w:val="left"/>
            </w:pPr>
            <w:r/>
            <w:r>
              <w:rPr>
                <w:rFonts w:ascii="Times New Roman" w:hAnsi="Times New Roman" w:eastAsia="Times New Roman"/>
                <w:b w:val="0"/>
                <w:i w:val="0"/>
                <w:sz w:val="21"/>
              </w:rPr>
              <w:t>Luật KH,CN&amp;ĐMST tuyệt đối không cho phép đặt mức trần; nghĩa vụ nộp 40% ngân sách tại Quyết định 213 đã hết hiệu lực; trích thưởng tối đa 10% cho người xúc tiến thương mại hóa.</w:t>
            </w:r>
          </w:p>
        </w:tc>
        <w:tc>
          <w:tcPr>
            <w:tcW w:type="dxa" w:w="4535"/>
          </w:tcPr>
          <w:p>
            <w:pPr>
              <w:spacing w:after="40"/>
              <w:jc w:val="left"/>
            </w:pPr>
            <w:r/>
            <w:r>
              <w:rPr>
                <w:rFonts w:ascii="Times New Roman" w:hAnsi="Times New Roman" w:eastAsia="Times New Roman"/>
                <w:b w:val="0"/>
                <w:i w:val="0"/>
                <w:sz w:val="21"/>
              </w:rPr>
              <w:t>Luật không có quy định cấm đặt trần. Mức trần 100 triệu đồng chỉ trái khoản 3 Điều 28 khi làm phần thưởng thấp hơn 30% lợi nhuận, tức lợi nhuận trên khoảng 333 triệu đồng, với kết quả dùng ngân sách nhà nước như đề tài NAFOSTED. Quyết định 213 là văn bản nội bộ nên không hết hiệu lực theo luật, chỉ không còn phù hợp. Luật không quy định mức tối đa 10%; khoản 2 Điều 34 Nghị định 267 quy định tổ chức trung gian, môi giới hưởng tối thiểu 10% khi các bên không có thỏa thuận.</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Diễn đạt lại theo đúng điều kiện áp dụng; bỏ các chữ tuyệt đối, hết hiệu lực, tối đa 10%.</w:t>
            </w:r>
          </w:p>
        </w:tc>
      </w:tr>
      <w:tr>
        <w:tc>
          <w:tcPr>
            <w:tcW w:type="dxa" w:w="737"/>
          </w:tcPr>
          <w:p>
            <w:pPr>
              <w:spacing w:after="40"/>
              <w:jc w:val="center"/>
            </w:pPr>
            <w:r/>
            <w:r>
              <w:rPr>
                <w:rFonts w:ascii="Times New Roman" w:hAnsi="Times New Roman" w:eastAsia="Times New Roman"/>
                <w:b w:val="0"/>
                <w:i w:val="0"/>
                <w:sz w:val="21"/>
              </w:rPr>
              <w:t>17</w:t>
            </w:r>
          </w:p>
        </w:tc>
        <w:tc>
          <w:tcPr>
            <w:tcW w:type="dxa" w:w="1701"/>
          </w:tcPr>
          <w:p>
            <w:pPr>
              <w:spacing w:after="40"/>
              <w:jc w:val="left"/>
            </w:pPr>
            <w:r/>
            <w:r>
              <w:rPr>
                <w:rFonts w:ascii="Times New Roman" w:hAnsi="Times New Roman" w:eastAsia="Times New Roman"/>
                <w:b w:val="0"/>
                <w:i w:val="0"/>
                <w:sz w:val="21"/>
              </w:rPr>
              <w:t>1.2.3 mục 3</w:t>
            </w:r>
          </w:p>
        </w:tc>
        <w:tc>
          <w:tcPr>
            <w:tcW w:type="dxa" w:w="3515"/>
          </w:tcPr>
          <w:p>
            <w:pPr>
              <w:spacing w:after="40"/>
              <w:jc w:val="left"/>
            </w:pPr>
            <w:r/>
            <w:r>
              <w:rPr>
                <w:rFonts w:ascii="Times New Roman" w:hAnsi="Times New Roman" w:eastAsia="Times New Roman"/>
                <w:b w:val="0"/>
                <w:i w:val="0"/>
                <w:sz w:val="21"/>
              </w:rPr>
              <w:t>Mức thù lao tối thiểu là 10% số tiền làm lợi do tự sử dụng.</w:t>
            </w:r>
          </w:p>
        </w:tc>
        <w:tc>
          <w:tcPr>
            <w:tcW w:type="dxa" w:w="4535"/>
          </w:tcPr>
          <w:p>
            <w:pPr>
              <w:spacing w:after="40"/>
              <w:jc w:val="left"/>
            </w:pPr>
            <w:r/>
            <w:r>
              <w:rPr>
                <w:rFonts w:ascii="Times New Roman" w:hAnsi="Times New Roman" w:eastAsia="Times New Roman"/>
                <w:b w:val="0"/>
                <w:i w:val="0"/>
                <w:sz w:val="21"/>
              </w:rPr>
              <w:t>Khoản 1 Điều 135 hiện hành, sửa đổi bởi Luật số 93/2025/QH15: 10% lợi nhuận trước thuế tương ứng với giá trị mà sáng chế, kiểu dáng, thiết kế bố trí đóng góp. Cách diễn đạt số tiền làm lợi là của quy định cũ.</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theo câu chữ hiện hành.</w:t>
            </w:r>
          </w:p>
        </w:tc>
      </w:tr>
      <w:tr>
        <w:tc>
          <w:tcPr>
            <w:tcW w:type="dxa" w:w="737"/>
          </w:tcPr>
          <w:p>
            <w:pPr>
              <w:spacing w:after="40"/>
              <w:jc w:val="center"/>
            </w:pPr>
            <w:r/>
            <w:r>
              <w:rPr>
                <w:rFonts w:ascii="Times New Roman" w:hAnsi="Times New Roman" w:eastAsia="Times New Roman"/>
                <w:b w:val="0"/>
                <w:i w:val="0"/>
                <w:sz w:val="21"/>
              </w:rPr>
              <w:t>18</w:t>
            </w:r>
          </w:p>
        </w:tc>
        <w:tc>
          <w:tcPr>
            <w:tcW w:type="dxa" w:w="1701"/>
          </w:tcPr>
          <w:p>
            <w:pPr>
              <w:spacing w:after="40"/>
              <w:jc w:val="left"/>
            </w:pPr>
            <w:r/>
            <w:r>
              <w:rPr>
                <w:rFonts w:ascii="Times New Roman" w:hAnsi="Times New Roman" w:eastAsia="Times New Roman"/>
                <w:b w:val="0"/>
                <w:i w:val="0"/>
                <w:sz w:val="21"/>
              </w:rPr>
              <w:t>1.2 (hai chỗ); 1.2.4</w:t>
            </w:r>
          </w:p>
        </w:tc>
        <w:tc>
          <w:tcPr>
            <w:tcW w:type="dxa" w:w="3515"/>
          </w:tcPr>
          <w:p>
            <w:pPr>
              <w:spacing w:after="40"/>
              <w:jc w:val="left"/>
            </w:pPr>
            <w:r/>
            <w:r>
              <w:rPr>
                <w:rFonts w:ascii="Times New Roman" w:hAnsi="Times New Roman" w:eastAsia="Times New Roman"/>
                <w:b w:val="0"/>
                <w:i w:val="0"/>
                <w:sz w:val="21"/>
              </w:rPr>
              <w:t>Kết luận số 51-KL/TW ngày 22/5/2026; Kết luận 51 yêu cầu đăng ký sở hữu trí tuệ song song với công bố, thí điểm định giá trong trường đại học.</w:t>
            </w:r>
          </w:p>
        </w:tc>
        <w:tc>
          <w:tcPr>
            <w:tcW w:type="dxa" w:w="4535"/>
          </w:tcPr>
          <w:p>
            <w:pPr>
              <w:spacing w:after="40"/>
              <w:jc w:val="left"/>
            </w:pPr>
            <w:r/>
            <w:r>
              <w:rPr>
                <w:rFonts w:ascii="Times New Roman" w:hAnsi="Times New Roman" w:eastAsia="Times New Roman"/>
                <w:b w:val="0"/>
                <w:i w:val="0"/>
                <w:sz w:val="21"/>
              </w:rPr>
              <w:t>Kết luận 51 ban hành ngày 17/6/2026; ngày 22/5/2026 là ngày phiên họp. Yêu cầu đăng ký đồng thời với công bố và thí điểm hỗ trợ định giá ít nhất 100 quyền sở hữu trí tuệ nằm trong Quyết định 1624, không có trong Kết luận 51.</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ngày; gán đúng nội dung cho Quyết định 1624.</w:t>
            </w:r>
          </w:p>
        </w:tc>
      </w:tr>
      <w:tr>
        <w:tc>
          <w:tcPr>
            <w:tcW w:type="dxa" w:w="737"/>
          </w:tcPr>
          <w:p>
            <w:pPr>
              <w:spacing w:after="40"/>
              <w:jc w:val="center"/>
            </w:pPr>
            <w:r/>
            <w:r>
              <w:rPr>
                <w:rFonts w:ascii="Times New Roman" w:hAnsi="Times New Roman" w:eastAsia="Times New Roman"/>
                <w:b w:val="0"/>
                <w:i w:val="0"/>
                <w:sz w:val="21"/>
              </w:rPr>
              <w:t>19</w:t>
            </w:r>
          </w:p>
        </w:tc>
        <w:tc>
          <w:tcPr>
            <w:tcW w:type="dxa" w:w="1701"/>
          </w:tcPr>
          <w:p>
            <w:pPr>
              <w:spacing w:after="40"/>
              <w:jc w:val="left"/>
            </w:pPr>
            <w:r/>
            <w:r>
              <w:rPr>
                <w:rFonts w:ascii="Times New Roman" w:hAnsi="Times New Roman" w:eastAsia="Times New Roman"/>
                <w:b w:val="0"/>
                <w:i w:val="0"/>
                <w:sz w:val="21"/>
              </w:rPr>
              <w:t>1.2.4 (vai trò)</w:t>
            </w:r>
          </w:p>
        </w:tc>
        <w:tc>
          <w:tcPr>
            <w:tcW w:type="dxa" w:w="3515"/>
          </w:tcPr>
          <w:p>
            <w:pPr>
              <w:spacing w:after="40"/>
              <w:jc w:val="left"/>
            </w:pPr>
            <w:r/>
            <w:r>
              <w:rPr>
                <w:rFonts w:ascii="Times New Roman" w:hAnsi="Times New Roman" w:eastAsia="Times New Roman"/>
                <w:b w:val="0"/>
                <w:i w:val="0"/>
                <w:sz w:val="21"/>
              </w:rPr>
              <w:t>Liêm chính học thuật theo khoản 4 Điều 2 Luật Giáo dục đại học.</w:t>
            </w:r>
          </w:p>
        </w:tc>
        <w:tc>
          <w:tcPr>
            <w:tcW w:type="dxa" w:w="4535"/>
          </w:tcPr>
          <w:p>
            <w:pPr>
              <w:spacing w:after="40"/>
              <w:jc w:val="left"/>
            </w:pPr>
            <w:r/>
            <w:r>
              <w:rPr>
                <w:rFonts w:ascii="Times New Roman" w:hAnsi="Times New Roman" w:eastAsia="Times New Roman"/>
                <w:b w:val="0"/>
                <w:i w:val="0"/>
                <w:sz w:val="21"/>
              </w:rPr>
              <w:t>Điều 2 Luật số 125/2025/QH15 chỉ có hai khoản về đối tượng áp dụng; khái niệm liêm chính học thuật ở khoản 4 Điều 3.</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thành khoản 4 Điều 3.</w:t>
            </w:r>
          </w:p>
        </w:tc>
      </w:tr>
      <w:tr>
        <w:tc>
          <w:tcPr>
            <w:tcW w:type="dxa" w:w="737"/>
          </w:tcPr>
          <w:p>
            <w:pPr>
              <w:spacing w:after="40"/>
              <w:jc w:val="center"/>
            </w:pPr>
            <w:r/>
            <w:r>
              <w:rPr>
                <w:rFonts w:ascii="Times New Roman" w:hAnsi="Times New Roman" w:eastAsia="Times New Roman"/>
                <w:b w:val="0"/>
                <w:i w:val="0"/>
                <w:sz w:val="21"/>
              </w:rPr>
              <w:t>20</w:t>
            </w:r>
          </w:p>
        </w:tc>
        <w:tc>
          <w:tcPr>
            <w:tcW w:type="dxa" w:w="1701"/>
          </w:tcPr>
          <w:p>
            <w:pPr>
              <w:spacing w:after="40"/>
              <w:jc w:val="left"/>
            </w:pPr>
            <w:r/>
            <w:r>
              <w:rPr>
                <w:rFonts w:ascii="Times New Roman" w:hAnsi="Times New Roman" w:eastAsia="Times New Roman"/>
                <w:b w:val="0"/>
                <w:i w:val="0"/>
                <w:sz w:val="21"/>
              </w:rPr>
              <w:t>Kết luận, kiến nghị với Bộ GD&amp;ĐT</w:t>
            </w:r>
          </w:p>
        </w:tc>
        <w:tc>
          <w:tcPr>
            <w:tcW w:type="dxa" w:w="3515"/>
          </w:tcPr>
          <w:p>
            <w:pPr>
              <w:spacing w:after="40"/>
              <w:jc w:val="left"/>
            </w:pPr>
            <w:r/>
            <w:r>
              <w:rPr>
                <w:rFonts w:ascii="Times New Roman" w:hAnsi="Times New Roman" w:eastAsia="Times New Roman"/>
                <w:b w:val="0"/>
                <w:i w:val="0"/>
                <w:sz w:val="21"/>
              </w:rPr>
              <w:t>Cơ chế góp vốn, thành lập doanh nghiệp khởi nguồn theo Điều 30 Luật Giáo dục đại học.</w:t>
            </w:r>
          </w:p>
        </w:tc>
        <w:tc>
          <w:tcPr>
            <w:tcW w:type="dxa" w:w="4535"/>
          </w:tcPr>
          <w:p>
            <w:pPr>
              <w:spacing w:after="40"/>
              <w:jc w:val="left"/>
            </w:pPr>
            <w:r/>
            <w:r>
              <w:rPr>
                <w:rFonts w:ascii="Times New Roman" w:hAnsi="Times New Roman" w:eastAsia="Times New Roman"/>
                <w:b w:val="0"/>
                <w:i w:val="0"/>
                <w:sz w:val="21"/>
              </w:rPr>
              <w:t>Điều 30 quy định quyền và nghĩa vụ của giảng viên. Quyền thành lập doanh nghiệp khoa học và công nghệ, doanh nghiệp quản lý tài sản trí tuệ ở khoản 1 Điều 28.</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thành khoản 1 Điều 28.</w:t>
            </w:r>
          </w:p>
        </w:tc>
      </w:tr>
      <w:tr>
        <w:tc>
          <w:tcPr>
            <w:tcW w:type="dxa" w:w="737"/>
          </w:tcPr>
          <w:p>
            <w:pPr>
              <w:spacing w:after="40"/>
              <w:jc w:val="center"/>
            </w:pPr>
            <w:r/>
            <w:r>
              <w:rPr>
                <w:rFonts w:ascii="Times New Roman" w:hAnsi="Times New Roman" w:eastAsia="Times New Roman"/>
                <w:b w:val="0"/>
                <w:i w:val="0"/>
                <w:sz w:val="21"/>
              </w:rPr>
              <w:t>21</w:t>
            </w:r>
          </w:p>
        </w:tc>
        <w:tc>
          <w:tcPr>
            <w:tcW w:type="dxa" w:w="1701"/>
          </w:tcPr>
          <w:p>
            <w:pPr>
              <w:spacing w:after="40"/>
              <w:jc w:val="left"/>
            </w:pPr>
            <w:r/>
            <w:r>
              <w:rPr>
                <w:rFonts w:ascii="Times New Roman" w:hAnsi="Times New Roman" w:eastAsia="Times New Roman"/>
                <w:b w:val="0"/>
                <w:i w:val="0"/>
                <w:sz w:val="21"/>
              </w:rPr>
              <w:t>1.2.3 mục 2</w:t>
            </w:r>
          </w:p>
        </w:tc>
        <w:tc>
          <w:tcPr>
            <w:tcW w:type="dxa" w:w="3515"/>
          </w:tcPr>
          <w:p>
            <w:pPr>
              <w:spacing w:after="40"/>
              <w:jc w:val="left"/>
            </w:pPr>
            <w:r/>
            <w:r>
              <w:rPr>
                <w:rFonts w:ascii="Times New Roman" w:hAnsi="Times New Roman" w:eastAsia="Times New Roman"/>
                <w:b w:val="0"/>
                <w:i w:val="0"/>
                <w:sz w:val="21"/>
              </w:rPr>
              <w:t>Điều 58 Luật KH,CN&amp;ĐMST cho phép giảng viên góp vốn, quản lý doanh nghiệp; Điều 42 Luật Giáo dục đại học quy định quản lý, định giá tài sản trí tuệ khi góp vốn.</w:t>
            </w:r>
          </w:p>
        </w:tc>
        <w:tc>
          <w:tcPr>
            <w:tcW w:type="dxa" w:w="4535"/>
          </w:tcPr>
          <w:p>
            <w:pPr>
              <w:spacing w:after="40"/>
              <w:jc w:val="left"/>
            </w:pPr>
            <w:r/>
            <w:r>
              <w:rPr>
                <w:rFonts w:ascii="Times New Roman" w:hAnsi="Times New Roman" w:eastAsia="Times New Roman"/>
                <w:b w:val="0"/>
                <w:i w:val="0"/>
                <w:sz w:val="21"/>
              </w:rPr>
              <w:t>Điều 58 áp dụng cho viên chức tại tổ chức khoa học và công nghệ công lập, không áp dụng cho giảng viên trường tư thục. Điều 42 quy định tài sản hợp nhất không phân chia và tài sản của nhà đầu tư, không có quy định riêng về định giá tài sản trí tuệ.</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Bỏ hai dẫn chiếu, hoặc nêu đúng phạm vi áp dụng.</w:t>
            </w:r>
          </w:p>
        </w:tc>
      </w:tr>
      <w:tr>
        <w:tc>
          <w:tcPr>
            <w:tcW w:type="dxa" w:w="737"/>
          </w:tcPr>
          <w:p>
            <w:pPr>
              <w:spacing w:after="40"/>
              <w:jc w:val="center"/>
            </w:pPr>
            <w:r/>
            <w:r>
              <w:rPr>
                <w:rFonts w:ascii="Times New Roman" w:hAnsi="Times New Roman" w:eastAsia="Times New Roman"/>
                <w:b w:val="0"/>
                <w:i w:val="0"/>
                <w:sz w:val="21"/>
              </w:rPr>
              <w:t>22</w:t>
            </w:r>
          </w:p>
        </w:tc>
        <w:tc>
          <w:tcPr>
            <w:tcW w:type="dxa" w:w="1701"/>
          </w:tcPr>
          <w:p>
            <w:pPr>
              <w:spacing w:after="40"/>
              <w:jc w:val="left"/>
            </w:pPr>
            <w:r/>
            <w:r>
              <w:rPr>
                <w:rFonts w:ascii="Times New Roman" w:hAnsi="Times New Roman" w:eastAsia="Times New Roman"/>
                <w:b w:val="0"/>
                <w:i w:val="0"/>
                <w:sz w:val="21"/>
              </w:rPr>
              <w:t>1.2; 1.2.2; 2.2.4; 3.1.1</w:t>
            </w:r>
          </w:p>
        </w:tc>
        <w:tc>
          <w:tcPr>
            <w:tcW w:type="dxa" w:w="3515"/>
          </w:tcPr>
          <w:p>
            <w:pPr>
              <w:spacing w:after="40"/>
              <w:jc w:val="left"/>
            </w:pPr>
            <w:r/>
            <w:r>
              <w:rPr>
                <w:rFonts w:ascii="Times New Roman" w:hAnsi="Times New Roman" w:eastAsia="Times New Roman"/>
                <w:b w:val="0"/>
                <w:i w:val="0"/>
                <w:sz w:val="21"/>
              </w:rPr>
              <w:t>Dùng Thông tư 01/2024/TT-BGDĐT như chuẩn hiện hành.</w:t>
            </w:r>
          </w:p>
        </w:tc>
        <w:tc>
          <w:tcPr>
            <w:tcW w:type="dxa" w:w="4535"/>
          </w:tcPr>
          <w:p>
            <w:pPr>
              <w:spacing w:after="40"/>
              <w:jc w:val="left"/>
            </w:pPr>
            <w:r/>
            <w:r>
              <w:rPr>
                <w:rFonts w:ascii="Times New Roman" w:hAnsi="Times New Roman" w:eastAsia="Times New Roman"/>
                <w:b w:val="0"/>
                <w:i w:val="0"/>
                <w:sz w:val="21"/>
              </w:rPr>
              <w:t>Thông tư 83/2026/TT-BGDĐT có hiệu lực từ 15/11/2026 và thay thế Thông tư 01/2024; báo cáo nghiệm thu sau thời điểm này.</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Thay bằng Thông tư 83.</w:t>
            </w:r>
          </w:p>
        </w:tc>
      </w:tr>
      <w:tr>
        <w:tc>
          <w:tcPr>
            <w:tcW w:type="dxa" w:w="737"/>
          </w:tcPr>
          <w:p>
            <w:pPr>
              <w:spacing w:after="40"/>
              <w:jc w:val="center"/>
            </w:pPr>
            <w:r/>
            <w:r>
              <w:rPr>
                <w:rFonts w:ascii="Times New Roman" w:hAnsi="Times New Roman" w:eastAsia="Times New Roman"/>
                <w:b w:val="0"/>
                <w:i w:val="0"/>
                <w:sz w:val="21"/>
              </w:rPr>
              <w:t>23</w:t>
            </w:r>
          </w:p>
        </w:tc>
        <w:tc>
          <w:tcPr>
            <w:tcW w:type="dxa" w:w="1701"/>
          </w:tcPr>
          <w:p>
            <w:pPr>
              <w:spacing w:after="40"/>
              <w:jc w:val="left"/>
            </w:pPr>
            <w:r/>
            <w:r>
              <w:rPr>
                <w:rFonts w:ascii="Times New Roman" w:hAnsi="Times New Roman" w:eastAsia="Times New Roman"/>
                <w:b w:val="0"/>
                <w:i w:val="0"/>
                <w:sz w:val="21"/>
              </w:rPr>
              <w:t>Bảng 3.1 (T2, O3); 3.1.1</w:t>
            </w:r>
          </w:p>
        </w:tc>
        <w:tc>
          <w:tcPr>
            <w:tcW w:type="dxa" w:w="3515"/>
          </w:tcPr>
          <w:p>
            <w:pPr>
              <w:spacing w:after="40"/>
              <w:jc w:val="left"/>
            </w:pPr>
            <w:r/>
            <w:r>
              <w:rPr>
                <w:rFonts w:ascii="Times New Roman" w:hAnsi="Times New Roman" w:eastAsia="Times New Roman"/>
                <w:b w:val="0"/>
                <w:i w:val="0"/>
                <w:sz w:val="21"/>
              </w:rPr>
              <w:t>Ngưỡng 0,3 bài trên giảng viên; sáng chế gấp 5 lần, giải pháp hữu ích gấp 3 lần bài báo.</w:t>
            </w:r>
          </w:p>
        </w:tc>
        <w:tc>
          <w:tcPr>
            <w:tcW w:type="dxa" w:w="4535"/>
          </w:tcPr>
          <w:p>
            <w:pPr>
              <w:spacing w:after="40"/>
              <w:jc w:val="left"/>
            </w:pPr>
            <w:r/>
            <w:r>
              <w:rPr>
                <w:rFonts w:ascii="Times New Roman" w:hAnsi="Times New Roman" w:eastAsia="Times New Roman"/>
                <w:b w:val="0"/>
                <w:i w:val="0"/>
                <w:sz w:val="21"/>
              </w:rPr>
              <w:t>Thông tư 83: 0,3 sản phẩm quy đổi trên giảng viên mỗi năm; cơ sở có đào tạo tiến sĩ là 0,6, trong đó bài WoS hoặc Scopus không thấp hơn 0,3. Trong công thức P = P1 + 2P2 + 3P3 + 5P4, bài trong nước tính 1 và bài WoS, Scopus tính 2.</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Nêu đúng đơn vị sản phẩm quy đổi và mốc so sánh.</w:t>
            </w:r>
          </w:p>
        </w:tc>
      </w:tr>
      <w:tr>
        <w:tc>
          <w:tcPr>
            <w:tcW w:type="dxa" w:w="737"/>
          </w:tcPr>
          <w:p>
            <w:pPr>
              <w:spacing w:after="40"/>
              <w:jc w:val="center"/>
            </w:pPr>
            <w:r/>
            <w:r>
              <w:rPr>
                <w:rFonts w:ascii="Times New Roman" w:hAnsi="Times New Roman" w:eastAsia="Times New Roman"/>
                <w:b w:val="0"/>
                <w:i w:val="0"/>
                <w:sz w:val="21"/>
              </w:rPr>
              <w:t>24</w:t>
            </w:r>
          </w:p>
        </w:tc>
        <w:tc>
          <w:tcPr>
            <w:tcW w:type="dxa" w:w="1701"/>
          </w:tcPr>
          <w:p>
            <w:pPr>
              <w:spacing w:after="40"/>
              <w:jc w:val="left"/>
            </w:pPr>
            <w:r/>
            <w:r>
              <w:rPr>
                <w:rFonts w:ascii="Times New Roman" w:hAnsi="Times New Roman" w:eastAsia="Times New Roman"/>
                <w:b w:val="0"/>
                <w:i w:val="0"/>
                <w:sz w:val="21"/>
              </w:rPr>
              <w:t>Tài liệu tham khảo 13, 14; Bảng 3.1 (O4)</w:t>
            </w:r>
          </w:p>
        </w:tc>
        <w:tc>
          <w:tcPr>
            <w:tcW w:type="dxa" w:w="3515"/>
          </w:tcPr>
          <w:p>
            <w:pPr>
              <w:spacing w:after="40"/>
              <w:jc w:val="left"/>
            </w:pPr>
            <w:r/>
            <w:r>
              <w:rPr>
                <w:rFonts w:ascii="Times New Roman" w:hAnsi="Times New Roman" w:eastAsia="Times New Roman"/>
                <w:b w:val="0"/>
                <w:i w:val="0"/>
                <w:sz w:val="21"/>
              </w:rPr>
              <w:t>Chỉ thị 02 về tăng cường thực thi quyền sở hữu trí tuệ và xây dựng cơ sở dữ liệu quốc gia về tài sản trí tuệ; Nền tảng số sở hữu trí tuệ quốc gia, Trung tâm TISC theo Chỉ thị 02; Quyết định 1624 về phát triển tài sản trí tuệ.</w:t>
            </w:r>
          </w:p>
        </w:tc>
        <w:tc>
          <w:tcPr>
            <w:tcW w:type="dxa" w:w="4535"/>
          </w:tcPr>
          <w:p>
            <w:pPr>
              <w:spacing w:after="40"/>
              <w:jc w:val="left"/>
            </w:pPr>
            <w:r/>
            <w:r>
              <w:rPr>
                <w:rFonts w:ascii="Times New Roman" w:hAnsi="Times New Roman" w:eastAsia="Times New Roman"/>
                <w:b w:val="0"/>
                <w:i w:val="0"/>
                <w:sz w:val="21"/>
              </w:rPr>
              <w:t>Tên đúng của Chỉ thị 02 chỉ là: Về tăng cường thực thi quyền sở hữu trí tuệ; Chỉ thị nói đến cơ sở dữ liệu quốc gia về thực thi quyền sở hữu trí tuệ, không nhắc TISC. Tên đúng của Quyết định 1624: sửa đổi, bổ sung một số điều của Quyết định 1068 phê duyệt Chiến lược sở hữu trí tuệ đến năm 2030.</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tên văn bản và nội dung dẫn.</w:t>
            </w:r>
          </w:p>
        </w:tc>
      </w:tr>
      <w:tr>
        <w:tc>
          <w:tcPr>
            <w:tcW w:type="dxa" w:w="737"/>
          </w:tcPr>
          <w:p>
            <w:pPr>
              <w:spacing w:after="40"/>
              <w:jc w:val="center"/>
            </w:pPr>
            <w:r/>
            <w:r>
              <w:rPr>
                <w:rFonts w:ascii="Times New Roman" w:hAnsi="Times New Roman" w:eastAsia="Times New Roman"/>
                <w:b w:val="0"/>
                <w:i w:val="0"/>
                <w:sz w:val="21"/>
              </w:rPr>
              <w:t>25</w:t>
            </w:r>
          </w:p>
        </w:tc>
        <w:tc>
          <w:tcPr>
            <w:tcW w:type="dxa" w:w="1701"/>
          </w:tcPr>
          <w:p>
            <w:pPr>
              <w:spacing w:after="40"/>
              <w:jc w:val="left"/>
            </w:pPr>
            <w:r/>
            <w:r>
              <w:rPr>
                <w:rFonts w:ascii="Times New Roman" w:hAnsi="Times New Roman" w:eastAsia="Times New Roman"/>
                <w:b w:val="0"/>
                <w:i w:val="0"/>
                <w:sz w:val="21"/>
              </w:rPr>
              <w:t>1.2.3 (Điều 144, 148)</w:t>
            </w:r>
          </w:p>
        </w:tc>
        <w:tc>
          <w:tcPr>
            <w:tcW w:type="dxa" w:w="3515"/>
          </w:tcPr>
          <w:p>
            <w:pPr>
              <w:spacing w:after="40"/>
              <w:jc w:val="left"/>
            </w:pPr>
            <w:r/>
            <w:r>
              <w:rPr>
                <w:rFonts w:ascii="Times New Roman" w:hAnsi="Times New Roman" w:eastAsia="Times New Roman"/>
                <w:b w:val="0"/>
                <w:i w:val="0"/>
                <w:sz w:val="21"/>
              </w:rPr>
              <w:t>Điều 144 cấm điều khoản ấn định giá bán; hợp đồng chuyển quyền sử dụng chỉ có giá trị với bên thứ ba khi đăng ký.</w:t>
            </w:r>
          </w:p>
        </w:tc>
        <w:tc>
          <w:tcPr>
            <w:tcW w:type="dxa" w:w="4535"/>
          </w:tcPr>
          <w:p>
            <w:pPr>
              <w:spacing w:after="40"/>
              <w:jc w:val="left"/>
            </w:pPr>
            <w:r/>
            <w:r>
              <w:rPr>
                <w:rFonts w:ascii="Times New Roman" w:hAnsi="Times New Roman" w:eastAsia="Times New Roman"/>
                <w:b w:val="0"/>
                <w:i w:val="0"/>
                <w:sz w:val="21"/>
              </w:rPr>
              <w:t>Khoản 2 Điều 144 không liệt kê ấn định giá bán. Khoản 3 Điều 148 loại trừ hợp đồng sử dụng nhãn hiệu.</w:t>
            </w:r>
          </w:p>
        </w:tc>
        <w:tc>
          <w:tcPr>
            <w:tcW w:type="dxa" w:w="1247"/>
          </w:tcPr>
          <w:p>
            <w:pPr>
              <w:spacing w:after="40"/>
              <w:jc w:val="center"/>
            </w:pPr>
            <w:r/>
            <w:r>
              <w:rPr>
                <w:rFonts w:ascii="Times New Roman" w:hAnsi="Times New Roman" w:eastAsia="Times New Roman"/>
                <w:b/>
                <w:i w:val="0"/>
                <w:color w:val="595959"/>
                <w:sz w:val="21"/>
              </w:rPr>
              <w:t>C - Sai sót nhỏ</w:t>
            </w:r>
          </w:p>
        </w:tc>
        <w:tc>
          <w:tcPr>
            <w:tcW w:type="dxa" w:w="2835"/>
          </w:tcPr>
          <w:p>
            <w:pPr>
              <w:spacing w:after="40"/>
              <w:jc w:val="left"/>
            </w:pPr>
            <w:r/>
            <w:r>
              <w:rPr>
                <w:rFonts w:ascii="Times New Roman" w:hAnsi="Times New Roman" w:eastAsia="Times New Roman"/>
                <w:b w:val="0"/>
                <w:i w:val="0"/>
                <w:sz w:val="21"/>
              </w:rPr>
              <w:t>Sửa ví dụ cho khớp khoản 2 Điều 144; bổ sung ngoại lệ nhãn hiệu.</w:t>
            </w:r>
          </w:p>
        </w:tc>
      </w:tr>
    </w:tbl>
    <w:p>
      <w:pPr>
        <w:spacing w:before="120" w:after="80" w:line="276" w:lineRule="auto"/>
        <w:jc w:val="both"/>
      </w:pPr>
      <w:r>
        <w:rPr>
          <w:rFonts w:ascii="Times New Roman" w:hAnsi="Times New Roman" w:eastAsia="Times New Roman"/>
          <w:b/>
          <w:i w:val="0"/>
          <w:sz w:val="24"/>
        </w:rPr>
        <w:t>3. Số liệu của Trường</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26</w:t>
            </w:r>
          </w:p>
        </w:tc>
        <w:tc>
          <w:tcPr>
            <w:tcW w:type="dxa" w:w="1701"/>
          </w:tcPr>
          <w:p>
            <w:pPr>
              <w:spacing w:after="40"/>
              <w:jc w:val="left"/>
            </w:pPr>
            <w:r/>
            <w:r>
              <w:rPr>
                <w:rFonts w:ascii="Times New Roman" w:hAnsi="Times New Roman" w:eastAsia="Times New Roman"/>
                <w:b w:val="0"/>
                <w:i w:val="0"/>
                <w:sz w:val="21"/>
              </w:rPr>
              <w:t>Hình 2.4 và đoạn phân tích</w:t>
            </w:r>
          </w:p>
        </w:tc>
        <w:tc>
          <w:tcPr>
            <w:tcW w:type="dxa" w:w="3515"/>
          </w:tcPr>
          <w:p>
            <w:pPr>
              <w:spacing w:after="40"/>
              <w:jc w:val="left"/>
            </w:pPr>
            <w:r/>
            <w:r>
              <w:rPr>
                <w:rFonts w:ascii="Times New Roman" w:hAnsi="Times New Roman" w:eastAsia="Times New Roman"/>
                <w:b w:val="0"/>
                <w:i w:val="0"/>
                <w:sz w:val="21"/>
              </w:rPr>
              <w:t>Kinh phí theo năm: 2022 cấp 80 triệu đồng; 2023 cấp 89,75 triệu đồng cho 4 đề tài; 2024 cấp 110 triệu đồng cho 6 đề tài; 2025 cấp 145 triệu đồng cho 7 đề tài.</w:t>
            </w:r>
          </w:p>
        </w:tc>
        <w:tc>
          <w:tcPr>
            <w:tcW w:type="dxa" w:w="4535"/>
          </w:tcPr>
          <w:p>
            <w:pPr>
              <w:spacing w:after="40"/>
              <w:jc w:val="left"/>
            </w:pPr>
            <w:r/>
            <w:r>
              <w:rPr>
                <w:rFonts w:ascii="Times New Roman" w:hAnsi="Times New Roman" w:eastAsia="Times New Roman"/>
                <w:b w:val="0"/>
                <w:i w:val="0"/>
                <w:sz w:val="21"/>
              </w:rPr>
              <w:t>Dữ liệu đã chuẩn hóa từ danh mục đề tài: 2022 có 3 đề tài, 84 triệu đồng; 2023 có 7 đề tài, 70 triệu đồng; 2024 có 5 đề tài và 3 đề tài tự tìm tài trợ, 125,75 triệu đồng; 2025 có 4 đề tài và 3 đề tài chỉ quy đổi giờ, 145 triệu đồng. Các số trong báo cáo cộng lại vẫn ra 424,75 triệu đồng nhưng không khớp danh mục, cũng không khớp cơ cấu 19/16/3 ở Bảng 2.4.</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Thay bằng số liệu đã chuẩn hóa.</w:t>
            </w:r>
          </w:p>
        </w:tc>
      </w:tr>
      <w:tr>
        <w:tc>
          <w:tcPr>
            <w:tcW w:type="dxa" w:w="737"/>
          </w:tcPr>
          <w:p>
            <w:pPr>
              <w:spacing w:after="40"/>
              <w:jc w:val="center"/>
            </w:pPr>
            <w:r/>
            <w:r>
              <w:rPr>
                <w:rFonts w:ascii="Times New Roman" w:hAnsi="Times New Roman" w:eastAsia="Times New Roman"/>
                <w:b w:val="0"/>
                <w:i w:val="0"/>
                <w:sz w:val="21"/>
              </w:rPr>
              <w:t>27</w:t>
            </w:r>
          </w:p>
        </w:tc>
        <w:tc>
          <w:tcPr>
            <w:tcW w:type="dxa" w:w="1701"/>
          </w:tcPr>
          <w:p>
            <w:pPr>
              <w:spacing w:after="40"/>
              <w:jc w:val="left"/>
            </w:pPr>
            <w:r/>
            <w:r>
              <w:rPr>
                <w:rFonts w:ascii="Times New Roman" w:hAnsi="Times New Roman" w:eastAsia="Times New Roman"/>
                <w:b w:val="0"/>
                <w:i w:val="0"/>
                <w:sz w:val="21"/>
              </w:rPr>
              <w:t>Hình 2.10; 2.3.1; Bảng 3.1 (S2)</w:t>
            </w:r>
          </w:p>
        </w:tc>
        <w:tc>
          <w:tcPr>
            <w:tcW w:type="dxa" w:w="3515"/>
          </w:tcPr>
          <w:p>
            <w:pPr>
              <w:spacing w:after="40"/>
              <w:jc w:val="left"/>
            </w:pPr>
            <w:r/>
            <w:r>
              <w:rPr>
                <w:rFonts w:ascii="Times New Roman" w:hAnsi="Times New Roman" w:eastAsia="Times New Roman"/>
                <w:b w:val="0"/>
                <w:i w:val="0"/>
                <w:sz w:val="21"/>
              </w:rPr>
              <w:t>Tham luận cấp Trường đạt 67/30 bài; đề tài cấp cơ sở 15/16; đề tài cấp Tỉnh, Bộ, Nhà nước 3/4, tức 75%; giáo trình 18/12, tức 150%. Phần lời viết 6 trên 9 chỉ tiêu đạt.</w:t>
            </w:r>
          </w:p>
        </w:tc>
        <w:tc>
          <w:tcPr>
            <w:tcW w:type="dxa" w:w="4535"/>
          </w:tcPr>
          <w:p>
            <w:pPr>
              <w:spacing w:after="40"/>
              <w:jc w:val="left"/>
            </w:pPr>
            <w:r/>
            <w:r>
              <w:rPr>
                <w:rFonts w:ascii="Times New Roman" w:hAnsi="Times New Roman" w:eastAsia="Times New Roman"/>
                <w:b w:val="0"/>
                <w:i w:val="0"/>
                <w:sz w:val="21"/>
              </w:rPr>
              <w:t>Theo mục 2.2.4 Kế hoạch 07 và dữ liệu đã chuẩn hóa: tham luận cấp Trường 134/60; đề tài cấp cơ sở 15/14, tức 107%; đề tài cấp Bộ, Nhà nước 3/2, tức 150%; giáo trình 18/20, tức 90%. Ngay trong Hình 2.10 của báo cáo chỉ có 5 chỉ tiêu đạt, mâu thuẫn với phần lời.</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Thay bằng số liệu theo Kế hoạch 07.</w:t>
            </w:r>
          </w:p>
        </w:tc>
      </w:tr>
      <w:tr>
        <w:tc>
          <w:tcPr>
            <w:tcW w:type="dxa" w:w="737"/>
          </w:tcPr>
          <w:p>
            <w:pPr>
              <w:spacing w:after="40"/>
              <w:jc w:val="center"/>
            </w:pPr>
            <w:r/>
            <w:r>
              <w:rPr>
                <w:rFonts w:ascii="Times New Roman" w:hAnsi="Times New Roman" w:eastAsia="Times New Roman"/>
                <w:b w:val="0"/>
                <w:i w:val="0"/>
                <w:sz w:val="21"/>
              </w:rPr>
              <w:t>28</w:t>
            </w:r>
          </w:p>
        </w:tc>
        <w:tc>
          <w:tcPr>
            <w:tcW w:type="dxa" w:w="1701"/>
          </w:tcPr>
          <w:p>
            <w:pPr>
              <w:spacing w:after="40"/>
              <w:jc w:val="left"/>
            </w:pPr>
            <w:r/>
            <w:r>
              <w:rPr>
                <w:rFonts w:ascii="Times New Roman" w:hAnsi="Times New Roman" w:eastAsia="Times New Roman"/>
                <w:b w:val="0"/>
                <w:i w:val="0"/>
                <w:sz w:val="21"/>
              </w:rPr>
              <w:t>Hình 2.5 và đoạn phân tích</w:t>
            </w:r>
          </w:p>
        </w:tc>
        <w:tc>
          <w:tcPr>
            <w:tcW w:type="dxa" w:w="3515"/>
          </w:tcPr>
          <w:p>
            <w:pPr>
              <w:spacing w:after="40"/>
              <w:jc w:val="left"/>
            </w:pPr>
            <w:r/>
            <w:r>
              <w:rPr>
                <w:rFonts w:ascii="Times New Roman" w:hAnsi="Times New Roman" w:eastAsia="Times New Roman"/>
                <w:b w:val="0"/>
                <w:i w:val="0"/>
                <w:sz w:val="21"/>
              </w:rPr>
              <w:t>Giải pháp hữu ích 240 giờ, tương đương bài Q2; Q2 240 giờ; Q3, Q4 180 giờ và thưởng 10 triệu đồng; bài trong nước 60 giờ.</w:t>
            </w:r>
          </w:p>
        </w:tc>
        <w:tc>
          <w:tcPr>
            <w:tcW w:type="dxa" w:w="4535"/>
          </w:tcPr>
          <w:p>
            <w:pPr>
              <w:spacing w:after="40"/>
              <w:jc w:val="left"/>
            </w:pPr>
            <w:r/>
            <w:r>
              <w:rPr>
                <w:rFonts w:ascii="Times New Roman" w:hAnsi="Times New Roman" w:eastAsia="Times New Roman"/>
                <w:b w:val="0"/>
                <w:i w:val="0"/>
                <w:sz w:val="21"/>
              </w:rPr>
              <w:t>Quy chế chi tiêu nội bộ 2026: giải pháp hữu ích 180 giờ; Q1 300, Q2 270, Q3 hoặc Q4 240 giờ; bài trong nước từ 30 đến 150 giờ tùy điểm tạp chí; thưởng WoS Q3 12 triệu đồng, Q4 10 triệu đồng. Sáng chế 600 giờ (chuẩn quốc tế), 360 giờ (chuẩn Việt Nam) và thưởng Q1 20 triệu đồng là đúng.</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số liệu; bỏ câu giải pháp hữu ích tương đương bài Q2.</w:t>
            </w:r>
          </w:p>
        </w:tc>
      </w:tr>
      <w:tr>
        <w:tc>
          <w:tcPr>
            <w:tcW w:type="dxa" w:w="737"/>
          </w:tcPr>
          <w:p>
            <w:pPr>
              <w:spacing w:after="40"/>
              <w:jc w:val="center"/>
            </w:pPr>
            <w:r/>
            <w:r>
              <w:rPr>
                <w:rFonts w:ascii="Times New Roman" w:hAnsi="Times New Roman" w:eastAsia="Times New Roman"/>
                <w:b w:val="0"/>
                <w:i w:val="0"/>
                <w:sz w:val="21"/>
              </w:rPr>
              <w:t>29</w:t>
            </w:r>
          </w:p>
        </w:tc>
        <w:tc>
          <w:tcPr>
            <w:tcW w:type="dxa" w:w="1701"/>
          </w:tcPr>
          <w:p>
            <w:pPr>
              <w:spacing w:after="40"/>
              <w:jc w:val="left"/>
            </w:pPr>
            <w:r/>
            <w:r>
              <w:rPr>
                <w:rFonts w:ascii="Times New Roman" w:hAnsi="Times New Roman" w:eastAsia="Times New Roman"/>
                <w:b w:val="0"/>
                <w:i w:val="0"/>
                <w:sz w:val="21"/>
              </w:rPr>
              <w:t>2.2.1; 2.3.1; Bảng 3.1 (S3); 3.3.2; Tiểu kết Chương 2</w:t>
            </w:r>
          </w:p>
        </w:tc>
        <w:tc>
          <w:tcPr>
            <w:tcW w:type="dxa" w:w="3515"/>
          </w:tcPr>
          <w:p>
            <w:pPr>
              <w:spacing w:after="40"/>
              <w:jc w:val="left"/>
            </w:pPr>
            <w:r/>
            <w:r>
              <w:rPr>
                <w:rFonts w:ascii="Times New Roman" w:hAnsi="Times New Roman" w:eastAsia="Times New Roman"/>
                <w:b w:val="0"/>
                <w:i w:val="0"/>
                <w:sz w:val="21"/>
              </w:rPr>
              <w:t>10 trên 11 đề tài có sản phẩm tiềm năng thuộc Khoa Dược và Viện Y - Dược; Tiểu kết ghi Viện Y - Dược có 11 đề tài.</w:t>
            </w:r>
          </w:p>
        </w:tc>
        <w:tc>
          <w:tcPr>
            <w:tcW w:type="dxa" w:w="4535"/>
          </w:tcPr>
          <w:p>
            <w:pPr>
              <w:spacing w:after="40"/>
              <w:jc w:val="left"/>
            </w:pPr>
            <w:r/>
            <w:r>
              <w:rPr>
                <w:rFonts w:ascii="Times New Roman" w:hAnsi="Times New Roman" w:eastAsia="Times New Roman"/>
                <w:b w:val="0"/>
                <w:i w:val="0"/>
                <w:sz w:val="21"/>
              </w:rPr>
              <w:t>Theo chính Bảng 2.7 và danh mục đề tài: 9 trên 11 thuộc Viện Y - Dược; 1 thuộc Viện Quản trị và Công nghệ (37-2022), 1 thuộc Viện Nghiên cứu giáo dục và Chuyển giao tri thức (08-2023).</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9 trên 11 ở mọi chỗ.</w:t>
            </w:r>
          </w:p>
        </w:tc>
      </w:tr>
      <w:tr>
        <w:tc>
          <w:tcPr>
            <w:tcW w:type="dxa" w:w="737"/>
          </w:tcPr>
          <w:p>
            <w:pPr>
              <w:spacing w:after="40"/>
              <w:jc w:val="center"/>
            </w:pPr>
            <w:r/>
            <w:r>
              <w:rPr>
                <w:rFonts w:ascii="Times New Roman" w:hAnsi="Times New Roman" w:eastAsia="Times New Roman"/>
                <w:b w:val="0"/>
                <w:i w:val="0"/>
                <w:sz w:val="21"/>
              </w:rPr>
              <w:t>30</w:t>
            </w:r>
          </w:p>
        </w:tc>
        <w:tc>
          <w:tcPr>
            <w:tcW w:type="dxa" w:w="1701"/>
          </w:tcPr>
          <w:p>
            <w:pPr>
              <w:spacing w:after="40"/>
              <w:jc w:val="left"/>
            </w:pPr>
            <w:r/>
            <w:r>
              <w:rPr>
                <w:rFonts w:ascii="Times New Roman" w:hAnsi="Times New Roman" w:eastAsia="Times New Roman"/>
                <w:b w:val="0"/>
                <w:i w:val="0"/>
                <w:sz w:val="21"/>
              </w:rPr>
              <w:t>Bảng 2.7</w:t>
            </w:r>
          </w:p>
        </w:tc>
        <w:tc>
          <w:tcPr>
            <w:tcW w:type="dxa" w:w="3515"/>
          </w:tcPr>
          <w:p>
            <w:pPr>
              <w:spacing w:after="40"/>
              <w:jc w:val="left"/>
            </w:pPr>
            <w:r/>
            <w:r>
              <w:rPr>
                <w:rFonts w:ascii="Times New Roman" w:hAnsi="Times New Roman" w:eastAsia="Times New Roman"/>
                <w:b w:val="0"/>
                <w:i w:val="0"/>
                <w:sz w:val="21"/>
              </w:rPr>
              <w:t>Đơn vị chủ trì ghi Khoa Công nghệ kỹ thuật Ô tô, Khoa Dược.</w:t>
            </w:r>
          </w:p>
        </w:tc>
        <w:tc>
          <w:tcPr>
            <w:tcW w:type="dxa" w:w="4535"/>
          </w:tcPr>
          <w:p>
            <w:pPr>
              <w:spacing w:after="40"/>
              <w:jc w:val="left"/>
            </w:pPr>
            <w:r/>
            <w:r>
              <w:rPr>
                <w:rFonts w:ascii="Times New Roman" w:hAnsi="Times New Roman" w:eastAsia="Times New Roman"/>
                <w:b w:val="0"/>
                <w:i w:val="0"/>
                <w:sz w:val="21"/>
              </w:rPr>
              <w:t>Danh mục đề tài ghi đơn vị quy đổi là Viện Quản trị và Công nghệ (37-2022) và Viện Y - Dược (các đề tài dược).</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Ghi theo danh mục, hoặc ghi rõ khoa thuộc viện nào.</w:t>
            </w:r>
          </w:p>
        </w:tc>
      </w:tr>
      <w:tr>
        <w:tc>
          <w:tcPr>
            <w:tcW w:type="dxa" w:w="737"/>
          </w:tcPr>
          <w:p>
            <w:pPr>
              <w:spacing w:after="40"/>
              <w:jc w:val="center"/>
            </w:pPr>
            <w:r/>
            <w:r>
              <w:rPr>
                <w:rFonts w:ascii="Times New Roman" w:hAnsi="Times New Roman" w:eastAsia="Times New Roman"/>
                <w:b w:val="0"/>
                <w:i w:val="0"/>
                <w:sz w:val="21"/>
              </w:rPr>
              <w:t>31</w:t>
            </w:r>
          </w:p>
        </w:tc>
        <w:tc>
          <w:tcPr>
            <w:tcW w:type="dxa" w:w="1701"/>
          </w:tcPr>
          <w:p>
            <w:pPr>
              <w:spacing w:after="40"/>
              <w:jc w:val="left"/>
            </w:pPr>
            <w:r/>
            <w:r>
              <w:rPr>
                <w:rFonts w:ascii="Times New Roman" w:hAnsi="Times New Roman" w:eastAsia="Times New Roman"/>
                <w:b w:val="0"/>
                <w:i w:val="0"/>
                <w:sz w:val="21"/>
              </w:rPr>
              <w:t>Bảng 2.5</w:t>
            </w:r>
          </w:p>
        </w:tc>
        <w:tc>
          <w:tcPr>
            <w:tcW w:type="dxa" w:w="3515"/>
          </w:tcPr>
          <w:p>
            <w:pPr>
              <w:spacing w:after="40"/>
              <w:jc w:val="left"/>
            </w:pPr>
            <w:r/>
            <w:r>
              <w:rPr>
                <w:rFonts w:ascii="Times New Roman" w:hAnsi="Times New Roman" w:eastAsia="Times New Roman"/>
                <w:b w:val="0"/>
                <w:i w:val="0"/>
                <w:sz w:val="21"/>
              </w:rPr>
              <w:t>Sáng chế hợp chất chiết xuất từ lá Quế hoa: đã nộp 01 đơn năm 2025 và 01 đơn năm 2026.</w:t>
            </w:r>
          </w:p>
        </w:tc>
        <w:tc>
          <w:tcPr>
            <w:tcW w:type="dxa" w:w="4535"/>
          </w:tcPr>
          <w:p>
            <w:pPr>
              <w:spacing w:after="40"/>
              <w:jc w:val="left"/>
            </w:pPr>
            <w:r/>
            <w:r>
              <w:rPr>
                <w:rFonts w:ascii="Times New Roman" w:hAnsi="Times New Roman" w:eastAsia="Times New Roman"/>
                <w:b w:val="0"/>
                <w:i w:val="0"/>
                <w:sz w:val="21"/>
              </w:rPr>
              <w:t>Đơn năm 2026 (1-2026-07185) là phương pháp chiết tách hợp chất Isoembigenin từ cây Piper aduncum L., không phải lá Quế hoa.</w:t>
            </w:r>
          </w:p>
        </w:tc>
        <w:tc>
          <w:tcPr>
            <w:tcW w:type="dxa" w:w="1247"/>
          </w:tcPr>
          <w:p>
            <w:pPr>
              <w:spacing w:after="40"/>
              <w:jc w:val="center"/>
            </w:pPr>
            <w:r/>
            <w:r>
              <w:rPr>
                <w:rFonts w:ascii="Times New Roman" w:hAnsi="Times New Roman" w:eastAsia="Times New Roman"/>
                <w:b/>
                <w:i w:val="0"/>
                <w:color w:val="595959"/>
                <w:sz w:val="21"/>
              </w:rPr>
              <w:t>C - Sai sót nhỏ</w:t>
            </w:r>
          </w:p>
        </w:tc>
        <w:tc>
          <w:tcPr>
            <w:tcW w:type="dxa" w:w="2835"/>
          </w:tcPr>
          <w:p>
            <w:pPr>
              <w:spacing w:after="40"/>
              <w:jc w:val="left"/>
            </w:pPr>
            <w:r/>
            <w:r>
              <w:rPr>
                <w:rFonts w:ascii="Times New Roman" w:hAnsi="Times New Roman" w:eastAsia="Times New Roman"/>
                <w:b w:val="0"/>
                <w:i w:val="0"/>
                <w:sz w:val="21"/>
              </w:rPr>
              <w:t>Tách thành hai đối tượng.</w:t>
            </w:r>
          </w:p>
        </w:tc>
      </w:tr>
      <w:tr>
        <w:tc>
          <w:tcPr>
            <w:tcW w:type="dxa" w:w="737"/>
          </w:tcPr>
          <w:p>
            <w:pPr>
              <w:spacing w:after="40"/>
              <w:jc w:val="center"/>
            </w:pPr>
            <w:r/>
            <w:r>
              <w:rPr>
                <w:rFonts w:ascii="Times New Roman" w:hAnsi="Times New Roman" w:eastAsia="Times New Roman"/>
                <w:b w:val="0"/>
                <w:i w:val="0"/>
                <w:sz w:val="21"/>
              </w:rPr>
              <w:t>32</w:t>
            </w:r>
          </w:p>
        </w:tc>
        <w:tc>
          <w:tcPr>
            <w:tcW w:type="dxa" w:w="1701"/>
          </w:tcPr>
          <w:p>
            <w:pPr>
              <w:spacing w:after="40"/>
              <w:jc w:val="left"/>
            </w:pPr>
            <w:r/>
            <w:r>
              <w:rPr>
                <w:rFonts w:ascii="Times New Roman" w:hAnsi="Times New Roman" w:eastAsia="Times New Roman"/>
                <w:b w:val="0"/>
                <w:i w:val="0"/>
                <w:sz w:val="21"/>
              </w:rPr>
              <w:t>Mục 2.1.1</w:t>
            </w:r>
          </w:p>
        </w:tc>
        <w:tc>
          <w:tcPr>
            <w:tcW w:type="dxa" w:w="3515"/>
          </w:tcPr>
          <w:p>
            <w:pPr>
              <w:spacing w:after="40"/>
              <w:jc w:val="left"/>
            </w:pPr>
            <w:r/>
            <w:r>
              <w:rPr>
                <w:rFonts w:ascii="Times New Roman" w:hAnsi="Times New Roman" w:eastAsia="Times New Roman"/>
                <w:b w:val="0"/>
                <w:i w:val="0"/>
                <w:sz w:val="21"/>
              </w:rPr>
              <w:t>Trường Cao đẳng thành lập theo Quyết định số 762/QĐ-BGD&amp;ĐT ngày 19/02/2004; triết lý Trí - Năng - Nhân - Hòa.</w:t>
            </w:r>
          </w:p>
        </w:tc>
        <w:tc>
          <w:tcPr>
            <w:tcW w:type="dxa" w:w="4535"/>
          </w:tcPr>
          <w:p>
            <w:pPr>
              <w:spacing w:after="40"/>
              <w:jc w:val="left"/>
            </w:pPr>
            <w:r/>
            <w:r>
              <w:rPr>
                <w:rFonts w:ascii="Times New Roman" w:hAnsi="Times New Roman" w:eastAsia="Times New Roman"/>
                <w:b w:val="0"/>
                <w:i w:val="0"/>
                <w:sz w:val="21"/>
              </w:rPr>
              <w:t>Chiến lược của Trường ghi Trường Cao đẳng Công nghệ Thành Đô thành lập ngày 30/11/2004, nâng cấp thành Trường Đại học ngày 27/5/2009. Khung chiến lược Edupark ghi triết lý Trí - Năng - Hòa - Nhân. Số hiệu hai quyết định chưa có văn bản để đối chiếu.</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ngày và thứ tự triết lý; kiểm tra số quyết định.</w:t>
            </w:r>
          </w:p>
        </w:tc>
      </w:tr>
      <w:tr>
        <w:tc>
          <w:tcPr>
            <w:tcW w:type="dxa" w:w="737"/>
          </w:tcPr>
          <w:p>
            <w:pPr>
              <w:spacing w:after="40"/>
              <w:jc w:val="center"/>
            </w:pPr>
            <w:r/>
            <w:r>
              <w:rPr>
                <w:rFonts w:ascii="Times New Roman" w:hAnsi="Times New Roman" w:eastAsia="Times New Roman"/>
                <w:b w:val="0"/>
                <w:i w:val="0"/>
                <w:sz w:val="21"/>
              </w:rPr>
              <w:t>33</w:t>
            </w:r>
          </w:p>
        </w:tc>
        <w:tc>
          <w:tcPr>
            <w:tcW w:type="dxa" w:w="1701"/>
          </w:tcPr>
          <w:p>
            <w:pPr>
              <w:spacing w:after="40"/>
              <w:jc w:val="left"/>
            </w:pPr>
            <w:r/>
            <w:r>
              <w:rPr>
                <w:rFonts w:ascii="Times New Roman" w:hAnsi="Times New Roman" w:eastAsia="Times New Roman"/>
                <w:b w:val="0"/>
                <w:i w:val="0"/>
                <w:sz w:val="21"/>
              </w:rPr>
              <w:t>Hình 2.3; giải pháp 3.2.3, 3.2.4</w:t>
            </w:r>
          </w:p>
        </w:tc>
        <w:tc>
          <w:tcPr>
            <w:tcW w:type="dxa" w:w="3515"/>
          </w:tcPr>
          <w:p>
            <w:pPr>
              <w:spacing w:after="40"/>
              <w:jc w:val="left"/>
            </w:pPr>
            <w:r/>
            <w:r>
              <w:rPr>
                <w:rFonts w:ascii="Times New Roman" w:hAnsi="Times New Roman" w:eastAsia="Times New Roman"/>
                <w:b w:val="0"/>
                <w:i w:val="0"/>
                <w:sz w:val="21"/>
              </w:rPr>
              <w:t>Đầu mối Trung tâm Đào tạo và Chuyển giao công nghệ, Viện Quản trị và Sáng tạo số; Trung tâm Công nghệ thông tin chủ trì hoặc phối hợp.</w:t>
            </w:r>
          </w:p>
        </w:tc>
        <w:tc>
          <w:tcPr>
            <w:tcW w:type="dxa" w:w="4535"/>
          </w:tcPr>
          <w:p>
            <w:pPr>
              <w:spacing w:after="40"/>
              <w:jc w:val="left"/>
            </w:pPr>
            <w:r/>
            <w:r>
              <w:rPr>
                <w:rFonts w:ascii="Times New Roman" w:hAnsi="Times New Roman" w:eastAsia="Times New Roman"/>
                <w:b w:val="0"/>
                <w:i w:val="0"/>
                <w:sz w:val="21"/>
              </w:rPr>
              <w:t>Các đơn vị này không có trong cơ cấu tổ chức ở Bảng 2.1 và danh sách nhân sự năm 2026.</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Kiểm tra tên đơn vị; dùng đúng tên trong quy chế tổ chức.</w:t>
            </w:r>
          </w:p>
        </w:tc>
      </w:tr>
    </w:tbl>
    <w:p>
      <w:pPr>
        <w:spacing w:before="120" w:after="80" w:line="276" w:lineRule="auto"/>
        <w:jc w:val="both"/>
      </w:pPr>
      <w:r>
        <w:rPr>
          <w:rFonts w:ascii="Times New Roman" w:hAnsi="Times New Roman" w:eastAsia="Times New Roman"/>
          <w:b/>
          <w:i w:val="0"/>
          <w:sz w:val="24"/>
        </w:rPr>
        <w:t>4. Trích dẫn và tài liệu tham khảo</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34</w:t>
            </w:r>
          </w:p>
        </w:tc>
        <w:tc>
          <w:tcPr>
            <w:tcW w:type="dxa" w:w="1701"/>
          </w:tcPr>
          <w:p>
            <w:pPr>
              <w:spacing w:after="40"/>
              <w:jc w:val="left"/>
            </w:pPr>
            <w:r/>
            <w:r>
              <w:rPr>
                <w:rFonts w:ascii="Times New Roman" w:hAnsi="Times New Roman" w:eastAsia="Times New Roman"/>
                <w:b w:val="0"/>
                <w:i w:val="0"/>
                <w:sz w:val="21"/>
              </w:rPr>
              <w:t>Mở đầu (danh mục đầu) và Tài liệu tham khảo cuối</w:t>
            </w:r>
          </w:p>
        </w:tc>
        <w:tc>
          <w:tcPr>
            <w:tcW w:type="dxa" w:w="3515"/>
          </w:tcPr>
          <w:p>
            <w:pPr>
              <w:spacing w:after="40"/>
              <w:jc w:val="left"/>
            </w:pPr>
            <w:r/>
            <w:r>
              <w:rPr>
                <w:rFonts w:ascii="Times New Roman" w:hAnsi="Times New Roman" w:eastAsia="Times New Roman"/>
                <w:b w:val="0"/>
                <w:i w:val="0"/>
                <w:sz w:val="21"/>
              </w:rPr>
              <w:t>Cùng một tài liệu được ghi hai thông tin xuất bản khác nhau, ví dụ Maresova et al. (2019): Administrative Sciences 9(3) ở đầu, Economies 7(4) ở cuối.</w:t>
            </w:r>
          </w:p>
        </w:tc>
        <w:tc>
          <w:tcPr>
            <w:tcW w:type="dxa" w:w="4535"/>
          </w:tcPr>
          <w:p>
            <w:pPr>
              <w:spacing w:after="40"/>
              <w:jc w:val="left"/>
            </w:pPr>
            <w:r/>
            <w:r>
              <w:rPr>
                <w:rFonts w:ascii="Times New Roman" w:hAnsi="Times New Roman" w:eastAsia="Times New Roman"/>
                <w:b w:val="0"/>
                <w:i w:val="0"/>
                <w:sz w:val="21"/>
              </w:rPr>
              <w:t>Đối chiếu bản PDF và tệp Zotero: danh mục ở cuối sai thông tin xuất bản của 15 tài liệu (chi tiết ở Bảng 2). Thông tin xuất bản sai khiến người đọc không truy xuất được tài liệu, nên là lỗi liêm chính.</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thông tin xuất bản theo Bảng 2.</w:t>
            </w:r>
          </w:p>
        </w:tc>
      </w:tr>
      <w:tr>
        <w:tc>
          <w:tcPr>
            <w:tcW w:type="dxa" w:w="737"/>
          </w:tcPr>
          <w:p>
            <w:pPr>
              <w:spacing w:after="40"/>
              <w:jc w:val="center"/>
            </w:pPr>
            <w:r/>
            <w:r>
              <w:rPr>
                <w:rFonts w:ascii="Times New Roman" w:hAnsi="Times New Roman" w:eastAsia="Times New Roman"/>
                <w:b w:val="0"/>
                <w:i w:val="0"/>
                <w:sz w:val="21"/>
              </w:rPr>
              <w:t>35</w:t>
            </w:r>
          </w:p>
        </w:tc>
        <w:tc>
          <w:tcPr>
            <w:tcW w:type="dxa" w:w="1701"/>
          </w:tcPr>
          <w:p>
            <w:pPr>
              <w:spacing w:after="40"/>
              <w:jc w:val="left"/>
            </w:pPr>
            <w:r/>
            <w:r>
              <w:rPr>
                <w:rFonts w:ascii="Times New Roman" w:hAnsi="Times New Roman" w:eastAsia="Times New Roman"/>
                <w:b w:val="0"/>
                <w:i w:val="0"/>
                <w:sz w:val="21"/>
              </w:rPr>
              <w:t>Mở đầu 2.2; danh mục số 8</w:t>
            </w:r>
          </w:p>
        </w:tc>
        <w:tc>
          <w:tcPr>
            <w:tcW w:type="dxa" w:w="3515"/>
          </w:tcPr>
          <w:p>
            <w:pPr>
              <w:spacing w:after="40"/>
              <w:jc w:val="left"/>
            </w:pPr>
            <w:r/>
            <w:r>
              <w:rPr>
                <w:rFonts w:ascii="Times New Roman" w:hAnsi="Times New Roman" w:eastAsia="Times New Roman"/>
                <w:b w:val="0"/>
                <w:i w:val="0"/>
                <w:sz w:val="21"/>
              </w:rPr>
              <w:t>Rialti, Marzi, Caputo &amp; Mayah (2022), Establishing successful university-industry collaborations, DOI 10.1007/s10961-022-09932-2.</w:t>
            </w:r>
          </w:p>
        </w:tc>
        <w:tc>
          <w:tcPr>
            <w:tcW w:type="dxa" w:w="4535"/>
          </w:tcPr>
          <w:p>
            <w:pPr>
              <w:spacing w:after="40"/>
              <w:jc w:val="left"/>
            </w:pPr>
            <w:r/>
            <w:r>
              <w:rPr>
                <w:rFonts w:ascii="Times New Roman" w:hAnsi="Times New Roman" w:eastAsia="Times New Roman"/>
                <w:b w:val="0"/>
                <w:i w:val="0"/>
                <w:sz w:val="21"/>
              </w:rPr>
              <w:t>Bản PDF có trong thư mục ghi tác giả là Michele O'Dwyer, Raffaele Filieri và Lisa O'Malley; The Journal of Technology Transfer (2023) 48: 900-931. Báo cáo gán bài cho sai tác giả, và danh mục cuối lại ghi sai tạp chí (Technovation).</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O'Dwyer et al. (2023) ở mọi chỗ.</w:t>
            </w:r>
          </w:p>
        </w:tc>
      </w:tr>
      <w:tr>
        <w:tc>
          <w:tcPr>
            <w:tcW w:type="dxa" w:w="737"/>
          </w:tcPr>
          <w:p>
            <w:pPr>
              <w:spacing w:after="40"/>
              <w:jc w:val="center"/>
            </w:pPr>
            <w:r/>
            <w:r>
              <w:rPr>
                <w:rFonts w:ascii="Times New Roman" w:hAnsi="Times New Roman" w:eastAsia="Times New Roman"/>
                <w:b w:val="0"/>
                <w:i w:val="0"/>
                <w:sz w:val="21"/>
              </w:rPr>
              <w:t>36</w:t>
            </w:r>
          </w:p>
        </w:tc>
        <w:tc>
          <w:tcPr>
            <w:tcW w:type="dxa" w:w="1701"/>
          </w:tcPr>
          <w:p>
            <w:pPr>
              <w:spacing w:after="40"/>
              <w:jc w:val="left"/>
            </w:pPr>
            <w:r/>
            <w:r>
              <w:rPr>
                <w:rFonts w:ascii="Times New Roman" w:hAnsi="Times New Roman" w:eastAsia="Times New Roman"/>
                <w:b w:val="0"/>
                <w:i w:val="0"/>
                <w:sz w:val="21"/>
              </w:rPr>
              <w:t>Chương 1</w:t>
            </w:r>
          </w:p>
        </w:tc>
        <w:tc>
          <w:tcPr>
            <w:tcW w:type="dxa" w:w="3515"/>
          </w:tcPr>
          <w:p>
            <w:pPr>
              <w:spacing w:after="40"/>
              <w:jc w:val="left"/>
            </w:pPr>
            <w:r/>
            <w:r>
              <w:rPr>
                <w:rFonts w:ascii="Times New Roman" w:hAnsi="Times New Roman" w:eastAsia="Times New Roman"/>
                <w:b w:val="0"/>
                <w:i w:val="0"/>
                <w:sz w:val="21"/>
              </w:rPr>
              <w:t>Trích Milliken và Allen (2013), Tewari và Bhardwaj (2020); dẫn Nghị định 17/2023, Luật Giá, Bộ luật Hình sự.</w:t>
            </w:r>
          </w:p>
        </w:tc>
        <w:tc>
          <w:tcPr>
            <w:tcW w:type="dxa" w:w="4535"/>
          </w:tcPr>
          <w:p>
            <w:pPr>
              <w:spacing w:after="40"/>
              <w:jc w:val="left"/>
            </w:pPr>
            <w:r/>
            <w:r>
              <w:rPr>
                <w:rFonts w:ascii="Times New Roman" w:hAnsi="Times New Roman" w:eastAsia="Times New Roman"/>
                <w:b w:val="0"/>
                <w:i w:val="0"/>
                <w:sz w:val="21"/>
              </w:rPr>
              <w:t>Các tài liệu này không có trong danh mục. Milliken và Allen là bản tóm tắt 5 trang của cơ quan nghiên cứu thuộc Quốc hội Bắc Ireland, nguồn yếu cho một luận điểm lý luận. Sách của Tewari và Bhardwaj là ấn bản năm 2021 của Đại học Panjab.</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vào danh mục với đúng năm, hoặc thay bằng nguồn đã có; nên bỏ Milliken và Allen.</w:t>
            </w:r>
          </w:p>
        </w:tc>
      </w:tr>
      <w:tr>
        <w:tc>
          <w:tcPr>
            <w:tcW w:type="dxa" w:w="737"/>
          </w:tcPr>
          <w:p>
            <w:pPr>
              <w:spacing w:after="40"/>
              <w:jc w:val="center"/>
            </w:pPr>
            <w:r/>
            <w:r>
              <w:rPr>
                <w:rFonts w:ascii="Times New Roman" w:hAnsi="Times New Roman" w:eastAsia="Times New Roman"/>
                <w:b w:val="0"/>
                <w:i w:val="0"/>
                <w:sz w:val="21"/>
              </w:rPr>
              <w:t>37</w:t>
            </w:r>
          </w:p>
        </w:tc>
        <w:tc>
          <w:tcPr>
            <w:tcW w:type="dxa" w:w="1701"/>
          </w:tcPr>
          <w:p>
            <w:pPr>
              <w:spacing w:after="40"/>
              <w:jc w:val="left"/>
            </w:pPr>
            <w:r/>
            <w:r>
              <w:rPr>
                <w:rFonts w:ascii="Times New Roman" w:hAnsi="Times New Roman" w:eastAsia="Times New Roman"/>
                <w:b w:val="0"/>
                <w:i w:val="0"/>
                <w:sz w:val="21"/>
              </w:rPr>
              <w:t>Tài liệu tham khảo</w:t>
            </w:r>
          </w:p>
        </w:tc>
        <w:tc>
          <w:tcPr>
            <w:tcW w:type="dxa" w:w="3515"/>
          </w:tcPr>
          <w:p>
            <w:pPr>
              <w:spacing w:after="40"/>
              <w:jc w:val="left"/>
            </w:pPr>
            <w:r/>
            <w:r>
              <w:rPr>
                <w:rFonts w:ascii="Times New Roman" w:hAnsi="Times New Roman" w:eastAsia="Times New Roman"/>
                <w:b w:val="0"/>
                <w:i w:val="0"/>
                <w:sz w:val="21"/>
              </w:rPr>
              <w:t>Có Bradley (2013), Etzkowitz (2003), Goldfarb và Henrekson (2003), Shane (2004), Siegel et al. (2007), O'Dwyer et al. (2023) trong danh mục.</w:t>
            </w:r>
          </w:p>
        </w:tc>
        <w:tc>
          <w:tcPr>
            <w:tcW w:type="dxa" w:w="4535"/>
          </w:tcPr>
          <w:p>
            <w:pPr>
              <w:spacing w:after="40"/>
              <w:jc w:val="left"/>
            </w:pPr>
            <w:r/>
            <w:r>
              <w:rPr>
                <w:rFonts w:ascii="Times New Roman" w:hAnsi="Times New Roman" w:eastAsia="Times New Roman"/>
                <w:b w:val="0"/>
                <w:i w:val="0"/>
                <w:sz w:val="21"/>
              </w:rPr>
              <w:t>Sáu tài liệu này không được trích trong thân bài.</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Trích ở đúng chỗ hoặc bỏ khỏi danh mục.</w:t>
            </w:r>
          </w:p>
        </w:tc>
      </w:tr>
      <w:tr>
        <w:tc>
          <w:tcPr>
            <w:tcW w:type="dxa" w:w="737"/>
          </w:tcPr>
          <w:p>
            <w:pPr>
              <w:spacing w:after="40"/>
              <w:jc w:val="center"/>
            </w:pPr>
            <w:r/>
            <w:r>
              <w:rPr>
                <w:rFonts w:ascii="Times New Roman" w:hAnsi="Times New Roman" w:eastAsia="Times New Roman"/>
                <w:b w:val="0"/>
                <w:i w:val="0"/>
                <w:sz w:val="21"/>
              </w:rPr>
              <w:t>38</w:t>
            </w:r>
          </w:p>
        </w:tc>
        <w:tc>
          <w:tcPr>
            <w:tcW w:type="dxa" w:w="1701"/>
          </w:tcPr>
          <w:p>
            <w:pPr>
              <w:spacing w:after="40"/>
              <w:jc w:val="left"/>
            </w:pPr>
            <w:r/>
            <w:r>
              <w:rPr>
                <w:rFonts w:ascii="Times New Roman" w:hAnsi="Times New Roman" w:eastAsia="Times New Roman"/>
                <w:b w:val="0"/>
                <w:i w:val="0"/>
                <w:sz w:val="21"/>
              </w:rPr>
              <w:t>1.2.1; 2.2 Mở đầu; 1.1.2; 1.2.2; 1.1.3</w:t>
            </w:r>
          </w:p>
        </w:tc>
        <w:tc>
          <w:tcPr>
            <w:tcW w:type="dxa" w:w="3515"/>
          </w:tcPr>
          <w:p>
            <w:pPr>
              <w:spacing w:after="40"/>
              <w:jc w:val="left"/>
            </w:pPr>
            <w:r/>
            <w:r>
              <w:rPr>
                <w:rFonts w:ascii="Times New Roman" w:hAnsi="Times New Roman" w:eastAsia="Times New Roman"/>
                <w:b w:val="0"/>
                <w:i w:val="0"/>
                <w:sz w:val="21"/>
              </w:rPr>
              <w:t>Teece (2018) dùng để định nghĩa sáng tạo trong trường đại học và cho đề xuất về văn phòng chuyển giao ở nước đang phát triển; Perkmann et al. (2013) dùng cho việc mất tính mới khi công bố trước; Rocha et al. (2023) dùng để định nghĩa xác lập quyền; Thursby và Kemp (2002) dùng cho nguồn thu.</w:t>
            </w:r>
          </w:p>
        </w:tc>
        <w:tc>
          <w:tcPr>
            <w:tcW w:type="dxa" w:w="4535"/>
          </w:tcPr>
          <w:p>
            <w:pPr>
              <w:spacing w:after="40"/>
              <w:jc w:val="left"/>
            </w:pPr>
            <w:r/>
            <w:r>
              <w:rPr>
                <w:rFonts w:ascii="Times New Roman" w:hAnsi="Times New Roman" w:eastAsia="Times New Roman"/>
                <w:b w:val="0"/>
                <w:i w:val="0"/>
                <w:sz w:val="21"/>
              </w:rPr>
              <w:t>Teece (2018) phân tích mô hình cấp phép công nghệ trong ngành viễn thông không dây; Perkmann et al. (2013) tổng quan về tương tác học thuật và thương mại hóa, không bàn về tính mới sáng chế; Rocha et al. (2023) đánh giá bản khai báo sáng chế; Thursby và Kemp (2002) đo hiệu quả cấp phép. Nội dung được gán không có trong các nguồn này.</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Gán lại cho đúng nguồn (về tính mới: Điều 60 Luật Sở hữu trí tuệ) hoặc bỏ trích dẫn.</w:t>
            </w:r>
          </w:p>
        </w:tc>
      </w:tr>
      <w:tr>
        <w:tc>
          <w:tcPr>
            <w:tcW w:type="dxa" w:w="737"/>
          </w:tcPr>
          <w:p>
            <w:pPr>
              <w:spacing w:after="40"/>
              <w:jc w:val="center"/>
            </w:pPr>
            <w:r/>
            <w:r>
              <w:rPr>
                <w:rFonts w:ascii="Times New Roman" w:hAnsi="Times New Roman" w:eastAsia="Times New Roman"/>
                <w:b w:val="0"/>
                <w:i w:val="0"/>
                <w:sz w:val="21"/>
              </w:rPr>
              <w:t>39</w:t>
            </w:r>
          </w:p>
        </w:tc>
        <w:tc>
          <w:tcPr>
            <w:tcW w:type="dxa" w:w="1701"/>
          </w:tcPr>
          <w:p>
            <w:pPr>
              <w:spacing w:after="40"/>
              <w:jc w:val="left"/>
            </w:pPr>
            <w:r/>
            <w:r>
              <w:rPr>
                <w:rFonts w:ascii="Times New Roman" w:hAnsi="Times New Roman" w:eastAsia="Times New Roman"/>
                <w:b w:val="0"/>
                <w:i w:val="0"/>
                <w:sz w:val="21"/>
              </w:rPr>
              <w:t>1.1.1</w:t>
            </w:r>
          </w:p>
        </w:tc>
        <w:tc>
          <w:tcPr>
            <w:tcW w:type="dxa" w:w="3515"/>
          </w:tcPr>
          <w:p>
            <w:pPr>
              <w:spacing w:after="40"/>
              <w:jc w:val="left"/>
            </w:pPr>
            <w:r/>
            <w:r>
              <w:rPr>
                <w:rFonts w:ascii="Times New Roman" w:hAnsi="Times New Roman" w:eastAsia="Times New Roman"/>
                <w:b w:val="0"/>
                <w:i w:val="0"/>
                <w:sz w:val="21"/>
              </w:rPr>
              <w:t>Fisher (2001) và Guan (2014) chỉ ra tài sản trí tuệ là sự kết hợp hữu cơ giữa tính trừu tượng của ý tưởng và hình thức biểu hiện vật chất.</w:t>
            </w:r>
          </w:p>
        </w:tc>
        <w:tc>
          <w:tcPr>
            <w:tcW w:type="dxa" w:w="4535"/>
          </w:tcPr>
          <w:p>
            <w:pPr>
              <w:spacing w:after="40"/>
              <w:jc w:val="left"/>
            </w:pPr>
            <w:r/>
            <w:r>
              <w:rPr>
                <w:rFonts w:ascii="Times New Roman" w:hAnsi="Times New Roman" w:eastAsia="Times New Roman"/>
                <w:b w:val="0"/>
                <w:i w:val="0"/>
                <w:sz w:val="21"/>
              </w:rPr>
              <w:t>Chương của Guan (2014) có trong thư mục mở đầu bằng nhận định không có định nghĩa thống nhất về sở hữu trí tuệ; không thấy luận điểm như báo cáo nêu.</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Diễn đạt lại đúng luận điểm của nguồn.</w:t>
            </w:r>
          </w:p>
        </w:tc>
      </w:tr>
      <w:tr>
        <w:tc>
          <w:tcPr>
            <w:tcW w:type="dxa" w:w="737"/>
          </w:tcPr>
          <w:p>
            <w:pPr>
              <w:spacing w:after="40"/>
              <w:jc w:val="center"/>
            </w:pPr>
            <w:r/>
            <w:r>
              <w:rPr>
                <w:rFonts w:ascii="Times New Roman" w:hAnsi="Times New Roman" w:eastAsia="Times New Roman"/>
                <w:b w:val="0"/>
                <w:i w:val="0"/>
                <w:sz w:val="21"/>
              </w:rPr>
              <w:t>40</w:t>
            </w:r>
          </w:p>
        </w:tc>
        <w:tc>
          <w:tcPr>
            <w:tcW w:type="dxa" w:w="1701"/>
          </w:tcPr>
          <w:p>
            <w:pPr>
              <w:spacing w:after="40"/>
              <w:jc w:val="left"/>
            </w:pPr>
            <w:r/>
            <w:r>
              <w:rPr>
                <w:rFonts w:ascii="Times New Roman" w:hAnsi="Times New Roman" w:eastAsia="Times New Roman"/>
                <w:b w:val="0"/>
                <w:i w:val="0"/>
                <w:sz w:val="21"/>
              </w:rPr>
              <w:t>Mở đầu 2.1, 2.2</w:t>
            </w:r>
          </w:p>
        </w:tc>
        <w:tc>
          <w:tcPr>
            <w:tcW w:type="dxa" w:w="3515"/>
          </w:tcPr>
          <w:p>
            <w:pPr>
              <w:spacing w:after="40"/>
              <w:jc w:val="left"/>
            </w:pPr>
            <w:r/>
            <w:r>
              <w:rPr>
                <w:rFonts w:ascii="Times New Roman" w:hAnsi="Times New Roman" w:eastAsia="Times New Roman"/>
                <w:b w:val="0"/>
                <w:i w:val="0"/>
                <w:sz w:val="21"/>
              </w:rPr>
              <w:t>Maresova et al. tổng quan 22 công trình, phân loại theo bốn trụ cột; Phạm và Nguyễn (2018) nêu tỷ lệ 50% - 70% doanh thu cấp phép cho tác giả; Lê và Nguyễn (2019) đề xuất mô hình 5 bước.</w:t>
            </w:r>
          </w:p>
        </w:tc>
        <w:tc>
          <w:tcPr>
            <w:tcW w:type="dxa" w:w="4535"/>
          </w:tcPr>
          <w:p>
            <w:pPr>
              <w:spacing w:after="40"/>
              <w:jc w:val="left"/>
            </w:pPr>
            <w:r/>
            <w:r>
              <w:rPr>
                <w:rFonts w:ascii="Times New Roman" w:hAnsi="Times New Roman" w:eastAsia="Times New Roman"/>
                <w:b w:val="0"/>
                <w:i w:val="0"/>
                <w:sz w:val="21"/>
              </w:rPr>
              <w:t>Thư mục không có bản gốc của các bài này nên chưa kiểm chứng được các con số. (Số liệu Öztürk khảo sát 96 tư vấn viên sở hữu công nghiệp là đúng theo trang Zenodo của bài.) Danh mục cuối còn ghi Phạm và Nguyễn (2018) về Đại học Bách khoa Hà Nội, trái với chính Mở đầu ghi Đại học Thanh Hoa.</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Kiểm tra bản gốc; chưa kiểm chứng được thì bỏ con số.</w:t>
            </w:r>
          </w:p>
        </w:tc>
      </w:tr>
      <w:tr>
        <w:tc>
          <w:tcPr>
            <w:tcW w:type="dxa" w:w="737"/>
          </w:tcPr>
          <w:p>
            <w:pPr>
              <w:spacing w:after="40"/>
              <w:jc w:val="center"/>
            </w:pPr>
            <w:r/>
            <w:r>
              <w:rPr>
                <w:rFonts w:ascii="Times New Roman" w:hAnsi="Times New Roman" w:eastAsia="Times New Roman"/>
                <w:b w:val="0"/>
                <w:i w:val="0"/>
                <w:sz w:val="21"/>
              </w:rPr>
              <w:t>41</w:t>
            </w:r>
          </w:p>
        </w:tc>
        <w:tc>
          <w:tcPr>
            <w:tcW w:type="dxa" w:w="1701"/>
          </w:tcPr>
          <w:p>
            <w:pPr>
              <w:spacing w:after="40"/>
              <w:jc w:val="left"/>
            </w:pPr>
            <w:r/>
            <w:r>
              <w:rPr>
                <w:rFonts w:ascii="Times New Roman" w:hAnsi="Times New Roman" w:eastAsia="Times New Roman"/>
                <w:b w:val="0"/>
                <w:i w:val="0"/>
                <w:sz w:val="21"/>
              </w:rPr>
              <w:t>Mở đầu, Chương 1</w:t>
            </w:r>
          </w:p>
        </w:tc>
        <w:tc>
          <w:tcPr>
            <w:tcW w:type="dxa" w:w="3515"/>
          </w:tcPr>
          <w:p>
            <w:pPr>
              <w:spacing w:after="40"/>
              <w:jc w:val="left"/>
            </w:pPr>
            <w:r/>
            <w:r>
              <w:rPr>
                <w:rFonts w:ascii="Times New Roman" w:hAnsi="Times New Roman" w:eastAsia="Times New Roman"/>
                <w:b w:val="0"/>
                <w:i w:val="0"/>
                <w:sz w:val="21"/>
              </w:rPr>
              <w:t>Viết đầy đủ tên tác giả Việt: Lê Thị Thu Hà và Nguyễn Thành Khang; Phạm Thúy Hằng; Lê Thị Thanh Tâm và Hoàng Đình Thái; Phạm Thị Thúy Hằng và Nguyễn Thanh Hùng.</w:t>
            </w:r>
          </w:p>
        </w:tc>
        <w:tc>
          <w:tcPr>
            <w:tcW w:type="dxa" w:w="4535"/>
          </w:tcPr>
          <w:p>
            <w:pPr>
              <w:spacing w:after="40"/>
              <w:jc w:val="left"/>
            </w:pPr>
            <w:r/>
            <w:r>
              <w:rPr>
                <w:rFonts w:ascii="Times New Roman" w:hAnsi="Times New Roman" w:eastAsia="Times New Roman"/>
                <w:b w:val="0"/>
                <w:i w:val="0"/>
                <w:sz w:val="21"/>
              </w:rPr>
              <w:t>Danh mục chỉ có chữ viết tắt (Lê, T. T. H.; Phạm, T. H.); thư mục không có bản gốc. Tên đầy đủ có thể là suy đoán.</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Dùng họ và năm theo APA, ví dụ (Lê &amp; Nguyễn, 2019), trừ khi đã kiểm tra tên trên bài gốc.</w:t>
            </w:r>
          </w:p>
        </w:tc>
      </w:tr>
    </w:tbl>
    <w:p>
      <w:pPr>
        <w:spacing w:before="120" w:after="80" w:line="276" w:lineRule="auto"/>
        <w:jc w:val="both"/>
      </w:pPr>
      <w:r>
        <w:rPr>
          <w:rFonts w:ascii="Times New Roman" w:hAnsi="Times New Roman" w:eastAsia="Times New Roman"/>
          <w:b/>
          <w:i w:val="0"/>
          <w:sz w:val="24"/>
        </w:rPr>
        <w:t>5. Dẫn chiếu nội bộ</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42</w:t>
            </w:r>
          </w:p>
        </w:tc>
        <w:tc>
          <w:tcPr>
            <w:tcW w:type="dxa" w:w="1701"/>
          </w:tcPr>
          <w:p>
            <w:pPr>
              <w:spacing w:after="40"/>
              <w:jc w:val="left"/>
            </w:pPr>
            <w:r/>
            <w:r>
              <w:rPr>
                <w:rFonts w:ascii="Times New Roman" w:hAnsi="Times New Roman" w:eastAsia="Times New Roman"/>
                <w:b w:val="0"/>
                <w:i w:val="0"/>
                <w:sz w:val="21"/>
              </w:rPr>
              <w:t>2.2.4; 3.4</w:t>
            </w:r>
          </w:p>
        </w:tc>
        <w:tc>
          <w:tcPr>
            <w:tcW w:type="dxa" w:w="3515"/>
          </w:tcPr>
          <w:p>
            <w:pPr>
              <w:spacing w:after="40"/>
              <w:jc w:val="left"/>
            </w:pPr>
            <w:r/>
            <w:r>
              <w:rPr>
                <w:rFonts w:ascii="Times New Roman" w:hAnsi="Times New Roman" w:eastAsia="Times New Roman"/>
                <w:b w:val="0"/>
                <w:i w:val="0"/>
                <w:sz w:val="21"/>
              </w:rPr>
              <w:t>Dẫn chiếu bộ 16 chỉ tiêu đã xác lập tại Mục 1.4.1 ở Chương 1.</w:t>
            </w:r>
          </w:p>
        </w:tc>
        <w:tc>
          <w:tcPr>
            <w:tcW w:type="dxa" w:w="4535"/>
          </w:tcPr>
          <w:p>
            <w:pPr>
              <w:spacing w:after="40"/>
              <w:jc w:val="left"/>
            </w:pPr>
            <w:r/>
            <w:r>
              <w:rPr>
                <w:rFonts w:ascii="Times New Roman" w:hAnsi="Times New Roman" w:eastAsia="Times New Roman"/>
                <w:b w:val="0"/>
                <w:i w:val="0"/>
                <w:sz w:val="21"/>
              </w:rPr>
              <w:t>Báo cáo không có Mục 1.4.1; Chương 1 chỉ nêu bốn nhóm tiêu chí, không có danh sách 16 chỉ tiêu được đánh số như Hình 2.6 sử dụng.</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danh sách 16 chỉ tiêu ở Chương 1 hoặc sửa dẫn chiếu.</w:t>
            </w:r>
          </w:p>
        </w:tc>
      </w:tr>
    </w:tbl>
    <w:p>
      <w:pPr>
        <w:spacing w:before="200" w:after="120" w:line="276" w:lineRule="auto"/>
        <w:jc w:val="both"/>
      </w:pPr>
      <w:r>
        <w:rPr>
          <w:rFonts w:ascii="Times New Roman" w:hAnsi="Times New Roman" w:eastAsia="Times New Roman"/>
          <w:b/>
          <w:i w:val="0"/>
          <w:sz w:val="26"/>
        </w:rPr>
        <w:t>4. Bảng 2. Thông tin xuất bản sai trong danh mục tài liệu tham khảo cuối</w:t>
      </w:r>
    </w:p>
    <w:p>
      <w:pPr>
        <w:spacing w:before="0" w:after="120" w:line="276" w:lineRule="auto"/>
        <w:jc w:val="both"/>
      </w:pPr>
      <w:r>
        <w:rPr>
          <w:rFonts w:ascii="Times New Roman" w:hAnsi="Times New Roman" w:eastAsia="Times New Roman"/>
          <w:b w:val="0"/>
          <w:i/>
          <w:sz w:val="24"/>
        </w:rPr>
        <w:t>Cột thông tin đúng lấy từ bản PDF (khi có), tệp Zotero trong thư mục đề tài và trang của nhà xuất bản (tra cứu ngày 04/10/2026).</w:t>
      </w:r>
    </w:p>
    <w:tbl>
      <w:tblPr>
        <w:tblStyle w:val="TableGrid"/>
        <w:tblW w:type="auto" w:w="0"/>
        <w:tblLayout w:type="fixed"/>
        <w:tblLook w:firstColumn="1" w:firstRow="1" w:lastColumn="0" w:lastRow="0" w:noHBand="0" w:noVBand="1" w:val="04A0"/>
      </w:tblPr>
      <w:tblGrid>
        <w:gridCol w:w="2835"/>
        <w:gridCol w:w="5670"/>
        <w:gridCol w:w="6066"/>
      </w:tblGrid>
      <w:tr>
        <w:trPr>
          <w:tblHeader w:val="true"/>
        </w:trPr>
        <w:tc>
          <w:tcPr>
            <w:tcW w:type="dxa" w:w="2835"/>
            <w:shd w:val="clear" w:color="auto" w:fill="D9E2F3"/>
          </w:tcPr>
          <w:p>
            <w:pPr>
              <w:spacing w:after="40"/>
              <w:jc w:val="center"/>
            </w:pPr>
            <w:r/>
            <w:r>
              <w:rPr>
                <w:rFonts w:ascii="Times New Roman" w:hAnsi="Times New Roman" w:eastAsia="Times New Roman"/>
                <w:b/>
                <w:i w:val="0"/>
                <w:sz w:val="21"/>
              </w:rPr>
              <w:t>Tài liệu</w:t>
            </w:r>
          </w:p>
        </w:tc>
        <w:tc>
          <w:tcPr>
            <w:tcW w:type="dxa" w:w="5669"/>
            <w:shd w:val="clear" w:color="auto" w:fill="D9E2F3"/>
          </w:tcPr>
          <w:p>
            <w:pPr>
              <w:spacing w:after="40"/>
              <w:jc w:val="center"/>
            </w:pPr>
            <w:r/>
            <w:r>
              <w:rPr>
                <w:rFonts w:ascii="Times New Roman" w:hAnsi="Times New Roman" w:eastAsia="Times New Roman"/>
                <w:b/>
                <w:i w:val="0"/>
                <w:sz w:val="21"/>
              </w:rPr>
              <w:t>Báo cáo ghi</w:t>
            </w:r>
          </w:p>
        </w:tc>
        <w:tc>
          <w:tcPr>
            <w:tcW w:type="dxa" w:w="6066"/>
            <w:shd w:val="clear" w:color="auto" w:fill="D9E2F3"/>
          </w:tcPr>
          <w:p>
            <w:pPr>
              <w:spacing w:after="40"/>
              <w:jc w:val="center"/>
            </w:pPr>
            <w:r/>
            <w:r>
              <w:rPr>
                <w:rFonts w:ascii="Times New Roman" w:hAnsi="Times New Roman" w:eastAsia="Times New Roman"/>
                <w:b/>
                <w:i w:val="0"/>
                <w:sz w:val="21"/>
              </w:rPr>
              <w:t>Thông tin đúng</w:t>
            </w:r>
          </w:p>
        </w:tc>
      </w:tr>
      <w:tr>
        <w:tc>
          <w:tcPr>
            <w:tcW w:type="dxa" w:w="2835"/>
          </w:tcPr>
          <w:p>
            <w:pPr>
              <w:spacing w:after="40"/>
              <w:jc w:val="left"/>
            </w:pPr>
            <w:r/>
            <w:r>
              <w:rPr>
                <w:rFonts w:ascii="Times New Roman" w:hAnsi="Times New Roman" w:eastAsia="Times New Roman"/>
                <w:b w:val="0"/>
                <w:i w:val="0"/>
                <w:sz w:val="21"/>
              </w:rPr>
              <w:t>Nguyễn, M. H. T. (2025)</w:t>
            </w:r>
          </w:p>
        </w:tc>
        <w:tc>
          <w:tcPr>
            <w:tcW w:type="dxa" w:w="5669"/>
          </w:tcPr>
          <w:p>
            <w:pPr>
              <w:spacing w:after="40"/>
              <w:jc w:val="left"/>
            </w:pPr>
            <w:r/>
            <w:r>
              <w:rPr>
                <w:rFonts w:ascii="Times New Roman" w:hAnsi="Times New Roman" w:eastAsia="Times New Roman"/>
                <w:b w:val="0"/>
                <w:i w:val="0"/>
                <w:sz w:val="21"/>
              </w:rPr>
              <w:t>Tạp chí Kinh tế và Quản lý, 48(2), 62-71; tên bài đổi thành bối cảnh tự chủ</w:t>
            </w:r>
          </w:p>
        </w:tc>
        <w:tc>
          <w:tcPr>
            <w:tcW w:type="dxa" w:w="6066"/>
          </w:tcPr>
          <w:p>
            <w:pPr>
              <w:spacing w:after="40"/>
              <w:jc w:val="left"/>
            </w:pPr>
            <w:r/>
            <w:r>
              <w:rPr>
                <w:rFonts w:ascii="Times New Roman" w:hAnsi="Times New Roman" w:eastAsia="Times New Roman"/>
                <w:b w:val="0"/>
                <w:i w:val="0"/>
                <w:sz w:val="21"/>
              </w:rPr>
              <w:t>Tạp chí Khoa học Trường Đại học Sư phạm TP Hồ Chí Minh, 22(1), 123-131; bối cảnh cuộc cách mạng công nghiệp 4.0 (bản PDF)</w:t>
            </w:r>
          </w:p>
        </w:tc>
      </w:tr>
      <w:tr>
        <w:tc>
          <w:tcPr>
            <w:tcW w:type="dxa" w:w="2835"/>
          </w:tcPr>
          <w:p>
            <w:pPr>
              <w:spacing w:after="40"/>
              <w:jc w:val="left"/>
            </w:pPr>
            <w:r/>
            <w:r>
              <w:rPr>
                <w:rFonts w:ascii="Times New Roman" w:hAnsi="Times New Roman" w:eastAsia="Times New Roman"/>
                <w:b w:val="0"/>
                <w:i w:val="0"/>
                <w:sz w:val="21"/>
              </w:rPr>
              <w:t>Võ, N. H. P. (2025)</w:t>
            </w:r>
          </w:p>
        </w:tc>
        <w:tc>
          <w:tcPr>
            <w:tcW w:type="dxa" w:w="5669"/>
          </w:tcPr>
          <w:p>
            <w:pPr>
              <w:spacing w:after="40"/>
              <w:jc w:val="left"/>
            </w:pPr>
            <w:r/>
            <w:r>
              <w:rPr>
                <w:rFonts w:ascii="Times New Roman" w:hAnsi="Times New Roman" w:eastAsia="Times New Roman"/>
                <w:b w:val="0"/>
                <w:i w:val="0"/>
                <w:sz w:val="21"/>
              </w:rPr>
              <w:t>Tạp chí Pháp luật và Thực tiễn, 14(4), 38-49 (danh mục đầu ghi Đại học Mở TP Hồ Chí Minh)</w:t>
            </w:r>
          </w:p>
        </w:tc>
        <w:tc>
          <w:tcPr>
            <w:tcW w:type="dxa" w:w="6066"/>
          </w:tcPr>
          <w:p>
            <w:pPr>
              <w:spacing w:after="40"/>
              <w:jc w:val="left"/>
            </w:pPr>
            <w:r/>
            <w:r>
              <w:rPr>
                <w:rFonts w:ascii="Times New Roman" w:hAnsi="Times New Roman" w:eastAsia="Times New Roman"/>
                <w:b w:val="0"/>
                <w:i w:val="0"/>
                <w:sz w:val="21"/>
              </w:rPr>
              <w:t>Tạp chí Khoa học Trường Đại học Mở Hà Nội, 75-86, DOI 10.59266/houjs.2025.606 (bản PDF)</w:t>
            </w:r>
          </w:p>
        </w:tc>
      </w:tr>
      <w:tr>
        <w:tc>
          <w:tcPr>
            <w:tcW w:type="dxa" w:w="2835"/>
          </w:tcPr>
          <w:p>
            <w:pPr>
              <w:spacing w:after="40"/>
              <w:jc w:val="left"/>
            </w:pPr>
            <w:r/>
            <w:r>
              <w:rPr>
                <w:rFonts w:ascii="Times New Roman" w:hAnsi="Times New Roman" w:eastAsia="Times New Roman"/>
                <w:b w:val="0"/>
                <w:i w:val="0"/>
                <w:sz w:val="21"/>
              </w:rPr>
              <w:t>O'Dwyer et al. (2023)</w:t>
            </w:r>
          </w:p>
        </w:tc>
        <w:tc>
          <w:tcPr>
            <w:tcW w:type="dxa" w:w="5669"/>
          </w:tcPr>
          <w:p>
            <w:pPr>
              <w:spacing w:after="40"/>
              <w:jc w:val="left"/>
            </w:pPr>
            <w:r/>
            <w:r>
              <w:rPr>
                <w:rFonts w:ascii="Times New Roman" w:hAnsi="Times New Roman" w:eastAsia="Times New Roman"/>
                <w:b w:val="0"/>
                <w:i w:val="0"/>
                <w:sz w:val="21"/>
              </w:rPr>
              <w:t>Technovation, 120, 102627</w:t>
            </w:r>
          </w:p>
        </w:tc>
        <w:tc>
          <w:tcPr>
            <w:tcW w:type="dxa" w:w="6066"/>
          </w:tcPr>
          <w:p>
            <w:pPr>
              <w:spacing w:after="40"/>
              <w:jc w:val="left"/>
            </w:pPr>
            <w:r/>
            <w:r>
              <w:rPr>
                <w:rFonts w:ascii="Times New Roman" w:hAnsi="Times New Roman" w:eastAsia="Times New Roman"/>
                <w:b w:val="0"/>
                <w:i w:val="0"/>
                <w:sz w:val="21"/>
              </w:rPr>
              <w:t>The Journal of Technology Transfer, 48(3), 900-931 (bản PDF)</w:t>
            </w:r>
          </w:p>
        </w:tc>
      </w:tr>
      <w:tr>
        <w:tc>
          <w:tcPr>
            <w:tcW w:type="dxa" w:w="2835"/>
          </w:tcPr>
          <w:p>
            <w:pPr>
              <w:spacing w:after="40"/>
              <w:jc w:val="left"/>
            </w:pPr>
            <w:r/>
            <w:r>
              <w:rPr>
                <w:rFonts w:ascii="Times New Roman" w:hAnsi="Times New Roman" w:eastAsia="Times New Roman"/>
                <w:b w:val="0"/>
                <w:i w:val="0"/>
                <w:sz w:val="21"/>
              </w:rPr>
              <w:t>Guan, W. (2014)</w:t>
            </w:r>
          </w:p>
        </w:tc>
        <w:tc>
          <w:tcPr>
            <w:tcW w:type="dxa" w:w="5669"/>
          </w:tcPr>
          <w:p>
            <w:pPr>
              <w:spacing w:after="40"/>
              <w:jc w:val="left"/>
            </w:pPr>
            <w:r/>
            <w:r>
              <w:rPr>
                <w:rFonts w:ascii="Times New Roman" w:hAnsi="Times New Roman" w:eastAsia="Times New Roman"/>
                <w:b w:val="0"/>
                <w:i w:val="0"/>
                <w:sz w:val="21"/>
              </w:rPr>
              <w:t>pp. 23-58</w:t>
            </w:r>
          </w:p>
        </w:tc>
        <w:tc>
          <w:tcPr>
            <w:tcW w:type="dxa" w:w="6066"/>
          </w:tcPr>
          <w:p>
            <w:pPr>
              <w:spacing w:after="40"/>
              <w:jc w:val="left"/>
            </w:pPr>
            <w:r/>
            <w:r>
              <w:rPr>
                <w:rFonts w:ascii="Times New Roman" w:hAnsi="Times New Roman" w:eastAsia="Times New Roman"/>
                <w:b w:val="0"/>
                <w:i w:val="0"/>
                <w:sz w:val="21"/>
              </w:rPr>
              <w:t>Chương 1, pp. 1-10, DOI 10.1007/978-3-642-55265-6_1 (bản PDF)</w:t>
            </w:r>
          </w:p>
        </w:tc>
      </w:tr>
      <w:tr>
        <w:tc>
          <w:tcPr>
            <w:tcW w:type="dxa" w:w="2835"/>
          </w:tcPr>
          <w:p>
            <w:pPr>
              <w:spacing w:after="40"/>
              <w:jc w:val="left"/>
            </w:pPr>
            <w:r/>
            <w:r>
              <w:rPr>
                <w:rFonts w:ascii="Times New Roman" w:hAnsi="Times New Roman" w:eastAsia="Times New Roman"/>
                <w:b w:val="0"/>
                <w:i w:val="0"/>
                <w:sz w:val="21"/>
              </w:rPr>
              <w:t>Lê, T. T. H., &amp; Nguyễn, T. K. (2019)</w:t>
            </w:r>
          </w:p>
        </w:tc>
        <w:tc>
          <w:tcPr>
            <w:tcW w:type="dxa" w:w="5669"/>
          </w:tcPr>
          <w:p>
            <w:pPr>
              <w:spacing w:after="40"/>
              <w:jc w:val="left"/>
            </w:pPr>
            <w:r/>
            <w:r>
              <w:rPr>
                <w:rFonts w:ascii="Times New Roman" w:hAnsi="Times New Roman" w:eastAsia="Times New Roman"/>
                <w:b w:val="0"/>
                <w:i w:val="0"/>
                <w:sz w:val="21"/>
              </w:rPr>
              <w:t>Tạp chí Khoa học ĐHQG Hà Nội: Nghiên cứu Chính sách và Quản lý, 35(3), 15-26</w:t>
            </w:r>
          </w:p>
        </w:tc>
        <w:tc>
          <w:tcPr>
            <w:tcW w:type="dxa" w:w="6066"/>
          </w:tcPr>
          <w:p>
            <w:pPr>
              <w:spacing w:after="40"/>
              <w:jc w:val="left"/>
            </w:pPr>
            <w:r/>
            <w:r>
              <w:rPr>
                <w:rFonts w:ascii="Times New Roman" w:hAnsi="Times New Roman" w:eastAsia="Times New Roman"/>
                <w:b w:val="0"/>
                <w:i w:val="0"/>
                <w:sz w:val="21"/>
              </w:rPr>
              <w:t>Tạp chí Khoa học Đại học Văn Lang, 18, 27-36</w:t>
            </w:r>
          </w:p>
        </w:tc>
      </w:tr>
      <w:tr>
        <w:tc>
          <w:tcPr>
            <w:tcW w:type="dxa" w:w="2835"/>
          </w:tcPr>
          <w:p>
            <w:pPr>
              <w:spacing w:after="40"/>
              <w:jc w:val="left"/>
            </w:pPr>
            <w:r/>
            <w:r>
              <w:rPr>
                <w:rFonts w:ascii="Times New Roman" w:hAnsi="Times New Roman" w:eastAsia="Times New Roman"/>
                <w:b w:val="0"/>
                <w:i w:val="0"/>
                <w:sz w:val="21"/>
              </w:rPr>
              <w:t>Lê, T. T. T., &amp; Hoàng, Đ. T. (2021)</w:t>
            </w:r>
          </w:p>
        </w:tc>
        <w:tc>
          <w:tcPr>
            <w:tcW w:type="dxa" w:w="5669"/>
          </w:tcPr>
          <w:p>
            <w:pPr>
              <w:spacing w:after="40"/>
              <w:jc w:val="left"/>
            </w:pPr>
            <w:r/>
            <w:r>
              <w:rPr>
                <w:rFonts w:ascii="Times New Roman" w:hAnsi="Times New Roman" w:eastAsia="Times New Roman"/>
                <w:b w:val="0"/>
                <w:i w:val="0"/>
                <w:sz w:val="21"/>
              </w:rPr>
              <w:t>29(1), 45-54</w:t>
            </w:r>
          </w:p>
        </w:tc>
        <w:tc>
          <w:tcPr>
            <w:tcW w:type="dxa" w:w="6066"/>
          </w:tcPr>
          <w:p>
            <w:pPr>
              <w:spacing w:after="40"/>
              <w:jc w:val="left"/>
            </w:pPr>
            <w:r/>
            <w:r>
              <w:rPr>
                <w:rFonts w:ascii="Times New Roman" w:hAnsi="Times New Roman" w:eastAsia="Times New Roman"/>
                <w:b w:val="0"/>
                <w:i w:val="0"/>
                <w:sz w:val="21"/>
              </w:rPr>
              <w:t>Tạp chí Khoa học Quản lý Giáo dục, 2(30), 38-45</w:t>
            </w:r>
          </w:p>
        </w:tc>
      </w:tr>
      <w:tr>
        <w:tc>
          <w:tcPr>
            <w:tcW w:type="dxa" w:w="2835"/>
          </w:tcPr>
          <w:p>
            <w:pPr>
              <w:spacing w:after="40"/>
              <w:jc w:val="left"/>
            </w:pPr>
            <w:r/>
            <w:r>
              <w:rPr>
                <w:rFonts w:ascii="Times New Roman" w:hAnsi="Times New Roman" w:eastAsia="Times New Roman"/>
                <w:b w:val="0"/>
                <w:i w:val="0"/>
                <w:sz w:val="21"/>
              </w:rPr>
              <w:t>Phạm, T. T. H., &amp; Nguyễn, T. H. (2018)</w:t>
            </w:r>
          </w:p>
        </w:tc>
        <w:tc>
          <w:tcPr>
            <w:tcW w:type="dxa" w:w="5669"/>
          </w:tcPr>
          <w:p>
            <w:pPr>
              <w:spacing w:after="40"/>
              <w:jc w:val="left"/>
            </w:pPr>
            <w:r/>
            <w:r>
              <w:rPr>
                <w:rFonts w:ascii="Times New Roman" w:hAnsi="Times New Roman" w:eastAsia="Times New Roman"/>
                <w:b w:val="0"/>
                <w:i w:val="0"/>
                <w:sz w:val="21"/>
              </w:rPr>
              <w:t>Bài học từ Đại học Bách khoa Hà Nội; Tạp chí Khoa học và Công nghệ Việt Nam, 60(9)</w:t>
            </w:r>
          </w:p>
        </w:tc>
        <w:tc>
          <w:tcPr>
            <w:tcW w:type="dxa" w:w="6066"/>
          </w:tcPr>
          <w:p>
            <w:pPr>
              <w:spacing w:after="40"/>
              <w:jc w:val="left"/>
            </w:pPr>
            <w:r/>
            <w:r>
              <w:rPr>
                <w:rFonts w:ascii="Times New Roman" w:hAnsi="Times New Roman" w:eastAsia="Times New Roman"/>
                <w:b w:val="0"/>
                <w:i w:val="0"/>
                <w:sz w:val="21"/>
              </w:rPr>
              <w:t>Bài học từ Đại học Thanh Hoa, Trung Quốc; Tạp chí Khoa học và Giáo dục, Trường ĐHSP Huế, 3(47), 84-94</w:t>
            </w:r>
          </w:p>
        </w:tc>
      </w:tr>
      <w:tr>
        <w:tc>
          <w:tcPr>
            <w:tcW w:type="dxa" w:w="2835"/>
          </w:tcPr>
          <w:p>
            <w:pPr>
              <w:spacing w:after="40"/>
              <w:jc w:val="left"/>
            </w:pPr>
            <w:r/>
            <w:r>
              <w:rPr>
                <w:rFonts w:ascii="Times New Roman" w:hAnsi="Times New Roman" w:eastAsia="Times New Roman"/>
                <w:b w:val="0"/>
                <w:i w:val="0"/>
                <w:sz w:val="21"/>
              </w:rPr>
              <w:t>Cục Sở hữu trí tuệ &amp; Bộ KH&amp;CN (2024)</w:t>
            </w:r>
          </w:p>
        </w:tc>
        <w:tc>
          <w:tcPr>
            <w:tcW w:type="dxa" w:w="5669"/>
          </w:tcPr>
          <w:p>
            <w:pPr>
              <w:spacing w:after="40"/>
              <w:jc w:val="left"/>
            </w:pPr>
            <w:r/>
            <w:r>
              <w:rPr>
                <w:rFonts w:ascii="Times New Roman" w:hAnsi="Times New Roman" w:eastAsia="Times New Roman"/>
                <w:b w:val="0"/>
                <w:i w:val="0"/>
                <w:sz w:val="21"/>
              </w:rPr>
              <w:t>Kỷ yếu hội thảo khoa học quốc gia</w:t>
            </w:r>
          </w:p>
        </w:tc>
        <w:tc>
          <w:tcPr>
            <w:tcW w:type="dxa" w:w="6066"/>
          </w:tcPr>
          <w:p>
            <w:pPr>
              <w:spacing w:after="40"/>
              <w:jc w:val="left"/>
            </w:pPr>
            <w:r/>
            <w:r>
              <w:rPr>
                <w:rFonts w:ascii="Times New Roman" w:hAnsi="Times New Roman" w:eastAsia="Times New Roman"/>
                <w:b w:val="0"/>
                <w:i w:val="0"/>
                <w:sz w:val="21"/>
              </w:rPr>
              <w:t>Nhà xuất bản Khoa học và Kỹ thuật</w:t>
            </w:r>
          </w:p>
        </w:tc>
      </w:tr>
      <w:tr>
        <w:tc>
          <w:tcPr>
            <w:tcW w:type="dxa" w:w="2835"/>
          </w:tcPr>
          <w:p>
            <w:pPr>
              <w:spacing w:after="40"/>
              <w:jc w:val="left"/>
            </w:pPr>
            <w:r/>
            <w:r>
              <w:rPr>
                <w:rFonts w:ascii="Times New Roman" w:hAnsi="Times New Roman" w:eastAsia="Times New Roman"/>
                <w:b w:val="0"/>
                <w:i w:val="0"/>
                <w:sz w:val="21"/>
              </w:rPr>
              <w:t>Cục Sở hữu trí tuệ, tài liệu tập huấn</w:t>
            </w:r>
          </w:p>
        </w:tc>
        <w:tc>
          <w:tcPr>
            <w:tcW w:type="dxa" w:w="5669"/>
          </w:tcPr>
          <w:p>
            <w:pPr>
              <w:spacing w:after="40"/>
              <w:jc w:val="left"/>
            </w:pPr>
            <w:r/>
            <w:r>
              <w:rPr>
                <w:rFonts w:ascii="Times New Roman" w:hAnsi="Times New Roman" w:eastAsia="Times New Roman"/>
                <w:b w:val="0"/>
                <w:i w:val="0"/>
                <w:sz w:val="21"/>
              </w:rPr>
              <w:t>Năm 2024, Trung tâm Đào tạo Sở hữu trí tuệ</w:t>
            </w:r>
          </w:p>
        </w:tc>
        <w:tc>
          <w:tcPr>
            <w:tcW w:type="dxa" w:w="6066"/>
          </w:tcPr>
          <w:p>
            <w:pPr>
              <w:spacing w:after="40"/>
              <w:jc w:val="left"/>
            </w:pPr>
            <w:r/>
            <w:r>
              <w:rPr>
                <w:rFonts w:ascii="Times New Roman" w:hAnsi="Times New Roman" w:eastAsia="Times New Roman"/>
                <w:b w:val="0"/>
                <w:i w:val="0"/>
                <w:sz w:val="21"/>
              </w:rPr>
              <w:t>Không ghi năm (n.d.), kèm địa chỉ truy cập</w:t>
            </w:r>
          </w:p>
        </w:tc>
      </w:tr>
      <w:tr>
        <w:tc>
          <w:tcPr>
            <w:tcW w:type="dxa" w:w="2835"/>
          </w:tcPr>
          <w:p>
            <w:pPr>
              <w:spacing w:after="40"/>
              <w:jc w:val="left"/>
            </w:pPr>
            <w:r/>
            <w:r>
              <w:rPr>
                <w:rFonts w:ascii="Times New Roman" w:hAnsi="Times New Roman" w:eastAsia="Times New Roman"/>
                <w:b w:val="0"/>
                <w:i w:val="0"/>
                <w:sz w:val="21"/>
              </w:rPr>
              <w:t>Bstieler et al. (2015)</w:t>
            </w:r>
          </w:p>
        </w:tc>
        <w:tc>
          <w:tcPr>
            <w:tcW w:type="dxa" w:w="5669"/>
          </w:tcPr>
          <w:p>
            <w:pPr>
              <w:spacing w:after="40"/>
              <w:jc w:val="left"/>
            </w:pPr>
            <w:r/>
            <w:r>
              <w:rPr>
                <w:rFonts w:ascii="Times New Roman" w:hAnsi="Times New Roman" w:eastAsia="Times New Roman"/>
                <w:b w:val="0"/>
                <w:i w:val="0"/>
                <w:sz w:val="21"/>
              </w:rPr>
              <w:t>Tên bài rút gọn; trang 100-112; danh mục ở Mở đầu ghi DOI 10.1111/jpim.12244</w:t>
            </w:r>
          </w:p>
        </w:tc>
        <w:tc>
          <w:tcPr>
            <w:tcW w:type="dxa" w:w="6066"/>
          </w:tcPr>
          <w:p>
            <w:pPr>
              <w:spacing w:after="40"/>
              <w:jc w:val="left"/>
            </w:pPr>
            <w:r/>
            <w:r>
              <w:rPr>
                <w:rFonts w:ascii="Times New Roman" w:hAnsi="Times New Roman" w:eastAsia="Times New Roman"/>
                <w:b w:val="0"/>
                <w:i w:val="0"/>
                <w:sz w:val="21"/>
              </w:rPr>
              <w:t>... U.S. biotechnology industry: IP policies, shared governance, and champions; 32(1), 111-121; DOI đúng 10.1111/jpim.12242 (trang Wiley)</w:t>
            </w:r>
          </w:p>
        </w:tc>
      </w:tr>
      <w:tr>
        <w:tc>
          <w:tcPr>
            <w:tcW w:type="dxa" w:w="2835"/>
          </w:tcPr>
          <w:p>
            <w:pPr>
              <w:spacing w:after="40"/>
              <w:jc w:val="left"/>
            </w:pPr>
            <w:r/>
            <w:r>
              <w:rPr>
                <w:rFonts w:ascii="Times New Roman" w:hAnsi="Times New Roman" w:eastAsia="Times New Roman"/>
                <w:b w:val="0"/>
                <w:i w:val="0"/>
                <w:sz w:val="21"/>
              </w:rPr>
              <w:t>Bulsara &amp; Vaghela (2025)</w:t>
            </w:r>
          </w:p>
        </w:tc>
        <w:tc>
          <w:tcPr>
            <w:tcW w:type="dxa" w:w="5669"/>
          </w:tcPr>
          <w:p>
            <w:pPr>
              <w:spacing w:after="40"/>
              <w:jc w:val="left"/>
            </w:pPr>
            <w:r/>
            <w:r>
              <w:rPr>
                <w:rFonts w:ascii="Times New Roman" w:hAnsi="Times New Roman" w:eastAsia="Times New Roman"/>
                <w:b w:val="0"/>
                <w:i w:val="0"/>
                <w:sz w:val="21"/>
              </w:rPr>
              <w:t>International Journal of Innovation Studies, 9(2), 145-159 (danh mục ở Mở đầu ghi Tech Monitor, WIPO)</w:t>
            </w:r>
          </w:p>
        </w:tc>
        <w:tc>
          <w:tcPr>
            <w:tcW w:type="dxa" w:w="6066"/>
          </w:tcPr>
          <w:p>
            <w:pPr>
              <w:spacing w:after="40"/>
              <w:jc w:val="left"/>
            </w:pPr>
            <w:r/>
            <w:r>
              <w:rPr>
                <w:rFonts w:ascii="Times New Roman" w:hAnsi="Times New Roman" w:eastAsia="Times New Roman"/>
                <w:b w:val="0"/>
                <w:i w:val="0"/>
                <w:sz w:val="21"/>
              </w:rPr>
              <w:t>Asia-Pacific Tech Monitor, 42(2), tháng 4 - 6/2025, do APCTT (ESCAP) xuất bản, không phải WIPO</w:t>
            </w:r>
          </w:p>
        </w:tc>
      </w:tr>
      <w:tr>
        <w:tc>
          <w:tcPr>
            <w:tcW w:type="dxa" w:w="2835"/>
          </w:tcPr>
          <w:p>
            <w:pPr>
              <w:spacing w:after="40"/>
              <w:jc w:val="left"/>
            </w:pPr>
            <w:r/>
            <w:r>
              <w:rPr>
                <w:rFonts w:ascii="Times New Roman" w:hAnsi="Times New Roman" w:eastAsia="Times New Roman"/>
                <w:b w:val="0"/>
                <w:i w:val="0"/>
                <w:sz w:val="21"/>
              </w:rPr>
              <w:t>Holgersson (2021)</w:t>
            </w:r>
          </w:p>
        </w:tc>
        <w:tc>
          <w:tcPr>
            <w:tcW w:type="dxa" w:w="5669"/>
          </w:tcPr>
          <w:p>
            <w:pPr>
              <w:spacing w:after="40"/>
              <w:jc w:val="left"/>
            </w:pPr>
            <w:r/>
            <w:r>
              <w:rPr>
                <w:rFonts w:ascii="Times New Roman" w:hAnsi="Times New Roman" w:eastAsia="Times New Roman"/>
                <w:b w:val="0"/>
                <w:i w:val="0"/>
                <w:sz w:val="21"/>
              </w:rPr>
              <w:t>European Journal of Innovation Management, 24(5), 1421-1440 (danh mục ở Mở đầu ghi European Patent Office)</w:t>
            </w:r>
          </w:p>
        </w:tc>
        <w:tc>
          <w:tcPr>
            <w:tcW w:type="dxa" w:w="6066"/>
          </w:tcPr>
          <w:p>
            <w:pPr>
              <w:spacing w:after="40"/>
              <w:jc w:val="left"/>
            </w:pPr>
            <w:r/>
            <w:r>
              <w:rPr>
                <w:rFonts w:ascii="Times New Roman" w:hAnsi="Times New Roman" w:eastAsia="Times New Roman"/>
                <w:b w:val="0"/>
                <w:i w:val="0"/>
                <w:sz w:val="21"/>
              </w:rPr>
              <w:t>Báo cáo của European Commission, Directorate-General for Research and Innovation; tác giả hoàn thành tháng 10/2021, phát hành ngày 02/3/2022</w:t>
            </w:r>
          </w:p>
        </w:tc>
      </w:tr>
      <w:tr>
        <w:tc>
          <w:tcPr>
            <w:tcW w:type="dxa" w:w="2835"/>
          </w:tcPr>
          <w:p>
            <w:pPr>
              <w:spacing w:after="40"/>
              <w:jc w:val="left"/>
            </w:pPr>
            <w:r/>
            <w:r>
              <w:rPr>
                <w:rFonts w:ascii="Times New Roman" w:hAnsi="Times New Roman" w:eastAsia="Times New Roman"/>
                <w:b w:val="0"/>
                <w:i w:val="0"/>
                <w:sz w:val="21"/>
              </w:rPr>
              <w:t>Holgersson &amp; Aaboen (2019)</w:t>
            </w:r>
          </w:p>
        </w:tc>
        <w:tc>
          <w:tcPr>
            <w:tcW w:type="dxa" w:w="5669"/>
          </w:tcPr>
          <w:p>
            <w:pPr>
              <w:spacing w:after="40"/>
              <w:jc w:val="left"/>
            </w:pPr>
            <w:r/>
            <w:r>
              <w:rPr>
                <w:rFonts w:ascii="Times New Roman" w:hAnsi="Times New Roman" w:eastAsia="Times New Roman"/>
                <w:b w:val="0"/>
                <w:i w:val="0"/>
                <w:sz w:val="21"/>
              </w:rPr>
              <w:t>The Journal of Technology Transfer, 44(3), 856-887</w:t>
            </w:r>
          </w:p>
        </w:tc>
        <w:tc>
          <w:tcPr>
            <w:tcW w:type="dxa" w:w="6066"/>
          </w:tcPr>
          <w:p>
            <w:pPr>
              <w:spacing w:after="40"/>
              <w:jc w:val="left"/>
            </w:pPr>
            <w:r/>
            <w:r>
              <w:rPr>
                <w:rFonts w:ascii="Times New Roman" w:hAnsi="Times New Roman" w:eastAsia="Times New Roman"/>
                <w:b w:val="0"/>
                <w:i w:val="0"/>
                <w:sz w:val="21"/>
              </w:rPr>
              <w:t>Technology in Society, 59, Article 101132</w:t>
            </w:r>
          </w:p>
        </w:tc>
      </w:tr>
      <w:tr>
        <w:tc>
          <w:tcPr>
            <w:tcW w:type="dxa" w:w="2835"/>
          </w:tcPr>
          <w:p>
            <w:pPr>
              <w:spacing w:after="40"/>
              <w:jc w:val="left"/>
            </w:pPr>
            <w:r/>
            <w:r>
              <w:rPr>
                <w:rFonts w:ascii="Times New Roman" w:hAnsi="Times New Roman" w:eastAsia="Times New Roman"/>
                <w:b w:val="0"/>
                <w:i w:val="0"/>
                <w:sz w:val="21"/>
              </w:rPr>
              <w:t>Maresova et al. (2019)</w:t>
            </w:r>
          </w:p>
        </w:tc>
        <w:tc>
          <w:tcPr>
            <w:tcW w:type="dxa" w:w="5669"/>
          </w:tcPr>
          <w:p>
            <w:pPr>
              <w:spacing w:after="40"/>
              <w:jc w:val="left"/>
            </w:pPr>
            <w:r/>
            <w:r>
              <w:rPr>
                <w:rFonts w:ascii="Times New Roman" w:hAnsi="Times New Roman" w:eastAsia="Times New Roman"/>
                <w:b w:val="0"/>
                <w:i w:val="0"/>
                <w:sz w:val="21"/>
              </w:rPr>
              <w:t>Economies, 7(4), 105</w:t>
            </w:r>
          </w:p>
        </w:tc>
        <w:tc>
          <w:tcPr>
            <w:tcW w:type="dxa" w:w="6066"/>
          </w:tcPr>
          <w:p>
            <w:pPr>
              <w:spacing w:after="40"/>
              <w:jc w:val="left"/>
            </w:pPr>
            <w:r/>
            <w:r>
              <w:rPr>
                <w:rFonts w:ascii="Times New Roman" w:hAnsi="Times New Roman" w:eastAsia="Times New Roman"/>
                <w:b w:val="0"/>
                <w:i w:val="0"/>
                <w:sz w:val="21"/>
              </w:rPr>
              <w:t>Administrative Sciences, 9(3), Article 67</w:t>
            </w:r>
          </w:p>
        </w:tc>
      </w:tr>
      <w:tr>
        <w:tc>
          <w:tcPr>
            <w:tcW w:type="dxa" w:w="2835"/>
          </w:tcPr>
          <w:p>
            <w:pPr>
              <w:spacing w:after="40"/>
              <w:jc w:val="left"/>
            </w:pPr>
            <w:r/>
            <w:r>
              <w:rPr>
                <w:rFonts w:ascii="Times New Roman" w:hAnsi="Times New Roman" w:eastAsia="Times New Roman"/>
                <w:b w:val="0"/>
                <w:i w:val="0"/>
                <w:sz w:val="21"/>
              </w:rPr>
              <w:t>Öztürk (2026)</w:t>
            </w:r>
          </w:p>
        </w:tc>
        <w:tc>
          <w:tcPr>
            <w:tcW w:type="dxa" w:w="5669"/>
          </w:tcPr>
          <w:p>
            <w:pPr>
              <w:spacing w:after="40"/>
              <w:jc w:val="left"/>
            </w:pPr>
            <w:r/>
            <w:r>
              <w:rPr>
                <w:rFonts w:ascii="Times New Roman" w:hAnsi="Times New Roman" w:eastAsia="Times New Roman"/>
                <w:b w:val="0"/>
                <w:i w:val="0"/>
                <w:sz w:val="21"/>
              </w:rPr>
              <w:t>Higher Education Policy, 39(1), 89-112</w:t>
            </w:r>
          </w:p>
        </w:tc>
        <w:tc>
          <w:tcPr>
            <w:tcW w:type="dxa" w:w="6066"/>
          </w:tcPr>
          <w:p>
            <w:pPr>
              <w:spacing w:after="40"/>
              <w:jc w:val="left"/>
            </w:pPr>
            <w:r/>
            <w:r>
              <w:rPr>
                <w:rFonts w:ascii="Times New Roman" w:hAnsi="Times New Roman" w:eastAsia="Times New Roman"/>
                <w:b w:val="0"/>
                <w:i w:val="0"/>
                <w:sz w:val="21"/>
              </w:rPr>
              <w:t>Scientific Culture, 12(3.1), 287-303</w:t>
            </w:r>
          </w:p>
        </w:tc>
      </w:tr>
      <w:tr>
        <w:tc>
          <w:tcPr>
            <w:tcW w:type="dxa" w:w="2835"/>
          </w:tcPr>
          <w:p>
            <w:pPr>
              <w:spacing w:after="40"/>
              <w:jc w:val="left"/>
            </w:pPr>
            <w:r/>
            <w:r>
              <w:rPr>
                <w:rFonts w:ascii="Times New Roman" w:hAnsi="Times New Roman" w:eastAsia="Times New Roman"/>
                <w:b w:val="0"/>
                <w:i w:val="0"/>
                <w:sz w:val="21"/>
              </w:rPr>
              <w:t>Pandey et al. (2025)</w:t>
            </w:r>
          </w:p>
        </w:tc>
        <w:tc>
          <w:tcPr>
            <w:tcW w:type="dxa" w:w="5669"/>
          </w:tcPr>
          <w:p>
            <w:pPr>
              <w:spacing w:after="40"/>
              <w:jc w:val="left"/>
            </w:pPr>
            <w:r/>
            <w:r>
              <w:rPr>
                <w:rFonts w:ascii="Times New Roman" w:hAnsi="Times New Roman" w:eastAsia="Times New Roman"/>
                <w:b w:val="0"/>
                <w:i w:val="0"/>
                <w:sz w:val="21"/>
              </w:rPr>
              <w:t>Tên bài ghi Higher Education Institutions; 30(1), 45-56</w:t>
            </w:r>
          </w:p>
        </w:tc>
        <w:tc>
          <w:tcPr>
            <w:tcW w:type="dxa" w:w="6066"/>
          </w:tcPr>
          <w:p>
            <w:pPr>
              <w:spacing w:after="40"/>
              <w:jc w:val="left"/>
            </w:pPr>
            <w:r/>
            <w:r>
              <w:rPr>
                <w:rFonts w:ascii="Times New Roman" w:hAnsi="Times New Roman" w:eastAsia="Times New Roman"/>
                <w:b w:val="0"/>
                <w:i w:val="0"/>
                <w:sz w:val="21"/>
              </w:rPr>
              <w:t>... in Academic Institutions; 30, 640-649</w:t>
            </w:r>
          </w:p>
        </w:tc>
      </w:tr>
      <w:tr>
        <w:tc>
          <w:tcPr>
            <w:tcW w:type="dxa" w:w="2835"/>
          </w:tcPr>
          <w:p>
            <w:pPr>
              <w:spacing w:after="40"/>
              <w:jc w:val="left"/>
            </w:pPr>
            <w:r/>
            <w:r>
              <w:rPr>
                <w:rFonts w:ascii="Times New Roman" w:hAnsi="Times New Roman" w:eastAsia="Times New Roman"/>
                <w:b w:val="0"/>
                <w:i w:val="0"/>
                <w:sz w:val="21"/>
              </w:rPr>
              <w:t>Rocha et al. (2023)</w:t>
            </w:r>
          </w:p>
        </w:tc>
        <w:tc>
          <w:tcPr>
            <w:tcW w:type="dxa" w:w="5669"/>
          </w:tcPr>
          <w:p>
            <w:pPr>
              <w:spacing w:after="40"/>
              <w:jc w:val="left"/>
            </w:pPr>
            <w:r/>
            <w:r>
              <w:rPr>
                <w:rFonts w:ascii="Times New Roman" w:hAnsi="Times New Roman" w:eastAsia="Times New Roman"/>
                <w:b w:val="0"/>
                <w:i w:val="0"/>
                <w:sz w:val="21"/>
              </w:rPr>
              <w:t>Technological Forecasting and Social Change, 188, 122289</w:t>
            </w:r>
          </w:p>
        </w:tc>
        <w:tc>
          <w:tcPr>
            <w:tcW w:type="dxa" w:w="6066"/>
          </w:tcPr>
          <w:p>
            <w:pPr>
              <w:spacing w:after="40"/>
              <w:jc w:val="left"/>
            </w:pPr>
            <w:r/>
            <w:r>
              <w:rPr>
                <w:rFonts w:ascii="Times New Roman" w:hAnsi="Times New Roman" w:eastAsia="Times New Roman"/>
                <w:b w:val="0"/>
                <w:i w:val="0"/>
                <w:sz w:val="21"/>
              </w:rPr>
              <w:t>International Journal of Entrepreneurship and Innovation Management, 27(1/2), 119-136</w:t>
            </w:r>
          </w:p>
        </w:tc>
      </w:tr>
    </w:tbl>
    <w:p>
      <w:pPr>
        <w:spacing w:before="200" w:after="120" w:line="276" w:lineRule="auto"/>
        <w:jc w:val="both"/>
      </w:pPr>
      <w:r>
        <w:rPr>
          <w:rFonts w:ascii="Times New Roman" w:hAnsi="Times New Roman" w:eastAsia="Times New Roman"/>
          <w:b/>
          <w:i w:val="0"/>
          <w:sz w:val="26"/>
        </w:rPr>
        <w:t>5. Văn bản cần bổ sung</w:t>
      </w:r>
    </w:p>
    <w:p>
      <w:pPr>
        <w:spacing w:before="0" w:after="120" w:line="276" w:lineRule="auto"/>
        <w:jc w:val="both"/>
      </w:pPr>
      <w:r>
        <w:rPr>
          <w:rFonts w:ascii="Times New Roman" w:hAnsi="Times New Roman" w:eastAsia="Times New Roman"/>
          <w:b w:val="0"/>
          <w:i w:val="0"/>
          <w:sz w:val="26"/>
        </w:rPr>
        <w:t>Các nội dung sau chưa có văn bản gốc trong hồ sơ; cần bổ sung để giữ lại, nếu không thì bỏ: hai hợp đồng chuyển giao quyền sử dụng sách; Điều lệ Quỹ Học bổng sau tiến sĩ Ngô Xuân Độ; quy định về tỷ lệ trùng lặp; quyết định thành lập Trường; tên các đơn vị ở Hình 2.3; bản gốc các bài của Maresova et al., Phạm và Nguyễn (2018), Lê và Nguyễn (2019) để kiểm tra các con số được dẫn.</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