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2</w:t>
      </w:r>
    </w:p>
    <w:p w14:paraId="6D6BC851" w14:textId="77777777" w:rsidR="005B561C" w:rsidRPr="000F7C87" w:rsidRDefault="00000000">
      <w:pPr>
        <w:spacing w:after="80"/>
        <w:ind w:firstLine="0"/>
        <w:jc w:val="center"/>
        <w:rPr>
          <w:szCs w:val="26"/>
        </w:rPr>
      </w:pPr>
      <w:r w:rsidRPr="000F7C87">
        <w:rPr>
          <w:b/>
          <w:szCs w:val="26"/>
        </w:rPr>
        <w:t>THỰC TRẠNG QUẢN LÝ QUYỀN SỞ HỮU TRÍ TUỆ</w:t>
      </w:r>
    </w:p>
    <w:p w14:paraId="5AF0BBF7" w14:textId="77777777" w:rsidR="005B561C" w:rsidRPr="000F7C87" w:rsidRDefault="00000000">
      <w:pPr>
        <w:spacing w:after="280"/>
        <w:ind w:firstLine="0"/>
        <w:jc w:val="center"/>
        <w:rPr>
          <w:szCs w:val="26"/>
        </w:rPr>
      </w:pPr>
      <w:r w:rsidRPr="000F7C87">
        <w:rPr>
          <w:b/>
          <w:szCs w:val="26"/>
        </w:rPr>
        <w:t>TẠI TRƯỜNG ĐẠI HỌC THÀNH ĐÔ</w:t>
      </w:r>
    </w:p>
    <w:p w14:paraId="48E95726" w14:textId="77777777" w:rsidR="005B561C" w:rsidRPr="000F7C87" w:rsidRDefault="00000000">
      <w:pPr>
        <w:rPr>
          <w:szCs w:val="26"/>
        </w:rPr>
      </w:pPr>
      <w:r w:rsidRPr="000F7C87">
        <w:rPr>
          <w:szCs w:val="26"/>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w:t>
      </w:r>
    </w:p>
    <w:p w14:paraId="6067EC56" w14:textId="77777777" w:rsidR="005B561C" w:rsidRPr="000F7C87" w:rsidRDefault="00000000">
      <w:pPr>
        <w:keepNext/>
        <w:spacing w:before="280" w:after="160"/>
        <w:ind w:firstLine="0"/>
        <w:outlineLvl w:val="1"/>
        <w:rPr>
          <w:szCs w:val="26"/>
        </w:rPr>
      </w:pPr>
      <w:r w:rsidRPr="000F7C87">
        <w:rPr>
          <w:b/>
          <w:szCs w:val="26"/>
        </w:rPr>
        <w:t>2.1. Khái quát về Nhà trường và nguồn hình thành tài sản trí tuệ</w:t>
      </w:r>
    </w:p>
    <w:p w14:paraId="0DE297E1" w14:textId="77777777" w:rsidR="005B561C" w:rsidRPr="000F7C87" w:rsidRDefault="00000000">
      <w:pPr>
        <w:keepNext/>
        <w:spacing w:before="200" w:after="100"/>
        <w:ind w:firstLine="0"/>
        <w:outlineLvl w:val="2"/>
        <w:rPr>
          <w:szCs w:val="26"/>
        </w:rPr>
      </w:pPr>
      <w:r w:rsidRPr="000F7C87">
        <w:rPr>
          <w:b/>
          <w:szCs w:val="26"/>
        </w:rPr>
        <w:t>2.1.1. Tổ chức và nhân lực</w:t>
      </w:r>
    </w:p>
    <w:p w14:paraId="48E95726" w14:textId="77777777" w:rsidR="005B561C" w:rsidRPr="000F7C87" w:rsidRDefault="00000000">
      <w:pPr>
        <w:rPr>
          <w:szCs w:val="26"/>
        </w:rPr>
      </w:pPr>
      <w:r w:rsidRPr="000F7C87">
        <w:rPr>
          <w:szCs w:val="26"/>
        </w:rPr>
        <w:t>Trường Đại học Thành Đô là cơ sở giáo dục đại học tư thục định hướng ứng dụng, đào tạo mười tám ngành do ba viện quản lý: Viện Quản trị và Công nghệ chín ngành, trong đó có ngành Quản lý kinh tế ở trình độ thạc sĩ và tiến sĩ; Viện Ngôn ngữ - Văn hóa - Quốc tế sáu ngành; Viện Y - Dược ba ngành. Bộ máy gồm ba khối dưới Ban Giám hiệu. Khối Quản trị và Dịch vụ có Phòng Khoa học Công nghệ, Phòng Tài chính - Kế toán, Trung tâm Tuyển sinh và Quản trị thương hiệu, Trung tâm Dịch vụ và Quản trị hành chính tổng hợp cùng một số đơn vị khác. Khối Đào tạo và Nghiên cứu gồm ba viện đào tạo, Viện Nghiên cứu giáo dục và Chuyển giao tri thức, Tạp chí Nghiên cứu Khoa học và Phát triển và các trung tâm. Khối Doanh nghiệp có Công ty Thadotek. Trường Tiểu học và Trung học cơ sở UNIGO trong hệ sinh thái giáo dục là pháp nhân riêng, nên tài sản trí tuệ của trường này không thuộc phạm vi phân tích.</w:t>
      </w:r>
    </w:p>
    <w:p w14:paraId="48E95726" w14:textId="77777777" w:rsidR="005B561C" w:rsidRPr="000F7C87" w:rsidRDefault="00000000">
      <w:pPr>
        <w:rPr>
          <w:szCs w:val="26"/>
        </w:rPr>
      </w:pPr>
      <w:r w:rsidRPr="000F7C87">
        <w:rPr>
          <w:szCs w:val="26"/>
        </w:rPr>
        <w:t>Năm 2026, Nhà trường có 252 nhân sự, trong đó 145 giảng viên. Cơ cấu theo đơn vị và trình độ được trình bày tại Bảng 2.1.</w:t>
      </w:r>
    </w:p>
    <w:p w14:paraId="478B6AC7" w14:textId="77777777" w:rsidR="005B561C" w:rsidRPr="000F7C87" w:rsidRDefault="00000000">
      <w:pPr>
        <w:keepNext/>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trPr>
          <w:cantSplit/>
          <w:tblHeader/>
        </w:trPr>
        <w:tc>
          <w:tcPr>
            <w:tcW w:w="3165" w:type="dxa"/>
            <w:shd w:val="clear" w:color="auto" w:fill="DCE8F7"/>
            <w:vAlign w:val="center"/>
          </w:tcPr>
          <w:p>
            <w:pPr>
              <w:spacing w:before="20" w:after="20" w:line="252" w:lineRule="auto"/>
              <w:ind w:firstLine="0"/>
              <w:jc w:val="center"/>
            </w:pPr>
            <w:r>
              <w:rPr>
                <w:b/>
                <w:sz w:val="24"/>
              </w:rPr>
              <w:t xml:space="preserve">Đơn vị</w:t>
            </w:r>
          </w:p>
        </w:tc>
        <w:tc>
          <w:tcPr>
            <w:tcW w:w="852" w:type="dxa"/>
            <w:shd w:val="clear" w:color="auto" w:fill="DCE8F7"/>
            <w:vAlign w:val="center"/>
          </w:tcPr>
          <w:p>
            <w:pPr>
              <w:spacing w:before="20" w:after="20" w:line="252" w:lineRule="auto"/>
              <w:ind w:firstLine="0"/>
              <w:jc w:val="center"/>
            </w:pPr>
            <w:r>
              <w:rPr>
                <w:b/>
                <w:sz w:val="24"/>
              </w:rPr>
              <w:t xml:space="preserve">Tổng số</w:t>
            </w:r>
          </w:p>
        </w:tc>
        <w:tc>
          <w:tcPr>
            <w:tcW w:w="973" w:type="dxa"/>
            <w:shd w:val="clear" w:color="auto" w:fill="DCE8F7"/>
            <w:vAlign w:val="center"/>
          </w:tcPr>
          <w:p>
            <w:pPr>
              <w:spacing w:before="20" w:after="20" w:line="252" w:lineRule="auto"/>
              <w:ind w:firstLine="0"/>
              <w:jc w:val="center"/>
            </w:pPr>
            <w:r>
              <w:rPr>
                <w:b/>
                <w:sz w:val="24"/>
              </w:rPr>
              <w:t xml:space="preserve">Giảng viên</w:t>
            </w:r>
          </w:p>
        </w:tc>
        <w:tc>
          <w:tcPr>
            <w:tcW w:w="1095" w:type="dxa"/>
            <w:shd w:val="clear" w:color="auto" w:fill="DCE8F7"/>
            <w:vAlign w:val="center"/>
          </w:tcPr>
          <w:p>
            <w:pPr>
              <w:spacing w:before="20" w:after="20" w:line="252" w:lineRule="auto"/>
              <w:ind w:firstLine="0"/>
              <w:jc w:val="center"/>
            </w:pPr>
            <w:r>
              <w:rPr>
                <w:b/>
                <w:sz w:val="24"/>
              </w:rPr>
              <w:t xml:space="preserve">Tiến sĩ và tương đương</w:t>
            </w:r>
          </w:p>
        </w:tc>
        <w:tc>
          <w:tcPr>
            <w:tcW w:w="913" w:type="dxa"/>
            <w:shd w:val="clear" w:color="auto" w:fill="DCE8F7"/>
            <w:vAlign w:val="center"/>
          </w:tcPr>
          <w:p>
            <w:pPr>
              <w:spacing w:before="20" w:after="20" w:line="252" w:lineRule="auto"/>
              <w:ind w:firstLine="0"/>
              <w:jc w:val="center"/>
            </w:pPr>
            <w:r>
              <w:rPr>
                <w:b/>
                <w:sz w:val="24"/>
              </w:rPr>
              <w:t xml:space="preserve">Trong đó GS, PGS</w:t>
            </w:r>
          </w:p>
        </w:tc>
        <w:tc>
          <w:tcPr>
            <w:tcW w:w="1095" w:type="dxa"/>
            <w:shd w:val="clear" w:color="auto" w:fill="DCE8F7"/>
            <w:vAlign w:val="center"/>
          </w:tcPr>
          <w:p>
            <w:pPr>
              <w:spacing w:before="20" w:after="20" w:line="252" w:lineRule="auto"/>
              <w:ind w:firstLine="0"/>
              <w:jc w:val="center"/>
            </w:pPr>
            <w:r>
              <w:rPr>
                <w:b/>
                <w:sz w:val="24"/>
              </w:rPr>
              <w:t xml:space="preserve">Thạc sĩ và tương đương</w:t>
            </w:r>
          </w:p>
        </w:tc>
        <w:tc>
          <w:tcPr>
            <w:tcW w:w="973" w:type="dxa"/>
            <w:shd w:val="clear" w:color="auto" w:fill="DCE8F7"/>
            <w:vAlign w:val="center"/>
          </w:tcPr>
          <w:p>
            <w:pPr>
              <w:spacing w:before="20" w:after="20" w:line="252" w:lineRule="auto"/>
              <w:ind w:firstLine="0"/>
              <w:jc w:val="center"/>
            </w:pPr>
            <w:r>
              <w:rPr>
                <w:b/>
                <w:sz w:val="24"/>
              </w:rPr>
              <w:t xml:space="preserve">Đại học và khác</w:t>
            </w:r>
          </w:p>
        </w:tc>
      </w:tr>
      <w:tr>
        <w:trPr>
          <w:cantSplit/>
        </w:trPr>
        <w:tc>
          <w:tcPr>
            <w:tcW w:w="3165" w:type="dxa"/>
            <w:vAlign w:val="center"/>
          </w:tcPr>
          <w:p>
            <w:pPr>
              <w:spacing w:before="20" w:after="20" w:line="252" w:lineRule="auto"/>
              <w:ind w:firstLine="0"/>
              <w:jc w:val="left"/>
            </w:pPr>
            <w:r>
              <w:rPr>
                <w:sz w:val="24"/>
              </w:rPr>
              <w:t xml:space="preserve">Viện Y - Dược</w:t>
            </w:r>
          </w:p>
        </w:tc>
        <w:tc>
          <w:tcPr>
            <w:tcW w:w="852" w:type="dxa"/>
            <w:vAlign w:val="center"/>
          </w:tcPr>
          <w:p>
            <w:pPr>
              <w:spacing w:before="20" w:after="20" w:line="252" w:lineRule="auto"/>
              <w:ind w:firstLine="0"/>
              <w:jc w:val="center"/>
            </w:pPr>
            <w:r>
              <w:rPr>
                <w:sz w:val="24"/>
              </w:rPr>
              <w:t xml:space="preserve">70</w:t>
            </w:r>
          </w:p>
        </w:tc>
        <w:tc>
          <w:tcPr>
            <w:tcW w:w="973" w:type="dxa"/>
            <w:vAlign w:val="center"/>
          </w:tcPr>
          <w:p>
            <w:pPr>
              <w:spacing w:before="20" w:after="20" w:line="252" w:lineRule="auto"/>
              <w:ind w:firstLine="0"/>
              <w:jc w:val="center"/>
            </w:pPr>
            <w:r>
              <w:rPr>
                <w:sz w:val="24"/>
              </w:rPr>
              <w:t xml:space="preserve">64</w:t>
            </w:r>
          </w:p>
        </w:tc>
        <w:tc>
          <w:tcPr>
            <w:tcW w:w="1095" w:type="dxa"/>
            <w:vAlign w:val="center"/>
          </w:tcPr>
          <w:p>
            <w:pPr>
              <w:spacing w:before="20" w:after="20" w:line="252" w:lineRule="auto"/>
              <w:ind w:firstLine="0"/>
              <w:jc w:val="center"/>
            </w:pPr>
            <w:r>
              <w:rPr>
                <w:sz w:val="24"/>
              </w:rPr>
              <w:t xml:space="preserve">42</w:t>
            </w:r>
          </w:p>
        </w:tc>
        <w:tc>
          <w:tcPr>
            <w:tcW w:w="913" w:type="dxa"/>
            <w:vAlign w:val="center"/>
          </w:tcPr>
          <w:p>
            <w:pPr>
              <w:spacing w:before="20" w:after="20" w:line="252" w:lineRule="auto"/>
              <w:ind w:firstLine="0"/>
              <w:jc w:val="center"/>
            </w:pPr>
            <w:r>
              <w:rPr>
                <w:sz w:val="24"/>
              </w:rPr>
              <w:t xml:space="preserve">8</w:t>
            </w:r>
          </w:p>
        </w:tc>
        <w:tc>
          <w:tcPr>
            <w:tcW w:w="1095" w:type="dxa"/>
            <w:vAlign w:val="center"/>
          </w:tcPr>
          <w:p>
            <w:pPr>
              <w:spacing w:before="20" w:after="20" w:line="252" w:lineRule="auto"/>
              <w:ind w:firstLine="0"/>
              <w:jc w:val="center"/>
            </w:pPr>
            <w:r>
              <w:rPr>
                <w:sz w:val="24"/>
              </w:rPr>
              <w:t xml:space="preserve">26</w:t>
            </w:r>
          </w:p>
        </w:tc>
        <w:tc>
          <w:tcPr>
            <w:tcW w:w="973" w:type="dxa"/>
            <w:vAlign w:val="center"/>
          </w:tcPr>
          <w:p>
            <w:pPr>
              <w:spacing w:before="20" w:after="20" w:line="252" w:lineRule="auto"/>
              <w:ind w:firstLine="0"/>
              <w:jc w:val="center"/>
            </w:pPr>
            <w:r>
              <w:rPr>
                <w:sz w:val="24"/>
              </w:rPr>
              <w:t xml:space="preserve">2</w:t>
            </w:r>
          </w:p>
        </w:tc>
      </w:tr>
      <w:tr>
        <w:trPr>
          <w:cantSplit/>
        </w:trPr>
        <w:tc>
          <w:tcPr>
            <w:tcW w:w="3165" w:type="dxa"/>
            <w:vAlign w:val="center"/>
          </w:tcPr>
          <w:p>
            <w:pPr>
              <w:spacing w:before="20" w:after="20" w:line="252" w:lineRule="auto"/>
              <w:ind w:firstLine="0"/>
              <w:jc w:val="left"/>
            </w:pPr>
            <w:r>
              <w:rPr>
                <w:sz w:val="24"/>
              </w:rPr>
              <w:t xml:space="preserve">Viện Quản trị và Công nghệ</w:t>
            </w:r>
          </w:p>
        </w:tc>
        <w:tc>
          <w:tcPr>
            <w:tcW w:w="852" w:type="dxa"/>
            <w:vAlign w:val="center"/>
          </w:tcPr>
          <w:p>
            <w:pPr>
              <w:spacing w:before="20" w:after="20" w:line="252" w:lineRule="auto"/>
              <w:ind w:firstLine="0"/>
              <w:jc w:val="center"/>
            </w:pPr>
            <w:r>
              <w:rPr>
                <w:sz w:val="24"/>
              </w:rPr>
              <w:t xml:space="preserve">47</w:t>
            </w:r>
          </w:p>
        </w:tc>
        <w:tc>
          <w:tcPr>
            <w:tcW w:w="973" w:type="dxa"/>
            <w:vAlign w:val="center"/>
          </w:tcPr>
          <w:p>
            <w:pPr>
              <w:spacing w:before="20" w:after="20" w:line="252" w:lineRule="auto"/>
              <w:ind w:firstLine="0"/>
              <w:jc w:val="center"/>
            </w:pPr>
            <w:r>
              <w:rPr>
                <w:sz w:val="24"/>
              </w:rPr>
              <w:t xml:space="preserve">42</w:t>
            </w:r>
          </w:p>
        </w:tc>
        <w:tc>
          <w:tcPr>
            <w:tcW w:w="1095" w:type="dxa"/>
            <w:vAlign w:val="center"/>
          </w:tcPr>
          <w:p>
            <w:pPr>
              <w:spacing w:before="20" w:after="20" w:line="252" w:lineRule="auto"/>
              <w:ind w:firstLine="0"/>
              <w:jc w:val="center"/>
            </w:pPr>
            <w:r>
              <w:rPr>
                <w:sz w:val="24"/>
              </w:rPr>
              <w:t xml:space="preserve">29</w:t>
            </w:r>
          </w:p>
        </w:tc>
        <w:tc>
          <w:tcPr>
            <w:tcW w:w="913" w:type="dxa"/>
            <w:vAlign w:val="center"/>
          </w:tcPr>
          <w:p>
            <w:pPr>
              <w:spacing w:before="20" w:after="20" w:line="252" w:lineRule="auto"/>
              <w:ind w:firstLine="0"/>
              <w:jc w:val="center"/>
            </w:pPr>
            <w:r>
              <w:rPr>
                <w:sz w:val="24"/>
              </w:rPr>
              <w:t xml:space="preserve">9</w:t>
            </w:r>
          </w:p>
        </w:tc>
        <w:tc>
          <w:tcPr>
            <w:tcW w:w="1095" w:type="dxa"/>
            <w:vAlign w:val="center"/>
          </w:tcPr>
          <w:p>
            <w:pPr>
              <w:spacing w:before="20" w:after="20" w:line="252" w:lineRule="auto"/>
              <w:ind w:firstLine="0"/>
              <w:jc w:val="center"/>
            </w:pPr>
            <w:r>
              <w:rPr>
                <w:sz w:val="24"/>
              </w:rPr>
              <w:t xml:space="preserve">17</w:t>
            </w:r>
          </w:p>
        </w:tc>
        <w:tc>
          <w:tcPr>
            <w:tcW w:w="973" w:type="dxa"/>
            <w:vAlign w:val="center"/>
          </w:tcPr>
          <w:p>
            <w:pPr>
              <w:spacing w:before="20" w:after="20" w:line="252" w:lineRule="auto"/>
              <w:ind w:firstLine="0"/>
              <w:jc w:val="center"/>
            </w:pPr>
            <w:r>
              <w:rPr>
                <w:sz w:val="24"/>
              </w:rPr>
              <w:t xml:space="preserve">1</w:t>
            </w:r>
          </w:p>
        </w:tc>
      </w:tr>
      <w:tr>
        <w:trPr>
          <w:cantSplit/>
        </w:trPr>
        <w:tc>
          <w:tcPr>
            <w:tcW w:w="3165" w:type="dxa"/>
            <w:vAlign w:val="center"/>
          </w:tcPr>
          <w:p>
            <w:pPr>
              <w:spacing w:before="20" w:after="20" w:line="252" w:lineRule="auto"/>
              <w:ind w:firstLine="0"/>
              <w:jc w:val="left"/>
            </w:pPr>
            <w:r>
              <w:rPr>
                <w:sz w:val="24"/>
              </w:rPr>
              <w:t xml:space="preserve">Viện Ngôn ngữ - Văn hóa - Quốc tế</w:t>
            </w:r>
          </w:p>
        </w:tc>
        <w:tc>
          <w:tcPr>
            <w:tcW w:w="852" w:type="dxa"/>
            <w:vAlign w:val="center"/>
          </w:tcPr>
          <w:p>
            <w:pPr>
              <w:spacing w:before="20" w:after="20" w:line="252" w:lineRule="auto"/>
              <w:ind w:firstLine="0"/>
              <w:jc w:val="center"/>
            </w:pPr>
            <w:r>
              <w:rPr>
                <w:sz w:val="24"/>
              </w:rPr>
              <w:t xml:space="preserve">29</w:t>
            </w:r>
          </w:p>
        </w:tc>
        <w:tc>
          <w:tcPr>
            <w:tcW w:w="973" w:type="dxa"/>
            <w:vAlign w:val="center"/>
          </w:tcPr>
          <w:p>
            <w:pPr>
              <w:spacing w:before="20" w:after="20" w:line="252" w:lineRule="auto"/>
              <w:ind w:firstLine="0"/>
              <w:jc w:val="center"/>
            </w:pPr>
            <w:r>
              <w:rPr>
                <w:sz w:val="24"/>
              </w:rPr>
              <w:t xml:space="preserve">25</w:t>
            </w:r>
          </w:p>
        </w:tc>
        <w:tc>
          <w:tcPr>
            <w:tcW w:w="1095" w:type="dxa"/>
            <w:vAlign w:val="center"/>
          </w:tcPr>
          <w:p>
            <w:pPr>
              <w:spacing w:before="20" w:after="20" w:line="252" w:lineRule="auto"/>
              <w:ind w:firstLine="0"/>
              <w:jc w:val="center"/>
            </w:pPr>
            <w:r>
              <w:rPr>
                <w:sz w:val="24"/>
              </w:rPr>
              <w:t xml:space="preserve">10</w:t>
            </w:r>
          </w:p>
        </w:tc>
        <w:tc>
          <w:tcPr>
            <w:tcW w:w="913" w:type="dxa"/>
            <w:vAlign w:val="center"/>
          </w:tcPr>
          <w:p>
            <w:pPr>
              <w:spacing w:before="20" w:after="20" w:line="252" w:lineRule="auto"/>
              <w:ind w:firstLine="0"/>
              <w:jc w:val="center"/>
            </w:pPr>
            <w:r>
              <w:rPr>
                <w:sz w:val="24"/>
              </w:rPr>
              <w:t xml:space="preserve">5</w:t>
            </w:r>
          </w:p>
        </w:tc>
        <w:tc>
          <w:tcPr>
            <w:tcW w:w="1095" w:type="dxa"/>
            <w:vAlign w:val="center"/>
          </w:tcPr>
          <w:p>
            <w:pPr>
              <w:spacing w:before="20" w:after="20" w:line="252" w:lineRule="auto"/>
              <w:ind w:firstLine="0"/>
              <w:jc w:val="center"/>
            </w:pPr>
            <w:r>
              <w:rPr>
                <w:sz w:val="24"/>
              </w:rPr>
              <w:t xml:space="preserve">18</w:t>
            </w:r>
          </w:p>
        </w:tc>
        <w:tc>
          <w:tcPr>
            <w:tcW w:w="973" w:type="dxa"/>
            <w:vAlign w:val="center"/>
          </w:tcPr>
          <w:p>
            <w:pPr>
              <w:spacing w:before="20" w:after="20" w:line="252" w:lineRule="auto"/>
              <w:ind w:firstLine="0"/>
              <w:jc w:val="center"/>
            </w:pPr>
            <w:r>
              <w:rPr>
                <w:sz w:val="24"/>
              </w:rPr>
              <w:t xml:space="preserve">1</w:t>
            </w:r>
          </w:p>
        </w:tc>
      </w:tr>
      <w:tr>
        <w:trPr>
          <w:cantSplit/>
        </w:trPr>
        <w:tc>
          <w:tcPr>
            <w:tcW w:w="3165" w:type="dxa"/>
            <w:vAlign w:val="center"/>
          </w:tcPr>
          <w:p>
            <w:pPr>
              <w:spacing w:before="20" w:after="20" w:line="252" w:lineRule="auto"/>
              <w:ind w:firstLine="0"/>
              <w:jc w:val="left"/>
            </w:pPr>
            <w:r>
              <w:rPr>
                <w:sz w:val="24"/>
              </w:rPr>
              <w:t xml:space="preserve">Trung tâm Tuyển sinh và Quản trị thương hiệu</w:t>
            </w:r>
          </w:p>
        </w:tc>
        <w:tc>
          <w:tcPr>
            <w:tcW w:w="852" w:type="dxa"/>
            <w:vAlign w:val="center"/>
          </w:tcPr>
          <w:p>
            <w:pPr>
              <w:spacing w:before="20" w:after="20" w:line="252" w:lineRule="auto"/>
              <w:ind w:firstLine="0"/>
              <w:jc w:val="center"/>
            </w:pPr>
            <w:r>
              <w:rPr>
                <w:sz w:val="24"/>
              </w:rPr>
              <w:t xml:space="preserve">15</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2</w:t>
            </w:r>
          </w:p>
        </w:tc>
        <w:tc>
          <w:tcPr>
            <w:tcW w:w="973" w:type="dxa"/>
            <w:vAlign w:val="center"/>
          </w:tcPr>
          <w:p>
            <w:pPr>
              <w:spacing w:before="20" w:after="20" w:line="252" w:lineRule="auto"/>
              <w:ind w:firstLine="0"/>
              <w:jc w:val="center"/>
            </w:pPr>
            <w:r>
              <w:rPr>
                <w:sz w:val="24"/>
              </w:rPr>
              <w:t xml:space="preserve">13</w:t>
            </w:r>
          </w:p>
        </w:tc>
      </w:tr>
      <w:tr>
        <w:trPr>
          <w:cantSplit/>
        </w:trPr>
        <w:tc>
          <w:tcPr>
            <w:tcW w:w="3165" w:type="dxa"/>
            <w:vAlign w:val="center"/>
          </w:tcPr>
          <w:p>
            <w:pPr>
              <w:spacing w:before="20" w:after="20" w:line="252" w:lineRule="auto"/>
              <w:ind w:firstLine="0"/>
              <w:jc w:val="left"/>
            </w:pPr>
            <w:r>
              <w:rPr>
                <w:sz w:val="24"/>
              </w:rPr>
              <w:t xml:space="preserve">Trung tâm Dịch vụ và Quản trị hành chính tổng hợp</w:t>
            </w:r>
          </w:p>
        </w:tc>
        <w:tc>
          <w:tcPr>
            <w:tcW w:w="852" w:type="dxa"/>
            <w:vAlign w:val="center"/>
          </w:tcPr>
          <w:p>
            <w:pPr>
              <w:spacing w:before="20" w:after="20" w:line="252" w:lineRule="auto"/>
              <w:ind w:firstLine="0"/>
              <w:jc w:val="center"/>
            </w:pPr>
            <w:r>
              <w:rPr>
                <w:sz w:val="24"/>
              </w:rPr>
              <w:t xml:space="preserve">14</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0</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10</w:t>
            </w:r>
          </w:p>
        </w:tc>
      </w:tr>
      <w:tr>
        <w:trPr>
          <w:cantSplit/>
        </w:trPr>
        <w:tc>
          <w:tcPr>
            <w:tcW w:w="3165" w:type="dxa"/>
            <w:vAlign w:val="center"/>
          </w:tcPr>
          <w:p>
            <w:pPr>
              <w:spacing w:before="20" w:after="20" w:line="252" w:lineRule="auto"/>
              <w:ind w:firstLine="0"/>
              <w:jc w:val="left"/>
            </w:pPr>
            <w:r>
              <w:rPr>
                <w:sz w:val="24"/>
              </w:rPr>
              <w:t xml:space="preserve">Ban Giáo dục cơ bản</w:t>
            </w:r>
          </w:p>
        </w:tc>
        <w:tc>
          <w:tcPr>
            <w:tcW w:w="852" w:type="dxa"/>
            <w:vAlign w:val="center"/>
          </w:tcPr>
          <w:p>
            <w:pPr>
              <w:spacing w:before="20" w:after="20" w:line="252" w:lineRule="auto"/>
              <w:ind w:firstLine="0"/>
              <w:jc w:val="center"/>
            </w:pPr>
            <w:r>
              <w:rPr>
                <w:sz w:val="24"/>
              </w:rPr>
              <w:t xml:space="preserve">12</w:t>
            </w:r>
          </w:p>
        </w:tc>
        <w:tc>
          <w:tcPr>
            <w:tcW w:w="973" w:type="dxa"/>
            <w:vAlign w:val="center"/>
          </w:tcPr>
          <w:p>
            <w:pPr>
              <w:spacing w:before="20" w:after="20" w:line="252" w:lineRule="auto"/>
              <w:ind w:firstLine="0"/>
              <w:jc w:val="center"/>
            </w:pPr>
            <w:r>
              <w:rPr>
                <w:sz w:val="24"/>
              </w:rPr>
              <w:t xml:space="preserve">10</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1</w:t>
            </w:r>
          </w:p>
        </w:tc>
        <w:tc>
          <w:tcPr>
            <w:tcW w:w="1095" w:type="dxa"/>
            <w:vAlign w:val="center"/>
          </w:tcPr>
          <w:p>
            <w:pPr>
              <w:spacing w:before="20" w:after="20" w:line="252" w:lineRule="auto"/>
              <w:ind w:firstLine="0"/>
              <w:jc w:val="center"/>
            </w:pPr>
            <w:r>
              <w:rPr>
                <w:sz w:val="24"/>
              </w:rPr>
              <w:t xml:space="preserve">4</w:t>
            </w:r>
          </w:p>
        </w:tc>
        <w:tc>
          <w:tcPr>
            <w:tcW w:w="973" w:type="dxa"/>
            <w:vAlign w:val="center"/>
          </w:tcPr>
          <w:p>
            <w:pPr>
              <w:spacing w:before="20" w:after="20" w:line="252" w:lineRule="auto"/>
              <w:ind w:firstLine="0"/>
              <w:jc w:val="center"/>
            </w:pPr>
            <w:r>
              <w:rPr>
                <w:sz w:val="24"/>
              </w:rPr>
              <w:t xml:space="preserve">2</w:t>
            </w:r>
          </w:p>
        </w:tc>
      </w:tr>
      <w:tr>
        <w:trPr>
          <w:cantSplit/>
        </w:trPr>
        <w:tc>
          <w:tcPr>
            <w:tcW w:w="3165" w:type="dxa"/>
            <w:vAlign w:val="center"/>
          </w:tcPr>
          <w:p>
            <w:pPr>
              <w:spacing w:before="20" w:after="20" w:line="252" w:lineRule="auto"/>
              <w:ind w:firstLine="0"/>
              <w:jc w:val="left"/>
            </w:pPr>
            <w:r>
              <w:rPr>
                <w:sz w:val="24"/>
              </w:rPr>
              <w:t xml:space="preserve">Viện Nghiên cứu giáo dục và Chuyển giao tri thức</w:t>
            </w:r>
          </w:p>
        </w:tc>
        <w:tc>
          <w:tcPr>
            <w:tcW w:w="852" w:type="dxa"/>
            <w:vAlign w:val="center"/>
          </w:tcPr>
          <w:p>
            <w:pPr>
              <w:spacing w:before="20" w:after="20" w:line="252" w:lineRule="auto"/>
              <w:ind w:firstLine="0"/>
              <w:jc w:val="center"/>
            </w:pPr>
            <w:r>
              <w:rPr>
                <w:sz w:val="24"/>
              </w:rPr>
              <w:t xml:space="preserve">6</w:t>
            </w:r>
          </w:p>
        </w:tc>
        <w:tc>
          <w:tcPr>
            <w:tcW w:w="97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13" w:type="dxa"/>
            <w:vAlign w:val="center"/>
          </w:tcPr>
          <w:p>
            <w:pPr>
              <w:spacing w:before="20" w:after="20" w:line="252" w:lineRule="auto"/>
              <w:ind w:firstLine="0"/>
              <w:jc w:val="center"/>
            </w:pPr>
            <w:r>
              <w:rPr>
                <w:sz w:val="24"/>
              </w:rPr>
              <w:t xml:space="preserve">0</w:t>
            </w:r>
          </w:p>
        </w:tc>
        <w:tc>
          <w:tcPr>
            <w:tcW w:w="1095" w:type="dxa"/>
            <w:vAlign w:val="center"/>
          </w:tcPr>
          <w:p>
            <w:pPr>
              <w:spacing w:before="20" w:after="20" w:line="252" w:lineRule="auto"/>
              <w:ind w:firstLine="0"/>
              <w:jc w:val="center"/>
            </w:pPr>
            <w:r>
              <w:rPr>
                <w:sz w:val="24"/>
              </w:rPr>
              <w:t xml:space="preserve">1</w:t>
            </w:r>
          </w:p>
        </w:tc>
        <w:tc>
          <w:tcPr>
            <w:tcW w:w="973" w:type="dxa"/>
            <w:vAlign w:val="center"/>
          </w:tcPr>
          <w:p>
            <w:pPr>
              <w:spacing w:before="20" w:after="20" w:line="252" w:lineRule="auto"/>
              <w:ind w:firstLine="0"/>
              <w:jc w:val="center"/>
            </w:pPr>
            <w:r>
              <w:rPr>
                <w:sz w:val="24"/>
              </w:rPr>
              <w:t xml:space="preserve">4</w:t>
            </w:r>
          </w:p>
        </w:tc>
      </w:tr>
      <w:tr>
        <w:trPr>
          <w:cantSplit/>
        </w:trPr>
        <w:tc>
          <w:tcPr>
            <w:tcW w:w="3165" w:type="dxa"/>
            <w:vAlign w:val="center"/>
          </w:tcPr>
          <w:p>
            <w:pPr>
              <w:spacing w:before="20" w:after="20" w:line="252" w:lineRule="auto"/>
              <w:ind w:firstLine="0"/>
              <w:jc w:val="left"/>
            </w:pPr>
            <w:r>
              <w:rPr>
                <w:sz w:val="24"/>
              </w:rPr>
              <w:t xml:space="preserve">Các đơn vị khác</w:t>
            </w:r>
          </w:p>
        </w:tc>
        <w:tc>
          <w:tcPr>
            <w:tcW w:w="852" w:type="dxa"/>
            <w:vAlign w:val="center"/>
          </w:tcPr>
          <w:p>
            <w:pPr>
              <w:spacing w:before="20" w:after="20" w:line="252" w:lineRule="auto"/>
              <w:ind w:firstLine="0"/>
              <w:jc w:val="center"/>
            </w:pPr>
            <w:r>
              <w:rPr>
                <w:sz w:val="24"/>
              </w:rPr>
              <w:t xml:space="preserve">59</w:t>
            </w:r>
          </w:p>
        </w:tc>
        <w:tc>
          <w:tcPr>
            <w:tcW w:w="973" w:type="dxa"/>
            <w:vAlign w:val="center"/>
          </w:tcPr>
          <w:p>
            <w:pPr>
              <w:spacing w:before="20" w:after="20" w:line="252" w:lineRule="auto"/>
              <w:ind w:firstLine="0"/>
              <w:jc w:val="center"/>
            </w:pPr>
            <w:r>
              <w:rPr>
                <w:sz w:val="24"/>
              </w:rPr>
              <w:t xml:space="preserve">4</w:t>
            </w:r>
          </w:p>
        </w:tc>
        <w:tc>
          <w:tcPr>
            <w:tcW w:w="1095" w:type="dxa"/>
            <w:vAlign w:val="center"/>
          </w:tcPr>
          <w:p>
            <w:pPr>
              <w:spacing w:before="20" w:after="20" w:line="252" w:lineRule="auto"/>
              <w:ind w:firstLine="0"/>
              <w:jc w:val="center"/>
            </w:pPr>
            <w:r>
              <w:rPr>
                <w:sz w:val="24"/>
              </w:rPr>
              <w:t xml:space="preserve">6</w:t>
            </w:r>
          </w:p>
        </w:tc>
        <w:tc>
          <w:tcPr>
            <w:tcW w:w="913" w:type="dxa"/>
            <w:vAlign w:val="center"/>
          </w:tcPr>
          <w:p>
            <w:pPr>
              <w:spacing w:before="20" w:after="20" w:line="252" w:lineRule="auto"/>
              <w:ind w:firstLine="0"/>
              <w:jc w:val="center"/>
            </w:pPr>
            <w:r>
              <w:rPr>
                <w:sz w:val="24"/>
              </w:rPr>
              <w:t xml:space="preserve">2</w:t>
            </w:r>
          </w:p>
        </w:tc>
        <w:tc>
          <w:tcPr>
            <w:tcW w:w="1095" w:type="dxa"/>
            <w:vAlign w:val="center"/>
          </w:tcPr>
          <w:p>
            <w:pPr>
              <w:spacing w:before="20" w:after="20" w:line="252" w:lineRule="auto"/>
              <w:ind w:firstLine="0"/>
              <w:jc w:val="center"/>
            </w:pPr>
            <w:r>
              <w:rPr>
                <w:sz w:val="24"/>
              </w:rPr>
              <w:t xml:space="preserve">22</w:t>
            </w:r>
          </w:p>
        </w:tc>
        <w:tc>
          <w:tcPr>
            <w:tcW w:w="973" w:type="dxa"/>
            <w:vAlign w:val="center"/>
          </w:tcPr>
          <w:p>
            <w:pPr>
              <w:spacing w:before="20" w:after="20" w:line="252" w:lineRule="auto"/>
              <w:ind w:firstLine="0"/>
              <w:jc w:val="center"/>
            </w:pPr>
            <w:r>
              <w:rPr>
                <w:sz w:val="24"/>
              </w:rPr>
              <w:t xml:space="preserve">31</w:t>
            </w:r>
          </w:p>
        </w:tc>
      </w:tr>
      <w:tr>
        <w:trPr>
          <w:cantSplit/>
        </w:trPr>
        <w:tc>
          <w:tcPr>
            <w:tcW w:w="3165" w:type="dxa"/>
            <w:vAlign w:val="center"/>
          </w:tcPr>
          <w:p>
            <w:pPr>
              <w:spacing w:before="20" w:after="20" w:line="252" w:lineRule="auto"/>
              <w:ind w:firstLine="0"/>
              <w:jc w:val="left"/>
            </w:pPr>
            <w:r>
              <w:rPr>
                <w:b/>
                <w:sz w:val="24"/>
              </w:rPr>
              <w:t xml:space="preserve">Tổng cộng</w:t>
            </w:r>
          </w:p>
        </w:tc>
        <w:tc>
          <w:tcPr>
            <w:tcW w:w="852" w:type="dxa"/>
            <w:vAlign w:val="center"/>
          </w:tcPr>
          <w:p>
            <w:pPr>
              <w:spacing w:before="20" w:after="20" w:line="252" w:lineRule="auto"/>
              <w:ind w:firstLine="0"/>
              <w:jc w:val="center"/>
            </w:pPr>
            <w:r>
              <w:rPr>
                <w:b/>
                <w:sz w:val="24"/>
              </w:rPr>
              <w:t xml:space="preserve">252</w:t>
            </w:r>
          </w:p>
        </w:tc>
        <w:tc>
          <w:tcPr>
            <w:tcW w:w="973" w:type="dxa"/>
            <w:vAlign w:val="center"/>
          </w:tcPr>
          <w:p>
            <w:pPr>
              <w:spacing w:before="20" w:after="20" w:line="252" w:lineRule="auto"/>
              <w:ind w:firstLine="0"/>
              <w:jc w:val="center"/>
            </w:pPr>
            <w:r>
              <w:rPr>
                <w:b/>
                <w:sz w:val="24"/>
              </w:rPr>
              <w:t xml:space="preserve">145</w:t>
            </w:r>
          </w:p>
        </w:tc>
        <w:tc>
          <w:tcPr>
            <w:tcW w:w="1095" w:type="dxa"/>
            <w:vAlign w:val="center"/>
          </w:tcPr>
          <w:p>
            <w:pPr>
              <w:spacing w:before="20" w:after="20" w:line="252" w:lineRule="auto"/>
              <w:ind w:firstLine="0"/>
              <w:jc w:val="center"/>
            </w:pPr>
            <w:r>
              <w:rPr>
                <w:b/>
                <w:sz w:val="24"/>
              </w:rPr>
              <w:t xml:space="preserve">94</w:t>
            </w:r>
          </w:p>
        </w:tc>
        <w:tc>
          <w:tcPr>
            <w:tcW w:w="913" w:type="dxa"/>
            <w:vAlign w:val="center"/>
          </w:tcPr>
          <w:p>
            <w:pPr>
              <w:spacing w:before="20" w:after="20" w:line="252" w:lineRule="auto"/>
              <w:ind w:firstLine="0"/>
              <w:jc w:val="center"/>
            </w:pPr>
            <w:r>
              <w:rPr>
                <w:b/>
                <w:sz w:val="24"/>
              </w:rPr>
              <w:t xml:space="preserve">25</w:t>
            </w:r>
          </w:p>
        </w:tc>
        <w:tc>
          <w:tcPr>
            <w:tcW w:w="1095" w:type="dxa"/>
            <w:vAlign w:val="center"/>
          </w:tcPr>
          <w:p>
            <w:pPr>
              <w:spacing w:before="20" w:after="20" w:line="252" w:lineRule="auto"/>
              <w:ind w:firstLine="0"/>
              <w:jc w:val="center"/>
            </w:pPr>
            <w:r>
              <w:rPr>
                <w:b/>
                <w:sz w:val="24"/>
              </w:rPr>
              <w:t xml:space="preserve">94</w:t>
            </w:r>
          </w:p>
        </w:tc>
        <w:tc>
          <w:tcPr>
            <w:tcW w:w="973" w:type="dxa"/>
            <w:vAlign w:val="center"/>
          </w:tcPr>
          <w:p>
            <w:pPr>
              <w:spacing w:before="20" w:after="20" w:line="252" w:lineRule="auto"/>
              <w:ind w:firstLine="0"/>
              <w:jc w:val="center"/>
            </w:pPr>
            <w:r>
              <w:rPr>
                <w:b/>
                <w:sz w:val="24"/>
              </w:rPr>
              <w:t xml:space="preserve">64</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sách nhân sự năm 2026 của Trường Đại học Thành Đô. Tiến sĩ và tương đương gồm người có học hàm giáo sư, phó giáo sư và bác sĩ chuyên khoa II; thạc sĩ và tương đương gồm dược sĩ chuyên khoa I.</w:t>
      </w:r>
    </w:p>
    <w:p w14:paraId="48E95726" w14:textId="77777777" w:rsidR="005B561C" w:rsidRPr="000F7C87" w:rsidRDefault="00000000">
      <w:pPr>
        <w:rPr>
          <w:szCs w:val="26"/>
        </w:rPr>
      </w:pPr>
      <w:r w:rsidRPr="000F7C87">
        <w:rPr>
          <w:szCs w:val="26"/>
        </w:rPr>
        <w:t>Bảng 2.1 cho thấy năng lực chuyên môn và thẩm quyền xử lý hồ sơ sở hữu trí tuệ nằm ở hai khối khác nhau. Ba viện đào tạo chiếm 57,9% nhân sự nhưng có 81 trên 94 người trình độ tiến sĩ, tức 86,2%, và 22 trên 25 người có học hàm. Ngược lại, hai trung tâm thuộc khối Quản trị và Dịch vụ, nơi đang thực hiện việc xác lập quyền đối với nhãn hiệu và giữ đầu mối pháp chế, có 29 nhân sự, không có tiến sĩ và 79,3% có trình độ đại học trở xuống. Phòng Khoa học Công nghệ, đơn vị đầu mối theo quy chế, có 2 nhân sự trình độ thạc sĩ, chức danh trưởng phòng do Hiệu trưởng kiêm nhiệm và không có người được đào tạo về sở hữu trí tuệ. Người có khả năng nhận diện kết quả có thể bảo hộ ở khối Đào tạo và Nghiên cứu, còn người xử lý thủ tục ở khối có năng lực chuyên môn khoa học mỏng hơn; khoảng cách này là tiền đề của các điểm nghẽn về tổ chức phân tích tại Mục 2.2.2.</w:t>
      </w:r>
    </w:p>
    <w:p w14:paraId="0DE297E1" w14:textId="77777777" w:rsidR="005B561C" w:rsidRPr="000F7C87" w:rsidRDefault="00000000">
      <w:pPr>
        <w:keepNext/>
        <w:spacing w:before="200" w:after="100"/>
        <w:ind w:firstLine="0"/>
        <w:outlineLvl w:val="2"/>
        <w:rPr>
          <w:szCs w:val="26"/>
        </w:rPr>
      </w:pPr>
      <w:r w:rsidRPr="000F7C87">
        <w:rPr>
          <w:b/>
          <w:szCs w:val="26"/>
        </w:rPr>
        <w:t>2.1.2. Sản phẩm khoa học giai đoạn 2021 - 2025</w:t>
      </w:r>
    </w:p>
    <w:p w14:paraId="48E95726" w14:textId="77777777" w:rsidR="005B561C" w:rsidRPr="000F7C87" w:rsidRDefault="00000000">
      <w:pPr>
        <w:rPr>
          <w:szCs w:val="26"/>
        </w:rPr>
      </w:pPr>
      <w:r w:rsidRPr="000F7C87">
        <w:rPr>
          <w:szCs w:val="26"/>
        </w:rPr>
        <w:t>Các danh mục thống kê của Phòng Khoa học Công nghệ ghi nhận 582 bản ghi sản phẩm khoa học trong giai đoạn 2021 - 2025, được trình bày tại Bảng 2.2.</w:t>
      </w:r>
    </w:p>
    <w:p w14:paraId="478B6AC7" w14:textId="77777777" w:rsidR="005B561C" w:rsidRPr="000F7C87" w:rsidRDefault="00000000">
      <w:pPr>
        <w:keepNext/>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trPr>
          <w:cantSplit/>
          <w:tblHeader/>
        </w:trPr>
        <w:tc>
          <w:tcPr>
            <w:tcW w:w="3856" w:type="dxa"/>
            <w:shd w:val="clear" w:color="auto" w:fill="DCE8F7"/>
            <w:vAlign w:val="center"/>
          </w:tcPr>
          <w:p>
            <w:pPr>
              <w:spacing w:before="20" w:after="20" w:line="252" w:lineRule="auto"/>
              <w:ind w:firstLine="0"/>
              <w:jc w:val="center"/>
            </w:pPr>
            <w:r>
              <w:rPr>
                <w:b/>
                <w:sz w:val="24"/>
              </w:rPr>
              <w:t xml:space="preserve">Loại sản phẩm</w:t>
            </w:r>
          </w:p>
        </w:tc>
        <w:tc>
          <w:tcPr>
            <w:tcW w:w="857" w:type="dxa"/>
            <w:shd w:val="clear" w:color="auto" w:fill="DCE8F7"/>
            <w:vAlign w:val="center"/>
          </w:tcPr>
          <w:p>
            <w:pPr>
              <w:spacing w:before="20" w:after="20" w:line="252" w:lineRule="auto"/>
              <w:ind w:firstLine="0"/>
              <w:jc w:val="center"/>
            </w:pPr>
            <w:r>
              <w:rPr>
                <w:b/>
                <w:sz w:val="24"/>
              </w:rPr>
              <w:t xml:space="preserve">2021</w:t>
            </w:r>
          </w:p>
        </w:tc>
        <w:tc>
          <w:tcPr>
            <w:tcW w:w="857" w:type="dxa"/>
            <w:shd w:val="clear" w:color="auto" w:fill="DCE8F7"/>
            <w:vAlign w:val="center"/>
          </w:tcPr>
          <w:p>
            <w:pPr>
              <w:spacing w:before="20" w:after="20" w:line="252" w:lineRule="auto"/>
              <w:ind w:firstLine="0"/>
              <w:jc w:val="center"/>
            </w:pPr>
            <w:r>
              <w:rPr>
                <w:b/>
                <w:sz w:val="24"/>
              </w:rPr>
              <w:t xml:space="preserve">2022</w:t>
            </w:r>
          </w:p>
        </w:tc>
        <w:tc>
          <w:tcPr>
            <w:tcW w:w="857" w:type="dxa"/>
            <w:shd w:val="clear" w:color="auto" w:fill="DCE8F7"/>
            <w:vAlign w:val="center"/>
          </w:tcPr>
          <w:p>
            <w:pPr>
              <w:spacing w:before="20" w:after="20" w:line="252" w:lineRule="auto"/>
              <w:ind w:firstLine="0"/>
              <w:jc w:val="center"/>
            </w:pPr>
            <w:r>
              <w:rPr>
                <w:b/>
                <w:sz w:val="24"/>
              </w:rPr>
              <w:t xml:space="preserve">2023</w:t>
            </w:r>
          </w:p>
        </w:tc>
        <w:tc>
          <w:tcPr>
            <w:tcW w:w="857" w:type="dxa"/>
            <w:shd w:val="clear" w:color="auto" w:fill="DCE8F7"/>
            <w:vAlign w:val="center"/>
          </w:tcPr>
          <w:p>
            <w:pPr>
              <w:spacing w:before="20" w:after="20" w:line="252" w:lineRule="auto"/>
              <w:ind w:firstLine="0"/>
              <w:jc w:val="center"/>
            </w:pPr>
            <w:r>
              <w:rPr>
                <w:b/>
                <w:sz w:val="24"/>
              </w:rPr>
              <w:t xml:space="preserve">2024</w:t>
            </w:r>
          </w:p>
        </w:tc>
        <w:tc>
          <w:tcPr>
            <w:tcW w:w="857" w:type="dxa"/>
            <w:shd w:val="clear" w:color="auto" w:fill="DCE8F7"/>
            <w:vAlign w:val="center"/>
          </w:tcPr>
          <w:p>
            <w:pPr>
              <w:spacing w:before="20" w:after="20" w:line="252" w:lineRule="auto"/>
              <w:ind w:firstLine="0"/>
              <w:jc w:val="center"/>
            </w:pPr>
            <w:r>
              <w:rPr>
                <w:b/>
                <w:sz w:val="24"/>
              </w:rPr>
              <w:t xml:space="preserve">2025</w:t>
            </w:r>
          </w:p>
        </w:tc>
        <w:tc>
          <w:tcPr>
            <w:tcW w:w="928" w:type="dxa"/>
            <w:shd w:val="clear" w:color="auto" w:fill="DCE8F7"/>
            <w:vAlign w:val="center"/>
          </w:tcPr>
          <w:p>
            <w:pPr>
              <w:spacing w:before="20" w:after="20" w:line="252" w:lineRule="auto"/>
              <w:ind w:firstLine="0"/>
              <w:jc w:val="center"/>
            </w:pPr>
            <w:r>
              <w:rPr>
                <w:b/>
                <w:sz w:val="24"/>
              </w:rPr>
              <w:t xml:space="preserve">Tổng</w:t>
            </w:r>
          </w:p>
        </w:tc>
      </w:tr>
      <w:tr>
        <w:trPr>
          <w:cantSplit/>
        </w:trPr>
        <w:tc>
          <w:tcPr>
            <w:tcW w:w="3856" w:type="dxa"/>
            <w:vAlign w:val="center"/>
          </w:tcPr>
          <w:p>
            <w:pPr>
              <w:spacing w:before="20" w:after="20" w:line="252" w:lineRule="auto"/>
              <w:ind w:firstLine="0"/>
              <w:jc w:val="left"/>
            </w:pPr>
            <w:r>
              <w:rPr>
                <w:sz w:val="24"/>
              </w:rPr>
              <w:t xml:space="preserve">Bài báo đăng tạp chí trong nước</w:t>
            </w:r>
          </w:p>
        </w:tc>
        <w:tc>
          <w:tcPr>
            <w:tcW w:w="857" w:type="dxa"/>
            <w:vAlign w:val="center"/>
          </w:tcPr>
          <w:p>
            <w:pPr>
              <w:spacing w:before="20" w:after="20" w:line="252" w:lineRule="auto"/>
              <w:ind w:firstLine="0"/>
              <w:jc w:val="center"/>
            </w:pPr>
            <w:r>
              <w:rPr>
                <w:sz w:val="24"/>
              </w:rPr>
              <w:t xml:space="preserve">17</w:t>
            </w:r>
          </w:p>
        </w:tc>
        <w:tc>
          <w:tcPr>
            <w:tcW w:w="857" w:type="dxa"/>
            <w:vAlign w:val="center"/>
          </w:tcPr>
          <w:p>
            <w:pPr>
              <w:spacing w:before="20" w:after="20" w:line="252" w:lineRule="auto"/>
              <w:ind w:firstLine="0"/>
              <w:jc w:val="center"/>
            </w:pPr>
            <w:r>
              <w:rPr>
                <w:sz w:val="24"/>
              </w:rPr>
              <w:t xml:space="preserve">42</w:t>
            </w:r>
          </w:p>
        </w:tc>
        <w:tc>
          <w:tcPr>
            <w:tcW w:w="857" w:type="dxa"/>
            <w:vAlign w:val="center"/>
          </w:tcPr>
          <w:p>
            <w:pPr>
              <w:spacing w:before="20" w:after="20" w:line="252" w:lineRule="auto"/>
              <w:ind w:firstLine="0"/>
              <w:jc w:val="center"/>
            </w:pPr>
            <w:r>
              <w:rPr>
                <w:sz w:val="24"/>
              </w:rPr>
              <w:t xml:space="preserve">50</w:t>
            </w:r>
          </w:p>
        </w:tc>
        <w:tc>
          <w:tcPr>
            <w:tcW w:w="857" w:type="dxa"/>
            <w:vAlign w:val="center"/>
          </w:tcPr>
          <w:p>
            <w:pPr>
              <w:spacing w:before="20" w:after="20" w:line="252" w:lineRule="auto"/>
              <w:ind w:firstLine="0"/>
              <w:jc w:val="center"/>
            </w:pPr>
            <w:r>
              <w:rPr>
                <w:sz w:val="24"/>
              </w:rPr>
              <w:t xml:space="preserve">72</w:t>
            </w:r>
          </w:p>
        </w:tc>
        <w:tc>
          <w:tcPr>
            <w:tcW w:w="857" w:type="dxa"/>
            <w:vAlign w:val="center"/>
          </w:tcPr>
          <w:p>
            <w:pPr>
              <w:spacing w:before="20" w:after="20" w:line="252" w:lineRule="auto"/>
              <w:ind w:firstLine="0"/>
              <w:jc w:val="center"/>
            </w:pPr>
            <w:r>
              <w:rPr>
                <w:sz w:val="24"/>
              </w:rPr>
              <w:t xml:space="preserve">109</w:t>
            </w:r>
          </w:p>
        </w:tc>
        <w:tc>
          <w:tcPr>
            <w:tcW w:w="928" w:type="dxa"/>
            <w:vAlign w:val="center"/>
          </w:tcPr>
          <w:p>
            <w:pPr>
              <w:spacing w:before="20" w:after="20" w:line="252" w:lineRule="auto"/>
              <w:ind w:firstLine="0"/>
              <w:jc w:val="center"/>
            </w:pPr>
            <w:r>
              <w:rPr>
                <w:sz w:val="24"/>
              </w:rPr>
              <w:t xml:space="preserve">290</w:t>
            </w:r>
          </w:p>
        </w:tc>
      </w:tr>
      <w:tr>
        <w:trPr>
          <w:cantSplit/>
        </w:trPr>
        <w:tc>
          <w:tcPr>
            <w:tcW w:w="3856" w:type="dxa"/>
            <w:vAlign w:val="center"/>
          </w:tcPr>
          <w:p>
            <w:pPr>
              <w:spacing w:before="20" w:after="20" w:line="252" w:lineRule="auto"/>
              <w:ind w:firstLine="0"/>
              <w:jc w:val="left"/>
            </w:pPr>
            <w:r>
              <w:rPr>
                <w:sz w:val="24"/>
              </w:rPr>
              <w:t xml:space="preserve">Bài báo đăng tạp chí quốc tế</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13</w:t>
            </w:r>
          </w:p>
        </w:tc>
        <w:tc>
          <w:tcPr>
            <w:tcW w:w="857" w:type="dxa"/>
            <w:vAlign w:val="center"/>
          </w:tcPr>
          <w:p>
            <w:pPr>
              <w:spacing w:before="20" w:after="20" w:line="252" w:lineRule="auto"/>
              <w:ind w:firstLine="0"/>
              <w:jc w:val="center"/>
            </w:pPr>
            <w:r>
              <w:rPr>
                <w:sz w:val="24"/>
              </w:rPr>
              <w:t xml:space="preserve">11</w:t>
            </w:r>
          </w:p>
        </w:tc>
        <w:tc>
          <w:tcPr>
            <w:tcW w:w="857" w:type="dxa"/>
            <w:vAlign w:val="center"/>
          </w:tcPr>
          <w:p>
            <w:pPr>
              <w:spacing w:before="20" w:after="20" w:line="252" w:lineRule="auto"/>
              <w:ind w:firstLine="0"/>
              <w:jc w:val="center"/>
            </w:pPr>
            <w:r>
              <w:rPr>
                <w:sz w:val="24"/>
              </w:rPr>
              <w:t xml:space="preserve">33</w:t>
            </w:r>
          </w:p>
        </w:tc>
        <w:tc>
          <w:tcPr>
            <w:tcW w:w="857" w:type="dxa"/>
            <w:vAlign w:val="center"/>
          </w:tcPr>
          <w:p>
            <w:pPr>
              <w:spacing w:before="20" w:after="20" w:line="252" w:lineRule="auto"/>
              <w:ind w:firstLine="0"/>
              <w:jc w:val="center"/>
            </w:pPr>
            <w:r>
              <w:rPr>
                <w:sz w:val="24"/>
              </w:rPr>
              <w:t xml:space="preserve">52</w:t>
            </w:r>
          </w:p>
        </w:tc>
        <w:tc>
          <w:tcPr>
            <w:tcW w:w="928" w:type="dxa"/>
            <w:vAlign w:val="center"/>
          </w:tcPr>
          <w:p>
            <w:pPr>
              <w:spacing w:before="20" w:after="20" w:line="252" w:lineRule="auto"/>
              <w:ind w:firstLine="0"/>
              <w:jc w:val="center"/>
            </w:pPr>
            <w:r>
              <w:rPr>
                <w:sz w:val="24"/>
              </w:rPr>
              <w:t xml:space="preserve">115</w:t>
            </w:r>
          </w:p>
        </w:tc>
      </w:tr>
      <w:tr>
        <w:trPr>
          <w:cantSplit/>
        </w:trPr>
        <w:tc>
          <w:tcPr>
            <w:tcW w:w="3856" w:type="dxa"/>
            <w:vAlign w:val="center"/>
          </w:tcPr>
          <w:p>
            <w:pPr>
              <w:spacing w:before="20" w:after="20" w:line="252" w:lineRule="auto"/>
              <w:ind w:firstLine="0"/>
              <w:jc w:val="left"/>
            </w:pPr>
            <w:r>
              <w:rPr>
                <w:sz w:val="24"/>
              </w:rPr>
              <w:t xml:space="preserve">Giáo trình, tài liệu giảng dạy</w:t>
            </w:r>
          </w:p>
        </w:tc>
        <w:tc>
          <w:tcPr>
            <w:tcW w:w="857" w:type="dxa"/>
            <w:vAlign w:val="center"/>
          </w:tcPr>
          <w:p>
            <w:pPr>
              <w:spacing w:before="20" w:after="20" w:line="252" w:lineRule="auto"/>
              <w:ind w:firstLine="0"/>
              <w:jc w:val="center"/>
            </w:pPr>
            <w:r>
              <w:rPr>
                <w:sz w:val="24"/>
              </w:rPr>
              <w:t xml:space="preserve">26</w:t>
            </w:r>
          </w:p>
        </w:tc>
        <w:tc>
          <w:tcPr>
            <w:tcW w:w="857" w:type="dxa"/>
            <w:vAlign w:val="center"/>
          </w:tcPr>
          <w:p>
            <w:pPr>
              <w:spacing w:before="20" w:after="20" w:line="252" w:lineRule="auto"/>
              <w:ind w:firstLine="0"/>
              <w:jc w:val="center"/>
            </w:pPr>
            <w:r>
              <w:rPr>
                <w:sz w:val="24"/>
              </w:rPr>
              <w:t xml:space="preserve">31</w:t>
            </w:r>
          </w:p>
        </w:tc>
        <w:tc>
          <w:tcPr>
            <w:tcW w:w="857" w:type="dxa"/>
            <w:vAlign w:val="center"/>
          </w:tcPr>
          <w:p>
            <w:pPr>
              <w:spacing w:before="20" w:after="20" w:line="252" w:lineRule="auto"/>
              <w:ind w:firstLine="0"/>
              <w:jc w:val="center"/>
            </w:pPr>
            <w:r>
              <w:rPr>
                <w:sz w:val="24"/>
              </w:rPr>
              <w:t xml:space="preserve">12</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11</w:t>
            </w:r>
          </w:p>
        </w:tc>
        <w:tc>
          <w:tcPr>
            <w:tcW w:w="928" w:type="dxa"/>
            <w:vAlign w:val="center"/>
          </w:tcPr>
          <w:p>
            <w:pPr>
              <w:spacing w:before="20" w:after="20" w:line="252" w:lineRule="auto"/>
              <w:ind w:firstLine="0"/>
              <w:jc w:val="center"/>
            </w:pPr>
            <w:r>
              <w:rPr>
                <w:sz w:val="24"/>
              </w:rPr>
              <w:t xml:space="preserve">87</w:t>
            </w:r>
          </w:p>
        </w:tc>
      </w:tr>
      <w:tr>
        <w:trPr>
          <w:cantSplit/>
        </w:trPr>
        <w:tc>
          <w:tcPr>
            <w:tcW w:w="3856" w:type="dxa"/>
            <w:vAlign w:val="center"/>
          </w:tcPr>
          <w:p>
            <w:pPr>
              <w:spacing w:before="20" w:after="20" w:line="252" w:lineRule="auto"/>
              <w:ind w:firstLine="0"/>
              <w:jc w:val="left"/>
            </w:pPr>
            <w:r>
              <w:rPr>
                <w:sz w:val="24"/>
              </w:rPr>
              <w:t xml:space="preserve">Đề tài khoa học công nghệ cấp cơ sở</w:t>
            </w:r>
          </w:p>
        </w:tc>
        <w:tc>
          <w:tcPr>
            <w:tcW w:w="857" w:type="dxa"/>
            <w:vAlign w:val="center"/>
          </w:tcPr>
          <w:p>
            <w:pPr>
              <w:spacing w:before="20" w:after="20" w:line="252" w:lineRule="auto"/>
              <w:ind w:firstLine="0"/>
              <w:jc w:val="center"/>
            </w:pPr>
            <w:r>
              <w:rPr>
                <w:sz w:val="24"/>
              </w:rPr>
              <w:t xml:space="preserve">6</w:t>
            </w:r>
          </w:p>
        </w:tc>
        <w:tc>
          <w:tcPr>
            <w:tcW w:w="857" w:type="dxa"/>
            <w:vAlign w:val="center"/>
          </w:tcPr>
          <w:p>
            <w:pPr>
              <w:spacing w:before="20" w:after="20" w:line="252" w:lineRule="auto"/>
              <w:ind w:firstLine="0"/>
              <w:jc w:val="center"/>
            </w:pPr>
            <w:r>
              <w:rPr>
                <w:sz w:val="24"/>
              </w:rPr>
              <w:t xml:space="preserve">10</w:t>
            </w:r>
          </w:p>
        </w:tc>
        <w:tc>
          <w:tcPr>
            <w:tcW w:w="857" w:type="dxa"/>
            <w:vAlign w:val="center"/>
          </w:tcPr>
          <w:p>
            <w:pPr>
              <w:spacing w:before="20" w:after="20" w:line="252" w:lineRule="auto"/>
              <w:ind w:firstLine="0"/>
              <w:jc w:val="center"/>
            </w:pPr>
            <w:r>
              <w:rPr>
                <w:sz w:val="24"/>
              </w:rPr>
              <w:t xml:space="preserve">7</w:t>
            </w:r>
          </w:p>
        </w:tc>
        <w:tc>
          <w:tcPr>
            <w:tcW w:w="857" w:type="dxa"/>
            <w:vAlign w:val="center"/>
          </w:tcPr>
          <w:p>
            <w:pPr>
              <w:spacing w:before="20" w:after="20" w:line="252" w:lineRule="auto"/>
              <w:ind w:firstLine="0"/>
              <w:jc w:val="center"/>
            </w:pPr>
            <w:r>
              <w:rPr>
                <w:sz w:val="24"/>
              </w:rPr>
              <w:t xml:space="preserve">8</w:t>
            </w:r>
          </w:p>
        </w:tc>
        <w:tc>
          <w:tcPr>
            <w:tcW w:w="857" w:type="dxa"/>
            <w:vAlign w:val="center"/>
          </w:tcPr>
          <w:p>
            <w:pPr>
              <w:spacing w:before="20" w:after="20" w:line="252" w:lineRule="auto"/>
              <w:ind w:firstLine="0"/>
              <w:jc w:val="center"/>
            </w:pPr>
            <w:r>
              <w:rPr>
                <w:sz w:val="24"/>
              </w:rPr>
              <w:t xml:space="preserve">7</w:t>
            </w:r>
          </w:p>
        </w:tc>
        <w:tc>
          <w:tcPr>
            <w:tcW w:w="928" w:type="dxa"/>
            <w:vAlign w:val="center"/>
          </w:tcPr>
          <w:p>
            <w:pPr>
              <w:spacing w:before="20" w:after="20" w:line="252" w:lineRule="auto"/>
              <w:ind w:firstLine="0"/>
              <w:jc w:val="center"/>
            </w:pPr>
            <w:r>
              <w:rPr>
                <w:sz w:val="24"/>
              </w:rPr>
              <w:t xml:space="preserve">38</w:t>
            </w:r>
          </w:p>
        </w:tc>
      </w:tr>
      <w:tr>
        <w:trPr>
          <w:cantSplit/>
        </w:trPr>
        <w:tc>
          <w:tcPr>
            <w:tcW w:w="3856" w:type="dxa"/>
            <w:vAlign w:val="center"/>
          </w:tcPr>
          <w:p>
            <w:pPr>
              <w:spacing w:before="20" w:after="20" w:line="252" w:lineRule="auto"/>
              <w:ind w:firstLine="0"/>
              <w:jc w:val="left"/>
            </w:pPr>
            <w:r>
              <w:rPr>
                <w:sz w:val="24"/>
              </w:rPr>
              <w:t xml:space="preserve">Sách xuất bản</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6</w:t>
            </w:r>
          </w:p>
        </w:tc>
        <w:tc>
          <w:tcPr>
            <w:tcW w:w="928" w:type="dxa"/>
            <w:vAlign w:val="center"/>
          </w:tcPr>
          <w:p>
            <w:pPr>
              <w:spacing w:before="20" w:after="20" w:line="252" w:lineRule="auto"/>
              <w:ind w:firstLine="0"/>
              <w:jc w:val="center"/>
            </w:pPr>
            <w:r>
              <w:rPr>
                <w:sz w:val="24"/>
              </w:rPr>
              <w:t xml:space="preserve">12</w:t>
            </w:r>
          </w:p>
        </w:tc>
      </w:tr>
      <w:tr>
        <w:trPr>
          <w:cantSplit/>
        </w:trPr>
        <w:tc>
          <w:tcPr>
            <w:tcW w:w="3856" w:type="dxa"/>
            <w:vAlign w:val="center"/>
          </w:tcPr>
          <w:p>
            <w:pPr>
              <w:spacing w:before="20" w:after="20" w:line="252" w:lineRule="auto"/>
              <w:ind w:firstLine="0"/>
              <w:jc w:val="left"/>
            </w:pPr>
            <w:r>
              <w:rPr>
                <w:sz w:val="24"/>
              </w:rPr>
              <w:t xml:space="preserve">Tham luận hội thảo quốc tế</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857" w:type="dxa"/>
            <w:vAlign w:val="center"/>
          </w:tcPr>
          <w:p>
            <w:pPr>
              <w:spacing w:before="20" w:after="20" w:line="252" w:lineRule="auto"/>
              <w:ind w:firstLine="0"/>
              <w:jc w:val="center"/>
            </w:pPr>
            <w:r>
              <w:rPr>
                <w:sz w:val="24"/>
              </w:rPr>
              <w:t xml:space="preserve">3</w:t>
            </w:r>
          </w:p>
        </w:tc>
        <w:tc>
          <w:tcPr>
            <w:tcW w:w="857" w:type="dxa"/>
            <w:vAlign w:val="center"/>
          </w:tcPr>
          <w:p>
            <w:pPr>
              <w:spacing w:before="20" w:after="20" w:line="252" w:lineRule="auto"/>
              <w:ind w:firstLine="0"/>
              <w:jc w:val="center"/>
            </w:pPr>
            <w:r>
              <w:rPr>
                <w:sz w:val="24"/>
              </w:rPr>
              <w:t xml:space="preserve">5</w:t>
            </w:r>
          </w:p>
        </w:tc>
        <w:tc>
          <w:tcPr>
            <w:tcW w:w="857" w:type="dxa"/>
            <w:vAlign w:val="center"/>
          </w:tcPr>
          <w:p>
            <w:pPr>
              <w:spacing w:before="20" w:after="20" w:line="252" w:lineRule="auto"/>
              <w:ind w:firstLine="0"/>
              <w:jc w:val="center"/>
            </w:pPr>
            <w:r>
              <w:rPr>
                <w:sz w:val="24"/>
              </w:rPr>
              <w:t xml:space="preserve">5</w:t>
            </w:r>
          </w:p>
        </w:tc>
        <w:tc>
          <w:tcPr>
            <w:tcW w:w="928" w:type="dxa"/>
            <w:vAlign w:val="center"/>
          </w:tcPr>
          <w:p>
            <w:pPr>
              <w:spacing w:before="20" w:after="20" w:line="252" w:lineRule="auto"/>
              <w:ind w:firstLine="0"/>
              <w:jc w:val="center"/>
            </w:pPr>
            <w:r>
              <w:rPr>
                <w:sz w:val="24"/>
              </w:rPr>
              <w:t xml:space="preserve">16</w:t>
            </w:r>
          </w:p>
        </w:tc>
      </w:tr>
      <w:tr>
        <w:trPr>
          <w:cantSplit/>
        </w:trPr>
        <w:tc>
          <w:tcPr>
            <w:tcW w:w="3856" w:type="dxa"/>
            <w:vAlign w:val="center"/>
          </w:tcPr>
          <w:p>
            <w:pPr>
              <w:spacing w:before="20" w:after="20" w:line="252" w:lineRule="auto"/>
              <w:ind w:firstLine="0"/>
              <w:jc w:val="left"/>
            </w:pPr>
            <w:r>
              <w:rPr>
                <w:sz w:val="24"/>
              </w:rPr>
              <w:t xml:space="preserve">Tham luận hội thảo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928" w:type="dxa"/>
            <w:vAlign w:val="center"/>
          </w:tcPr>
          <w:p>
            <w:pPr>
              <w:spacing w:before="20" w:after="20" w:line="252" w:lineRule="auto"/>
              <w:ind w:firstLine="0"/>
              <w:jc w:val="center"/>
            </w:pPr>
            <w:r>
              <w:rPr>
                <w:sz w:val="24"/>
              </w:rPr>
              <w:t xml:space="preserve">21</w:t>
            </w:r>
          </w:p>
        </w:tc>
      </w:tr>
      <w:tr>
        <w:trPr>
          <w:cantSplit/>
        </w:trPr>
        <w:tc>
          <w:tcPr>
            <w:tcW w:w="3856" w:type="dxa"/>
            <w:vAlign w:val="center"/>
          </w:tcPr>
          <w:p>
            <w:pPr>
              <w:spacing w:before="20" w:after="20" w:line="252" w:lineRule="auto"/>
              <w:ind w:firstLine="0"/>
              <w:jc w:val="left"/>
            </w:pPr>
            <w:r>
              <w:rPr>
                <w:sz w:val="24"/>
              </w:rPr>
              <w:t xml:space="preserve">Đề tài khoa học công nghệ cấp quốc gia</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w:t>
            </w:r>
          </w:p>
        </w:tc>
        <w:tc>
          <w:tcPr>
            <w:tcW w:w="857" w:type="dxa"/>
            <w:vAlign w:val="center"/>
          </w:tcPr>
          <w:p>
            <w:pPr>
              <w:spacing w:before="20" w:after="20" w:line="252" w:lineRule="auto"/>
              <w:ind w:firstLine="0"/>
              <w:jc w:val="center"/>
            </w:pPr>
            <w:r>
              <w:rPr>
                <w:sz w:val="24"/>
              </w:rPr>
              <w:t xml:space="preserve">1</w:t>
            </w:r>
          </w:p>
        </w:tc>
        <w:tc>
          <w:tcPr>
            <w:tcW w:w="857" w:type="dxa"/>
            <w:vAlign w:val="center"/>
          </w:tcPr>
          <w:p>
            <w:pPr>
              <w:spacing w:before="20" w:after="20" w:line="252" w:lineRule="auto"/>
              <w:ind w:firstLine="0"/>
              <w:jc w:val="center"/>
            </w:pPr>
            <w:r>
              <w:rPr>
                <w:sz w:val="24"/>
              </w:rPr>
              <w:t xml:space="preserve">2</w:t>
            </w:r>
          </w:p>
        </w:tc>
        <w:tc>
          <w:tcPr>
            <w:tcW w:w="928" w:type="dxa"/>
            <w:vAlign w:val="center"/>
          </w:tcPr>
          <w:p>
            <w:pPr>
              <w:spacing w:before="20" w:after="20" w:line="252" w:lineRule="auto"/>
              <w:ind w:firstLine="0"/>
              <w:jc w:val="center"/>
            </w:pPr>
            <w:r>
              <w:rPr>
                <w:sz w:val="24"/>
              </w:rPr>
              <w:t xml:space="preserve">3</w:t>
            </w:r>
          </w:p>
        </w:tc>
      </w:tr>
      <w:tr>
        <w:trPr>
          <w:cantSplit/>
        </w:trPr>
        <w:tc>
          <w:tcPr>
            <w:tcW w:w="3856" w:type="dxa"/>
            <w:vAlign w:val="center"/>
          </w:tcPr>
          <w:p>
            <w:pPr>
              <w:spacing w:before="20" w:after="20" w:line="252" w:lineRule="auto"/>
              <w:ind w:firstLine="0"/>
              <w:jc w:val="left"/>
            </w:pPr>
            <w:r>
              <w:rPr>
                <w:b/>
                <w:sz w:val="24"/>
              </w:rPr>
              <w:t xml:space="preserve">Tổng cộng</w:t>
            </w:r>
          </w:p>
        </w:tc>
        <w:tc>
          <w:tcPr>
            <w:tcW w:w="857" w:type="dxa"/>
            <w:vAlign w:val="center"/>
          </w:tcPr>
          <w:p>
            <w:pPr>
              <w:spacing w:before="20" w:after="20" w:line="252" w:lineRule="auto"/>
              <w:ind w:firstLine="0"/>
              <w:jc w:val="center"/>
            </w:pPr>
            <w:r>
              <w:rPr>
                <w:b/>
                <w:sz w:val="24"/>
              </w:rPr>
              <w:t xml:space="preserve">56</w:t>
            </w:r>
          </w:p>
        </w:tc>
        <w:tc>
          <w:tcPr>
            <w:tcW w:w="857" w:type="dxa"/>
            <w:vAlign w:val="center"/>
          </w:tcPr>
          <w:p>
            <w:pPr>
              <w:spacing w:before="20" w:after="20" w:line="252" w:lineRule="auto"/>
              <w:ind w:firstLine="0"/>
              <w:jc w:val="center"/>
            </w:pPr>
            <w:r>
              <w:rPr>
                <w:b/>
                <w:sz w:val="24"/>
              </w:rPr>
              <w:t xml:space="preserve">100</w:t>
            </w:r>
          </w:p>
        </w:tc>
        <w:tc>
          <w:tcPr>
            <w:tcW w:w="857" w:type="dxa"/>
            <w:vAlign w:val="center"/>
          </w:tcPr>
          <w:p>
            <w:pPr>
              <w:spacing w:before="20" w:after="20" w:line="252" w:lineRule="auto"/>
              <w:ind w:firstLine="0"/>
              <w:jc w:val="center"/>
            </w:pPr>
            <w:r>
              <w:rPr>
                <w:b/>
                <w:sz w:val="24"/>
              </w:rPr>
              <w:t xml:space="preserve">85</w:t>
            </w:r>
          </w:p>
        </w:tc>
        <w:tc>
          <w:tcPr>
            <w:tcW w:w="857" w:type="dxa"/>
            <w:vAlign w:val="center"/>
          </w:tcPr>
          <w:p>
            <w:pPr>
              <w:spacing w:before="20" w:after="20" w:line="252" w:lineRule="auto"/>
              <w:ind w:firstLine="0"/>
              <w:jc w:val="center"/>
            </w:pPr>
            <w:r>
              <w:rPr>
                <w:b/>
                <w:sz w:val="24"/>
              </w:rPr>
              <w:t xml:space="preserve">128</w:t>
            </w:r>
          </w:p>
        </w:tc>
        <w:tc>
          <w:tcPr>
            <w:tcW w:w="857" w:type="dxa"/>
            <w:vAlign w:val="center"/>
          </w:tcPr>
          <w:p>
            <w:pPr>
              <w:spacing w:before="20" w:after="20" w:line="252" w:lineRule="auto"/>
              <w:ind w:firstLine="0"/>
              <w:jc w:val="center"/>
            </w:pPr>
            <w:r>
              <w:rPr>
                <w:b/>
                <w:sz w:val="24"/>
              </w:rPr>
              <w:t xml:space="preserve">192</w:t>
            </w:r>
          </w:p>
        </w:tc>
        <w:tc>
          <w:tcPr>
            <w:tcW w:w="928" w:type="dxa"/>
            <w:vAlign w:val="center"/>
          </w:tcPr>
          <w:p>
            <w:pPr>
              <w:spacing w:before="20" w:after="20" w:line="252" w:lineRule="auto"/>
              <w:ind w:firstLine="0"/>
              <w:jc w:val="center"/>
            </w:pPr>
            <w:r>
              <w:rPr>
                <w:b/>
                <w:sz w:val="24"/>
              </w:rPr>
              <w:t xml:space="preserve">582</w:t>
            </w:r>
          </w:p>
        </w:tc>
      </w:tr>
    </w:tbl>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Số liệu bài báo, giáo trình và đề tài cấp cơ sở giai đoạn 2021 - 2023 khớp với số liệu tổng kết tại Kế hoạch số 07/KH-ĐHTĐ ngày 01 tháng 7 năm 2024.</w:t>
      </w:r>
    </w:p>
    <w:p w14:paraId="48E95726" w14:textId="77777777" w:rsidR="005B561C" w:rsidRPr="000F7C87" w:rsidRDefault="00000000">
      <w:pPr>
        <w:rPr>
          <w:szCs w:val="26"/>
        </w:rPr>
      </w:pPr>
      <w:r w:rsidRPr="000F7C87">
        <w:rPr>
          <w:szCs w:val="26"/>
        </w:rPr>
        <w:t>Con số 582 là số bản ghi, chưa phải số sản phẩm độc lập. So khớp tên chủ nhiệm đề tài với danh sách tác giả trong ba năm kể từ năm nghiệm thu cho thấy 107 trên 405 bài báo, tức 26,4%, gắn với ít nhất một đề tài và đã được tính hai lần; quy mô thực tế vào khoảng 475 sản phẩm độc lập.</w:t>
      </w:r>
    </w:p>
    <w:p w14:paraId="478B6AC7" w14:textId="77777777" w:rsidR="005B561C" w:rsidRPr="000F7C87" w:rsidRDefault="00000000">
      <w:pPr>
        <w:keepNext/>
        <w:spacing w:before="160" w:after="80"/>
        <w:ind w:firstLine="0"/>
        <w:jc w:val="center"/>
        <w:rPr>
          <w:szCs w:val="26"/>
        </w:rPr>
      </w:pPr>
      <w:r w:rsidRPr="000F7C87">
        <w:rPr>
          <w:b/>
          <w:szCs w:val="26"/>
        </w:rPr>
        <w:t>Hình 2.1. Cơ cấu và diễn biến sản phẩm khoa học theo năm,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1" name="Biểu đồ 501" descr="Hình 2.1. Cơ cấu và diễn biến sản phẩm khoa học theo năm, giai đoạn 2021 - 2025"/>
            <wp:cNvGraphicFramePr/>
            <a:graphic>
              <a:graphicData uri="http://schemas.openxmlformats.org/drawingml/2006/chart">
                <c:chart r:id="rId6"/>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các danh mục thống kê của Phòng Khoa học Công nghệ, Trường Đại học Thành Đô. Không gồm 21 tham luận hội thảo quốc gia do danh mục không có trường thời gian.</w:t>
      </w:r>
    </w:p>
    <w:p w14:paraId="48E95726" w14:textId="77777777" w:rsidR="005B561C" w:rsidRPr="000F7C87" w:rsidRDefault="00000000">
      <w:pPr>
        <w:rPr>
          <w:szCs w:val="26"/>
        </w:rPr>
      </w:pPr>
      <w:r w:rsidRPr="000F7C87">
        <w:rPr>
          <w:szCs w:val="26"/>
        </w:rPr>
        <w:t>Hình 2.1 cho thấy sản lượng tăng từ 56 sản phẩm năm 2021 lên 192 sản phẩm năm 2025, bình quân 36,1% một năm, và mức tăng này gần như hoàn toàn đến từ bài báo. Bài báo tăng từ 23 lên 161 bài, gấp 7,0 lần, nâng tỷ trọng từ 41,1% lên 83,9% sản lượng; giáo trình giảm từ 26 xuống 11 tài liệu, tỷ trọng từ 46,4% còn 5,7%. Chất lượng công bố quốc tế cũng tăng: 71 trên 115 bài quốc tế đăng trên tạp chí có phân hạng Q, trong đó 68 bài thuộc hai năm 2024 - 2025.</w:t>
      </w:r>
    </w:p>
    <w:p w14:paraId="48E95726" w14:textId="77777777" w:rsidR="005B561C" w:rsidRPr="000F7C87" w:rsidRDefault="00000000">
      <w:pPr>
        <w:rPr>
          <w:szCs w:val="26"/>
        </w:rPr>
      </w:pPr>
      <w:r w:rsidRPr="000F7C87">
        <w:rPr>
          <w:szCs w:val="26"/>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cùng một đội ngũ trong cùng giai đoạn đã tạo được bước nhảy về công bố nhưng không tạo được bước nhảy tương ứng về đơn đăng ký sở hữu công nghiệp; khoảng trống vì vậy không nằm chủ yếu ở năng lực nghiên cứu mà ở cách thiết kế động lực và quy trình, được phân tích tại Mục 2.2.3 và Mục 2.3.3.</w:t>
      </w:r>
    </w:p>
    <w:p w14:paraId="48E95726" w14:textId="77777777" w:rsidR="005B561C" w:rsidRPr="000F7C87" w:rsidRDefault="00000000">
      <w:pPr>
        <w:rPr>
          <w:szCs w:val="26"/>
        </w:rPr>
      </w:pPr>
      <w:r w:rsidRPr="000F7C87">
        <w:rPr>
          <w:szCs w:val="26"/>
        </w:rPr>
        <w:t>Trong hai năm cuối kỳ, Nhà trường chủ trì ba đề tài cấp quốc gia do Quỹ Phát triển khoa học và công nghệ quốc gia tài trợ, tổng kinh phí 4,67 tỷ đồng,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Đây là nguồn tài sản trí tuệ tiềm năng lớn nhất của giai đoạn tới, với điều kiện quy trình rà soát được chuẩn bị trước thời điểm nghiệm thu.</w:t>
      </w:r>
    </w:p>
    <w:p w14:paraId="48E95726" w14:textId="77777777" w:rsidR="005B561C" w:rsidRPr="000F7C87" w:rsidRDefault="00000000">
      <w:pPr>
        <w:rPr>
          <w:szCs w:val="26"/>
        </w:rPr>
      </w:pPr>
      <w:r w:rsidRPr="000F7C87">
        <w:rPr>
          <w:szCs w:val="26"/>
        </w:rPr>
        <w:t>Năng lực công bố phân bố không đều. So khớp họ tên tác giả với danh sách nhân sự cho thấy chỉ 88 trên 247 nhân sự có họ tên đầy đủ, tức 35,6%, đứng tên ít nhất một bài báo trong năm năm; hệ số Gini về số bài trên toàn bộ nhân sự là 0,829, và trong nhóm có công bố, 10% người dẫn đầu chiếm 39,3% số lượt đứng tên. Viện Y - Dược có số bài bình quân thấp nhất trong ba viện, 0,79 bài một nhân sự, nhưng lại là nơi phát sinh phần lớn sản phẩm đề tài đủ điều kiện xác lập quyền và cả hai đơn sáng chế. Số lượng công bố và khả năng hình thành tài sản trí tuệ vì vậy là hai đại lượng khác nhau, cần được theo dõi bằng hai thước đo riêng.</w:t>
      </w:r>
    </w:p>
    <w:p w14:paraId="6067EC56" w14:textId="77777777" w:rsidR="005B561C" w:rsidRPr="000F7C87" w:rsidRDefault="00000000">
      <w:pPr>
        <w:keepNext/>
        <w:spacing w:before="280" w:after="160"/>
        <w:ind w:firstLine="0"/>
        <w:outlineLvl w:val="1"/>
        <w:rPr>
          <w:szCs w:val="26"/>
        </w:rPr>
      </w:pPr>
      <w:r w:rsidRPr="000F7C87">
        <w:rPr>
          <w:b/>
          <w:szCs w:val="26"/>
        </w:rPr>
        <w:t>2.2. Thực trạng thể chế, tổ chức và nguồn lực quản lý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2.2.1. Hệ thống quy định nội bộ</w:t>
      </w:r>
    </w:p>
    <w:p w14:paraId="48E95726" w14:textId="77777777" w:rsidR="005B561C" w:rsidRPr="000F7C87" w:rsidRDefault="00000000">
      <w:pPr>
        <w:rPr>
          <w:szCs w:val="26"/>
        </w:rPr>
      </w:pPr>
      <w:r w:rsidRPr="000F7C87">
        <w:rPr>
          <w:szCs w:val="26"/>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tại Phòng Khoa học Công nghệ; Điều 36 quy định hai công thức chia lợi ích.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yêu cầu tác giả xin ý kiến Phòng Khoa học Công nghệ trước khi bộc lộ công khai tài sản có thể bảo hộ; Điều 11 giao Phòng nhận diện, lập hồ sơ theo dõi, xúc tiến thương mại hóa và giao bộ phận pháp chế thực hiện thủ tục xác lập quyền. Hai văn bản còn lại là Quy chế chi tiêu nội bộ ban hành ngày 01 tháng 8 năm 2026 và Điều lệ Quỹ Học bổng sau tiến sĩ Ngô Xuân Độ năm 2025.</w:t>
      </w:r>
    </w:p>
    <w:p w14:paraId="48E95726" w14:textId="77777777" w:rsidR="005B561C" w:rsidRPr="000F7C87" w:rsidRDefault="00000000">
      <w:pPr>
        <w:rPr>
          <w:szCs w:val="26"/>
        </w:rPr>
      </w:pPr>
      <w:r w:rsidRPr="000F7C87">
        <w:rPr>
          <w:szCs w:val="26"/>
        </w:rPr>
        <w:t>Quyết định 217 không dẫn chiếu và không thay thế Chương VI Quyết định 213, nên hai văn bản cùng hiệu lực. Bốn văn bản chứa năm quy định khác nhau về phân chia lợi ích, được trình bày tại Bảng 2.3.</w:t>
      </w:r>
    </w:p>
    <w:p w14:paraId="478B6AC7" w14:textId="77777777" w:rsidR="005B561C" w:rsidRPr="000F7C87" w:rsidRDefault="00000000">
      <w:pPr>
        <w:keepNext/>
        <w:spacing w:before="160" w:after="80"/>
        <w:ind w:firstLine="0"/>
        <w:jc w:val="center"/>
        <w:rPr>
          <w:szCs w:val="26"/>
        </w:rPr>
      </w:pPr>
      <w:r w:rsidRPr="000F7C87">
        <w:rPr>
          <w:b/>
          <w:szCs w:val="26"/>
        </w:rPr>
        <w:t>Bảng 2.3. Các quy định về phân chia lợi ích từ tài sản trí tuệ trong nội bộ Trường Đại học Thành Đô</w:t>
      </w:r>
    </w:p>
    <w:tbl>
      <w:tblPr>
        <w:tblStyle w:val="TableGrid"/>
        <w:tblW w:w="0" w:type="auto"/>
        <w:jc w:val="center"/>
        <w:tblLook w:val="04A0" w:firstRow="1" w:lastRow="0" w:firstColumn="1" w:lastColumn="0" w:noHBand="0" w:noVBand="1"/>
      </w:tblPr>
      <w:tblGrid>
        <w:gridCol w:w="1987"/>
        <w:gridCol w:w="869"/>
        <w:gridCol w:w="2112"/>
        <w:gridCol w:w="2857"/>
        <w:gridCol w:w="1242"/>
      </w:tblGrid>
      <w:tr>
        <w:trPr>
          <w:cantSplit/>
          <w:tblHeader/>
        </w:trPr>
        <w:tc>
          <w:tcPr>
            <w:tcW w:w="1987" w:type="dxa"/>
            <w:shd w:val="clear" w:color="auto" w:fill="DCE8F7"/>
            <w:vAlign w:val="center"/>
          </w:tcPr>
          <w:p>
            <w:pPr>
              <w:spacing w:before="20" w:after="20" w:line="252" w:lineRule="auto"/>
              <w:ind w:firstLine="0"/>
              <w:jc w:val="center"/>
            </w:pPr>
            <w:r>
              <w:rPr>
                <w:b/>
                <w:sz w:val="24"/>
              </w:rPr>
              <w:t xml:space="preserve">Văn bản</w:t>
            </w:r>
          </w:p>
        </w:tc>
        <w:tc>
          <w:tcPr>
            <w:tcW w:w="869" w:type="dxa"/>
            <w:shd w:val="clear" w:color="auto" w:fill="DCE8F7"/>
            <w:vAlign w:val="center"/>
          </w:tcPr>
          <w:p>
            <w:pPr>
              <w:spacing w:before="20" w:after="20" w:line="252" w:lineRule="auto"/>
              <w:ind w:firstLine="0"/>
              <w:jc w:val="center"/>
            </w:pPr>
            <w:r>
              <w:rPr>
                <w:b/>
                <w:sz w:val="24"/>
              </w:rPr>
              <w:t xml:space="preserve">Năm</w:t>
            </w:r>
          </w:p>
        </w:tc>
        <w:tc>
          <w:tcPr>
            <w:tcW w:w="2112" w:type="dxa"/>
            <w:shd w:val="clear" w:color="auto" w:fill="DCE8F7"/>
            <w:vAlign w:val="center"/>
          </w:tcPr>
          <w:p>
            <w:pPr>
              <w:spacing w:before="20" w:after="20" w:line="252" w:lineRule="auto"/>
              <w:ind w:firstLine="0"/>
              <w:jc w:val="center"/>
            </w:pPr>
            <w:r>
              <w:rPr>
                <w:b/>
                <w:sz w:val="24"/>
              </w:rPr>
              <w:t xml:space="preserve">Phạm vi áp dụng</w:t>
            </w:r>
          </w:p>
        </w:tc>
        <w:tc>
          <w:tcPr>
            <w:tcW w:w="2857" w:type="dxa"/>
            <w:shd w:val="clear" w:color="auto" w:fill="DCE8F7"/>
            <w:vAlign w:val="center"/>
          </w:tcPr>
          <w:p>
            <w:pPr>
              <w:spacing w:before="20" w:after="20" w:line="252" w:lineRule="auto"/>
              <w:ind w:firstLine="0"/>
              <w:jc w:val="center"/>
            </w:pPr>
            <w:r>
              <w:rPr>
                <w:b/>
                <w:sz w:val="24"/>
              </w:rPr>
              <w:t xml:space="preserve">Công thức chia lợi ích</w:t>
            </w:r>
          </w:p>
        </w:tc>
        <w:tc>
          <w:tcPr>
            <w:tcW w:w="1242" w:type="dxa"/>
            <w:shd w:val="clear" w:color="auto" w:fill="DCE8F7"/>
            <w:vAlign w:val="center"/>
          </w:tcPr>
          <w:p>
            <w:pPr>
              <w:spacing w:before="20" w:after="20" w:line="252" w:lineRule="auto"/>
              <w:ind w:firstLine="0"/>
              <w:jc w:val="center"/>
            </w:pPr>
            <w:r>
              <w:rPr>
                <w:b/>
                <w:sz w:val="24"/>
              </w:rPr>
              <w:t xml:space="preserve">Mức trần</w:t>
            </w:r>
          </w:p>
        </w:tc>
      </w:tr>
      <w:tr>
        <w:trPr>
          <w:cantSplit/>
        </w:trPr>
        <w:tc>
          <w:tcPr>
            <w:tcW w:w="1987" w:type="dxa"/>
            <w:vAlign w:val="center"/>
          </w:tcPr>
          <w:p>
            <w:pPr>
              <w:spacing w:before="20" w:after="20" w:line="252" w:lineRule="auto"/>
              <w:ind w:firstLine="0"/>
              <w:jc w:val="left"/>
            </w:pPr>
            <w:r>
              <w:rPr>
                <w:sz w:val="24"/>
              </w:rPr>
              <w:t xml:space="preserve">Quyết định 213, điểm a khoản 4 Điều 36</w:t>
            </w:r>
          </w:p>
        </w:tc>
        <w:tc>
          <w:tcPr>
            <w:tcW w:w="869" w:type="dxa"/>
            <w:vAlign w:val="center"/>
          </w:tcPr>
          <w:p>
            <w:pPr>
              <w:spacing w:before="20" w:after="20" w:line="252" w:lineRule="auto"/>
              <w:ind w:firstLine="0"/>
              <w:jc w:val="center"/>
            </w:pPr>
            <w:r>
              <w:rPr>
                <w:sz w:val="24"/>
              </w:rPr>
              <w:t xml:space="preserve">2021</w:t>
            </w:r>
          </w:p>
        </w:tc>
        <w:tc>
          <w:tcPr>
            <w:tcW w:w="2112" w:type="dxa"/>
            <w:vAlign w:val="center"/>
          </w:tcPr>
          <w:p>
            <w:pPr>
              <w:spacing w:before="20" w:after="20" w:line="252" w:lineRule="auto"/>
              <w:ind w:firstLine="0"/>
              <w:jc w:val="left"/>
            </w:pPr>
            <w:r>
              <w:rPr>
                <w:sz w:val="24"/>
              </w:rPr>
              <w:t xml:space="preserve">Đề tài sử dụng ngân sách nhà nước do Trường chủ trì</w:t>
            </w:r>
          </w:p>
        </w:tc>
        <w:tc>
          <w:tcPr>
            <w:tcW w:w="2857" w:type="dxa"/>
            <w:vAlign w:val="center"/>
          </w:tcPr>
          <w:p>
            <w:pPr>
              <w:spacing w:before="20" w:after="20" w:line="252" w:lineRule="auto"/>
              <w:ind w:firstLine="0"/>
              <w:jc w:val="left"/>
            </w:pPr>
            <w:r>
              <w:rPr>
                <w:sz w:val="24"/>
              </w:rPr>
              <w:t xml:space="preserve">40% nộp ngân sách nhà nước, 30% Trường, 30% khen thưởng tập thể tác giả</w:t>
            </w:r>
          </w:p>
        </w:tc>
        <w:tc>
          <w:tcPr>
            <w:tcW w:w="1242" w:type="dxa"/>
            <w:vAlign w:val="center"/>
          </w:tcPr>
          <w:p>
            <w:pPr>
              <w:spacing w:before="20" w:after="20" w:line="252" w:lineRule="auto"/>
              <w:ind w:firstLine="0"/>
              <w:jc w:val="left"/>
            </w:pPr>
            <w:r>
              <w:rPr>
                <w:sz w:val="24"/>
              </w:rPr>
              <w:t xml:space="preserve">100 triệu đồng</w:t>
            </w:r>
          </w:p>
        </w:tc>
      </w:tr>
      <w:tr>
        <w:trPr>
          <w:cantSplit/>
        </w:trPr>
        <w:tc>
          <w:tcPr>
            <w:tcW w:w="1987" w:type="dxa"/>
            <w:vAlign w:val="center"/>
          </w:tcPr>
          <w:p>
            <w:pPr>
              <w:spacing w:before="20" w:after="20" w:line="252" w:lineRule="auto"/>
              <w:ind w:firstLine="0"/>
              <w:jc w:val="left"/>
            </w:pPr>
            <w:r>
              <w:rPr>
                <w:sz w:val="24"/>
              </w:rPr>
              <w:t xml:space="preserve">Quyết định 213, điểm b khoản 4 Điều 36</w:t>
            </w:r>
          </w:p>
        </w:tc>
        <w:tc>
          <w:tcPr>
            <w:tcW w:w="869" w:type="dxa"/>
            <w:vAlign w:val="center"/>
          </w:tcPr>
          <w:p>
            <w:pPr>
              <w:spacing w:before="20" w:after="20" w:line="252" w:lineRule="auto"/>
              <w:ind w:firstLine="0"/>
              <w:jc w:val="center"/>
            </w:pPr>
            <w:r>
              <w:rPr>
                <w:sz w:val="24"/>
              </w:rPr>
              <w:t xml:space="preserve">2021</w:t>
            </w:r>
          </w:p>
        </w:tc>
        <w:tc>
          <w:tcPr>
            <w:tcW w:w="2112" w:type="dxa"/>
            <w:vAlign w:val="center"/>
          </w:tcPr>
          <w:p>
            <w:pPr>
              <w:spacing w:before="20" w:after="20" w:line="252" w:lineRule="auto"/>
              <w:ind w:firstLine="0"/>
              <w:jc w:val="left"/>
            </w:pPr>
            <w:r>
              <w:rPr>
                <w:sz w:val="24"/>
              </w:rPr>
              <w:t xml:space="preserve">Tài sản trí tuệ thuộc sở hữu của Trường được chuyển giao</w:t>
            </w:r>
          </w:p>
        </w:tc>
        <w:tc>
          <w:tcPr>
            <w:tcW w:w="2857" w:type="dxa"/>
            <w:vAlign w:val="center"/>
          </w:tcPr>
          <w:p>
            <w:pPr>
              <w:spacing w:before="20" w:after="20" w:line="252" w:lineRule="auto"/>
              <w:ind w:firstLine="0"/>
              <w:jc w:val="left"/>
            </w:pPr>
            <w:r>
              <w:rPr>
                <w:sz w:val="24"/>
              </w:rPr>
              <w:t xml:space="preserve">30% tác giả, 20% đơn vị có tác giả, 50% Quỹ nghiên cứu khoa học của Trường</w:t>
            </w:r>
          </w:p>
        </w:tc>
        <w:tc>
          <w:tcPr>
            <w:tcW w:w="1242" w:type="dxa"/>
            <w:vAlign w:val="center"/>
          </w:tcPr>
          <w:p>
            <w:pPr>
              <w:spacing w:before="20" w:after="20" w:line="252" w:lineRule="auto"/>
              <w:ind w:firstLine="0"/>
              <w:jc w:val="left"/>
            </w:pPr>
            <w:r>
              <w:rPr>
                <w:sz w:val="24"/>
              </w:rPr>
              <w:t xml:space="preserve">Không đặt trần</w:t>
            </w:r>
          </w:p>
        </w:tc>
      </w:tr>
      <w:tr>
        <w:trPr>
          <w:cantSplit/>
        </w:trPr>
        <w:tc>
          <w:tcPr>
            <w:tcW w:w="1987" w:type="dxa"/>
            <w:vAlign w:val="center"/>
          </w:tcPr>
          <w:p>
            <w:pPr>
              <w:spacing w:before="20" w:after="20" w:line="252" w:lineRule="auto"/>
              <w:ind w:firstLine="0"/>
              <w:jc w:val="left"/>
            </w:pPr>
            <w:r>
              <w:rPr>
                <w:sz w:val="24"/>
              </w:rPr>
              <w:t xml:space="preserve">Quyết định 217, Điều 13</w:t>
            </w:r>
          </w:p>
        </w:tc>
        <w:tc>
          <w:tcPr>
            <w:tcW w:w="869" w:type="dxa"/>
            <w:vAlign w:val="center"/>
          </w:tcPr>
          <w:p>
            <w:pPr>
              <w:spacing w:before="20" w:after="20" w:line="252" w:lineRule="auto"/>
              <w:ind w:firstLine="0"/>
              <w:jc w:val="center"/>
            </w:pPr>
            <w:r>
              <w:rPr>
                <w:sz w:val="24"/>
              </w:rPr>
              <w:t xml:space="preserve">2024</w:t>
            </w:r>
          </w:p>
        </w:tc>
        <w:tc>
          <w:tcPr>
            <w:tcW w:w="2112" w:type="dxa"/>
            <w:vAlign w:val="center"/>
          </w:tcPr>
          <w:p>
            <w:pPr>
              <w:spacing w:before="20" w:after="20" w:line="252" w:lineRule="auto"/>
              <w:ind w:firstLine="0"/>
              <w:jc w:val="left"/>
            </w:pPr>
            <w:r>
              <w:rPr>
                <w:sz w:val="24"/>
              </w:rPr>
              <w:t xml:space="preserve">Tài sản trí tuệ của Trường khi các bên không có thỏa thuận</w:t>
            </w:r>
          </w:p>
        </w:tc>
        <w:tc>
          <w:tcPr>
            <w:tcW w:w="2857" w:type="dxa"/>
            <w:vAlign w:val="center"/>
          </w:tcPr>
          <w:p>
            <w:pPr>
              <w:spacing w:before="20" w:after="20" w:line="252" w:lineRule="auto"/>
              <w:ind w:firstLine="0"/>
              <w:jc w:val="left"/>
            </w:pPr>
            <w:r>
              <w:rPr>
                <w:sz w:val="24"/>
              </w:rPr>
              <w:t xml:space="preserve">Sau khi trừ chi phí, Hiệu trưởng quyết định tỷ lệ</w:t>
            </w:r>
          </w:p>
        </w:tc>
        <w:tc>
          <w:tcPr>
            <w:tcW w:w="1242" w:type="dxa"/>
            <w:vAlign w:val="center"/>
          </w:tcPr>
          <w:p>
            <w:pPr>
              <w:spacing w:before="20" w:after="20" w:line="252" w:lineRule="auto"/>
              <w:ind w:firstLine="0"/>
              <w:jc w:val="left"/>
            </w:pPr>
            <w:r>
              <w:rPr>
                <w:sz w:val="24"/>
              </w:rPr>
              <w:t xml:space="preserve">Không quy định</w:t>
            </w:r>
          </w:p>
        </w:tc>
      </w:tr>
      <w:tr>
        <w:trPr>
          <w:cantSplit/>
        </w:trPr>
        <w:tc>
          <w:tcPr>
            <w:tcW w:w="1987" w:type="dxa"/>
            <w:vAlign w:val="center"/>
          </w:tcPr>
          <w:p>
            <w:pPr>
              <w:spacing w:before="20" w:after="20" w:line="252" w:lineRule="auto"/>
              <w:ind w:firstLine="0"/>
              <w:jc w:val="left"/>
            </w:pPr>
            <w:r>
              <w:rPr>
                <w:sz w:val="24"/>
              </w:rPr>
              <w:t xml:space="preserve">Quy chế chi tiêu nội bộ</w:t>
            </w:r>
          </w:p>
        </w:tc>
        <w:tc>
          <w:tcPr>
            <w:tcW w:w="869" w:type="dxa"/>
            <w:vAlign w:val="center"/>
          </w:tcPr>
          <w:p>
            <w:pPr>
              <w:spacing w:before="20" w:after="20" w:line="252" w:lineRule="auto"/>
              <w:ind w:firstLine="0"/>
              <w:jc w:val="center"/>
            </w:pPr>
            <w:r>
              <w:rPr>
                <w:sz w:val="24"/>
              </w:rPr>
              <w:t xml:space="preserve">2026</w:t>
            </w:r>
          </w:p>
        </w:tc>
        <w:tc>
          <w:tcPr>
            <w:tcW w:w="2112" w:type="dxa"/>
            <w:vAlign w:val="center"/>
          </w:tcPr>
          <w:p>
            <w:pPr>
              <w:spacing w:before="20" w:after="20" w:line="252" w:lineRule="auto"/>
              <w:ind w:firstLine="0"/>
              <w:jc w:val="left"/>
            </w:pPr>
            <w:r>
              <w:rPr>
                <w:sz w:val="24"/>
              </w:rPr>
              <w:t xml:space="preserve">Đề tài có đăng ký sở hữu trí tuệ</w:t>
            </w:r>
          </w:p>
        </w:tc>
        <w:tc>
          <w:tcPr>
            <w:tcW w:w="2857" w:type="dxa"/>
            <w:vAlign w:val="center"/>
          </w:tcPr>
          <w:p>
            <w:pPr>
              <w:spacing w:before="20" w:after="20" w:line="252" w:lineRule="auto"/>
              <w:ind w:firstLine="0"/>
              <w:jc w:val="left"/>
            </w:pPr>
            <w:r>
              <w:rPr>
                <w:sz w:val="24"/>
              </w:rPr>
              <w:t xml:space="preserve">Trích 50% kinh phí chuyển giao công nghệ về Trường, không nêu phần của tác giả</w:t>
            </w:r>
          </w:p>
        </w:tc>
        <w:tc>
          <w:tcPr>
            <w:tcW w:w="1242" w:type="dxa"/>
            <w:vAlign w:val="center"/>
          </w:tcPr>
          <w:p>
            <w:pPr>
              <w:spacing w:before="20" w:after="20" w:line="252" w:lineRule="auto"/>
              <w:ind w:firstLine="0"/>
              <w:jc w:val="left"/>
            </w:pPr>
            <w:r>
              <w:rPr>
                <w:sz w:val="24"/>
              </w:rPr>
              <w:t xml:space="preserve">50 triệu đồng kinh phí đề tài</w:t>
            </w:r>
          </w:p>
        </w:tc>
      </w:tr>
      <w:tr>
        <w:trPr>
          <w:cantSplit/>
        </w:trPr>
        <w:tc>
          <w:tcPr>
            <w:tcW w:w="1987" w:type="dxa"/>
            <w:vAlign w:val="center"/>
          </w:tcPr>
          <w:p>
            <w:pPr>
              <w:spacing w:before="20" w:after="20" w:line="252" w:lineRule="auto"/>
              <w:ind w:firstLine="0"/>
              <w:jc w:val="left"/>
            </w:pPr>
            <w:r>
              <w:rPr>
                <w:sz w:val="24"/>
              </w:rPr>
              <w:t xml:space="preserve">Điều lệ Quỹ Ngô Xuân Độ, Điều 9</w:t>
            </w:r>
          </w:p>
        </w:tc>
        <w:tc>
          <w:tcPr>
            <w:tcW w:w="869" w:type="dxa"/>
            <w:vAlign w:val="center"/>
          </w:tcPr>
          <w:p>
            <w:pPr>
              <w:spacing w:before="20" w:after="20" w:line="252" w:lineRule="auto"/>
              <w:ind w:firstLine="0"/>
              <w:jc w:val="center"/>
            </w:pPr>
            <w:r>
              <w:rPr>
                <w:sz w:val="24"/>
              </w:rPr>
              <w:t xml:space="preserve">2025</w:t>
            </w:r>
          </w:p>
        </w:tc>
        <w:tc>
          <w:tcPr>
            <w:tcW w:w="2112" w:type="dxa"/>
            <w:vAlign w:val="center"/>
          </w:tcPr>
          <w:p>
            <w:pPr>
              <w:spacing w:before="20" w:after="20" w:line="252" w:lineRule="auto"/>
              <w:ind w:firstLine="0"/>
              <w:jc w:val="left"/>
            </w:pPr>
            <w:r>
              <w:rPr>
                <w:sz w:val="24"/>
              </w:rPr>
              <w:t xml:space="preserve">Sản phẩm hình thành từ kinh phí của Quỹ</w:t>
            </w:r>
          </w:p>
        </w:tc>
        <w:tc>
          <w:tcPr>
            <w:tcW w:w="2857" w:type="dxa"/>
            <w:vAlign w:val="center"/>
          </w:tcPr>
          <w:p>
            <w:pPr>
              <w:spacing w:before="20" w:after="20" w:line="252" w:lineRule="auto"/>
              <w:ind w:firstLine="0"/>
              <w:jc w:val="left"/>
            </w:pPr>
            <w:r>
              <w:rPr>
                <w:sz w:val="24"/>
              </w:rPr>
              <w:t xml:space="preserve">Năm đầu: 50% tác giả, 50% Trường; từ năm thứ hai: 20% tác giả, 80% Trường</w:t>
            </w:r>
          </w:p>
        </w:tc>
        <w:tc>
          <w:tcPr>
            <w:tcW w:w="1242" w:type="dxa"/>
            <w:vAlign w:val="center"/>
          </w:tcPr>
          <w:p>
            <w:pPr>
              <w:spacing w:before="20" w:after="20" w:line="252" w:lineRule="auto"/>
              <w:ind w:firstLine="0"/>
              <w:jc w:val="left"/>
            </w:pPr>
            <w:r>
              <w:rPr>
                <w:sz w:val="24"/>
              </w:rPr>
              <w:t xml:space="preserve">Không đặt trần</w:t>
            </w:r>
          </w:p>
        </w:tc>
      </w:tr>
    </w:tbl>
    <w:p w14:paraId="645FDCAF" w14:textId="77777777" w:rsidR="005B561C" w:rsidRPr="000F7C87" w:rsidRDefault="00000000">
      <w:pPr>
        <w:spacing w:after="160"/>
        <w:ind w:firstLine="0"/>
        <w:rPr>
          <w:szCs w:val="26"/>
        </w:rPr>
      </w:pPr>
      <w:r w:rsidRPr="000F7C87">
        <w:rPr>
          <w:i/>
          <w:szCs w:val="26"/>
        </w:rPr>
        <w:t>Nguồn: Nhóm nghiên cứu tổng hợp từ Quyết định 213, Quyết định 217, Quy chế chi tiêu nội bộ năm 2026 và Điều lệ Quỹ Học bổng sau tiến sĩ Ngô Xuân Độ.</w:t>
      </w:r>
    </w:p>
    <w:p w14:paraId="478B6AC7" w14:textId="77777777" w:rsidR="005B561C" w:rsidRPr="000F7C87" w:rsidRDefault="00000000">
      <w:pPr>
        <w:keepNext/>
        <w:spacing w:before="160" w:after="80"/>
        <w:ind w:firstLine="0"/>
        <w:jc w:val="center"/>
        <w:rPr>
          <w:szCs w:val="26"/>
        </w:rPr>
      </w:pPr>
      <w:r w:rsidRPr="000F7C87">
        <w:rPr>
          <w:b/>
          <w:szCs w:val="26"/>
        </w:rPr>
        <w:t>Hình 2.2. Mô phỏng phần lợi ích của tác giả theo các quy định nội bộ và mức mặc định của Luật Sở hữu trí tuệ</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2" name="Biểu đồ 502" descr="Hình 2.2. Mô phỏng phần lợi ích của tác giả theo các quy định nội bộ và mức mặc định của Luật Sở hữu trí tuệ"/>
            <wp:cNvGraphicFramePr/>
            <a:graphic>
              <a:graphicData uri="http://schemas.openxmlformats.org/drawingml/2006/chart">
                <c:chart r:id="rId9"/>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mô phỏng từ Điều 36 Quyết định 213, Điều 9 Điều lệ Quỹ Học bổng sau tiến sĩ Ngô Xuân Độ và điểm b khoản 1 Điều 135 Luật Sở hữu trí tuệ. Khoản thu là số tiền nhận được từ một hợp đồng chuyển giao sau khi trừ chi phí hợp lệ; đơn vị: triệu đồng.</w:t>
      </w:r>
    </w:p>
    <w:p w14:paraId="48E95726" w14:textId="77777777" w:rsidR="005B561C" w:rsidRPr="000F7C87" w:rsidRDefault="00000000">
      <w:pPr>
        <w:rPr>
          <w:szCs w:val="26"/>
        </w:rPr>
      </w:pPr>
      <w:r w:rsidRPr="000F7C87">
        <w:rPr>
          <w:szCs w:val="26"/>
        </w:rPr>
        <w:t>Hình 2.2 mô phỏng phần của tác giả từ một hợp đồng chuyển giao theo từng quy định. Với khoản thu 500 triệu đồng, phần của tác giả dao động từ 100 triệu đồng theo điểm a Điều 36 Quyết định 213 hoặc theo Quỹ từ năm thứ hai, 150 triệu đồng theo điểm b, đến 250 triệu đồng theo Quỹ trong năm đầu, chênh lệch 2,5 lần. Đường điểm a gãy tại khoảng 333 triệu đồng do trần 100 triệu đồng; vượt khoảng 667 triệu đồng, đường này nằm dưới mức mặc định 15% của Luật. Điều 13 Quyết định 217 giao Hiệu trưởng quyết định tỷ lệ nên không mô phỏng được.</w:t>
      </w:r>
    </w:p>
    <w:p w14:paraId="48E95726" w14:textId="77777777" w:rsidR="005B561C" w:rsidRPr="000F7C87" w:rsidRDefault="00000000">
      <w:pPr>
        <w:rPr>
          <w:szCs w:val="26"/>
        </w:rPr>
      </w:pPr>
      <w:r w:rsidRPr="000F7C87">
        <w:rPr>
          <w:szCs w:val="26"/>
        </w:rPr>
        <w:t>Về tỷ lệ, quy chế nội bộ không kém hào phóng so với mức mặc định của Luật. Vấn đề là tác giả không biết trước mình thuộc đường nào, trong khi mức thưởng cho công bố được niêm yết theo từng hạng tạp chí. Mức trần 100 triệu đồng được xây dựng theo khung pháp luật trước đây; khoản 2 Điều 135 Luật Sở hữu trí tuệ về khung thù lao cho nhiệm vụ sử dụng ngân sách nhà nước đã bị bãi bỏ, Điều 135 hiện hành chỉ quy định mức áp dụng khi không có thỏa thuận, gồm 10% lợi nhuận trước thuế khi chủ sở hữu tự sử dụng và 15% số tiền nhận được mỗi lần chuyển giao quyền sử dụng, và không đặt trần. Trong bốn văn bản, Điều lệ Quỹ là văn bản duy nhất vừa không đặt trần vừa cho phép các bên thỏa thuận tỷ lệ khác.</w:t>
      </w:r>
    </w:p>
    <w:p w14:paraId="0DE297E1" w14:textId="77777777" w:rsidR="005B561C" w:rsidRPr="000F7C87" w:rsidRDefault="00000000">
      <w:pPr>
        <w:keepNext/>
        <w:spacing w:before="200" w:after="100"/>
        <w:ind w:firstLine="0"/>
        <w:outlineLvl w:val="2"/>
        <w:rPr>
          <w:szCs w:val="26"/>
        </w:rPr>
      </w:pPr>
      <w:r w:rsidRPr="000F7C87">
        <w:rPr>
          <w:b/>
          <w:szCs w:val="26"/>
        </w:rPr>
        <w:t>2.2.2. Tổ chức bộ máy và đầu mối quản lý</w:t>
      </w:r>
    </w:p>
    <w:p w14:paraId="48E95726" w14:textId="77777777" w:rsidR="005B561C" w:rsidRPr="000F7C87" w:rsidRDefault="00000000">
      <w:pPr>
        <w:rPr>
          <w:szCs w:val="26"/>
        </w:rPr>
      </w:pPr>
      <w:r w:rsidRPr="000F7C87">
        <w:rPr>
          <w:szCs w:val="26"/>
        </w:rPr>
        <w:t>Theo Điều 35 Quyết định 213 và Điều 11 Quyết định 217, Phòng Khoa học Công nghệ là đầu mối tiếp nhận hồ sơ, nhận diện và theo dõi tài sản trí tuệ; bộ phận pháp chế thực hiện thủ tục xác lập quyền. Trên thực tế, chức năng này phân tán ở bốn điểm. Phòng Khoa học Công nghệ giữ khâu tiếp nhận hồ sơ nhưng chỉ có 2 nhân sự. Trung tâm Tuyển sinh và Quản trị thương hiệu thực hiện xác lập quyền đối với nhãn hiệu và logo. Bộ phận pháp chế thuộc Trung tâm Dịch vụ và Quản trị hành chính tổng hợp là đầu mối của Mạng lưới Trung tâm Hỗ trợ công nghệ và đổi mới sáng tạo mà Nhà trường tham gia từ năm 2023. Viện Nghiên cứu giáo dục và Chuyển giao tri thức là đơn vị duy nhất đã đăng ký hoạt động khoa học và công nghệ, có con dấu riêng và có hợp đồng khai thác quyền.</w:t>
      </w:r>
    </w:p>
    <w:p w14:paraId="48E95726" w14:textId="77777777" w:rsidR="005B561C" w:rsidRPr="000F7C87" w:rsidRDefault="00000000">
      <w:pPr>
        <w:rPr>
          <w:szCs w:val="26"/>
        </w:rPr>
      </w:pPr>
      <w:r w:rsidRPr="000F7C87">
        <w:rPr>
          <w:szCs w:val="26"/>
        </w:rPr>
        <w:t>Ba trong bốn điểm thuộc khối Quản trị và Dịch vụ, còn kết quả nghiên cứu phát sinh ở khối Đào tạo và Nghiên cứu. Vấn đề vì vậy không phải thiếu đầu mối hay thiếu phân công, vì Quyết định 217 đã phân công rõ, mà nằm ở khâu thực thi: bộ hồ sơ thu thập được không có biểu mẫu khai báo hay hồ sơ theo dõi tài sản trí tuệ do Phòng lập; mỗi đơn vị nắm một đoạn của chu trình và giữa các đoạn không có cơ chế chuyển hồ sơ.</w:t>
      </w:r>
    </w:p>
    <w:p w14:paraId="0DE297E1" w14:textId="77777777" w:rsidR="005B561C" w:rsidRPr="000F7C87" w:rsidRDefault="00000000">
      <w:pPr>
        <w:keepNext/>
        <w:spacing w:before="200" w:after="100"/>
        <w:ind w:firstLine="0"/>
        <w:outlineLvl w:val="2"/>
        <w:rPr>
          <w:szCs w:val="26"/>
        </w:rPr>
      </w:pPr>
      <w:r w:rsidRPr="000F7C87">
        <w:rPr>
          <w:b/>
          <w:szCs w:val="26"/>
        </w:rPr>
        <w:t>2.2.3. Nguồn lực tài chính và cơ chế khuyến khích</w:t>
      </w:r>
    </w:p>
    <w:p w14:paraId="48E95726" w14:textId="77777777" w:rsidR="005B561C" w:rsidRPr="000F7C87" w:rsidRDefault="00000000">
      <w:pPr>
        <w:rPr>
          <w:szCs w:val="26"/>
        </w:rPr>
      </w:pPr>
      <w:r w:rsidRPr="000F7C87">
        <w:rPr>
          <w:szCs w:val="26"/>
        </w:rPr>
        <w:t>Nhà trường có ba kênh tài trợ nghiên cứu với chế độ sở hữu trí tuệ khác nhau, được trình bày tại Bảng 2.4.</w:t>
      </w:r>
    </w:p>
    <w:p w14:paraId="478B6AC7" w14:textId="77777777" w:rsidR="005B561C" w:rsidRPr="000F7C87" w:rsidRDefault="00000000">
      <w:pPr>
        <w:keepNext/>
        <w:spacing w:before="160" w:after="80"/>
        <w:ind w:firstLine="0"/>
        <w:jc w:val="center"/>
        <w:rPr>
          <w:szCs w:val="26"/>
        </w:rPr>
      </w:pPr>
      <w:r w:rsidRPr="000F7C87">
        <w:rPr>
          <w:b/>
          <w:szCs w:val="26"/>
        </w:rPr>
        <w:t>Bảng 2.4. Ba kênh tài trợ nghiên cứu và chế độ sở hữu trí tuệ tương ứng</w:t>
      </w:r>
    </w:p>
    <w:tbl>
      <w:tblPr>
        <w:tblStyle w:val="TableGrid"/>
        <w:tblW w:w="0" w:type="auto"/>
        <w:jc w:val="center"/>
        <w:tblLook w:val="04A0" w:firstRow="1" w:lastRow="0" w:firstColumn="1" w:lastColumn="0" w:noHBand="0" w:noVBand="1"/>
      </w:tblPr>
      <w:tblGrid>
        <w:gridCol w:w="2148"/>
        <w:gridCol w:w="2983"/>
        <w:gridCol w:w="1909"/>
        <w:gridCol w:w="2028"/>
      </w:tblGrid>
      <w:tr>
        <w:trPr>
          <w:cantSplit/>
          <w:tblHeader/>
        </w:trPr>
        <w:tc>
          <w:tcPr>
            <w:tcW w:w="2148" w:type="dxa"/>
            <w:shd w:val="clear" w:color="auto" w:fill="DCE8F7"/>
            <w:vAlign w:val="center"/>
          </w:tcPr>
          <w:p>
            <w:pPr>
              <w:spacing w:before="20" w:after="20" w:line="252" w:lineRule="auto"/>
              <w:ind w:firstLine="0"/>
              <w:jc w:val="center"/>
            </w:pPr>
            <w:r>
              <w:rPr>
                <w:b/>
                <w:sz w:val="24"/>
              </w:rPr>
              <w:t xml:space="preserve">Kênh tài trợ</w:t>
            </w:r>
          </w:p>
        </w:tc>
        <w:tc>
          <w:tcPr>
            <w:tcW w:w="2983" w:type="dxa"/>
            <w:shd w:val="clear" w:color="auto" w:fill="DCE8F7"/>
            <w:vAlign w:val="center"/>
          </w:tcPr>
          <w:p>
            <w:pPr>
              <w:spacing w:before="20" w:after="20" w:line="252" w:lineRule="auto"/>
              <w:ind w:firstLine="0"/>
              <w:jc w:val="center"/>
            </w:pPr>
            <w:r>
              <w:rPr>
                <w:b/>
                <w:sz w:val="24"/>
              </w:rPr>
              <w:t xml:space="preserve">Quy mô</w:t>
            </w:r>
          </w:p>
        </w:tc>
        <w:tc>
          <w:tcPr>
            <w:tcW w:w="1909" w:type="dxa"/>
            <w:shd w:val="clear" w:color="auto" w:fill="DCE8F7"/>
            <w:vAlign w:val="center"/>
          </w:tcPr>
          <w:p>
            <w:pPr>
              <w:spacing w:before="20" w:after="20" w:line="252" w:lineRule="auto"/>
              <w:ind w:firstLine="0"/>
              <w:jc w:val="center"/>
            </w:pPr>
            <w:r>
              <w:rPr>
                <w:b/>
                <w:sz w:val="24"/>
              </w:rPr>
              <w:t xml:space="preserve">Dòng chi cho phí nộp đơn</w:t>
            </w:r>
          </w:p>
        </w:tc>
        <w:tc>
          <w:tcPr>
            <w:tcW w:w="2028" w:type="dxa"/>
            <w:shd w:val="clear" w:color="auto" w:fill="DCE8F7"/>
            <w:vAlign w:val="center"/>
          </w:tcPr>
          <w:p>
            <w:pPr>
              <w:spacing w:before="20" w:after="20" w:line="252" w:lineRule="auto"/>
              <w:ind w:firstLine="0"/>
              <w:jc w:val="center"/>
            </w:pPr>
            <w:r>
              <w:rPr>
                <w:b/>
                <w:sz w:val="24"/>
              </w:rPr>
              <w:t xml:space="preserve">Kết quả tài sản trí tuệ</w:t>
            </w:r>
          </w:p>
        </w:tc>
      </w:tr>
      <w:tr>
        <w:trPr>
          <w:cantSplit/>
        </w:trPr>
        <w:tc>
          <w:tcPr>
            <w:tcW w:w="2148" w:type="dxa"/>
            <w:vAlign w:val="center"/>
          </w:tcPr>
          <w:p>
            <w:pPr>
              <w:spacing w:before="20" w:after="20" w:line="252" w:lineRule="auto"/>
              <w:ind w:firstLine="0"/>
              <w:jc w:val="left"/>
            </w:pPr>
            <w:r>
              <w:rPr>
                <w:sz w:val="24"/>
              </w:rPr>
              <w:t xml:space="preserve">Đề tài cấp cơ sở, ngân sách của Trường</w:t>
            </w:r>
          </w:p>
        </w:tc>
        <w:tc>
          <w:tcPr>
            <w:tcW w:w="2983" w:type="dxa"/>
            <w:vAlign w:val="center"/>
          </w:tcPr>
          <w:p>
            <w:pPr>
              <w:spacing w:before="20" w:after="20" w:line="252" w:lineRule="auto"/>
              <w:ind w:firstLine="0"/>
              <w:jc w:val="left"/>
            </w:pPr>
            <w:r>
              <w:rPr>
                <w:sz w:val="24"/>
              </w:rPr>
              <w:t xml:space="preserve">38 đề tài giai đoạn 2021 - 2025; 19 đề tài được cấp tổng 424,75 triệu đồng, 16 đề tài chỉ quy đổi giờ, 3 đề tài tự tìm tài trợ</w:t>
            </w:r>
          </w:p>
        </w:tc>
        <w:tc>
          <w:tcPr>
            <w:tcW w:w="1909" w:type="dxa"/>
            <w:vAlign w:val="center"/>
          </w:tcPr>
          <w:p>
            <w:pPr>
              <w:spacing w:before="20" w:after="20" w:line="252" w:lineRule="auto"/>
              <w:ind w:firstLine="0"/>
              <w:jc w:val="left"/>
            </w:pPr>
            <w:r>
              <w:rPr>
                <w:sz w:val="24"/>
              </w:rPr>
              <w:t xml:space="preserve">Không có</w:t>
            </w:r>
          </w:p>
        </w:tc>
        <w:tc>
          <w:tcPr>
            <w:tcW w:w="2028" w:type="dxa"/>
            <w:vAlign w:val="center"/>
          </w:tcPr>
          <w:p>
            <w:pPr>
              <w:spacing w:before="20" w:after="20" w:line="252" w:lineRule="auto"/>
              <w:ind w:firstLine="0"/>
              <w:jc w:val="left"/>
            </w:pPr>
            <w:r>
              <w:rPr>
                <w:sz w:val="24"/>
              </w:rPr>
              <w:t xml:space="preserve">11 đề tài có sản phẩm đủ điều kiện, 1 đơn sáng chế</w:t>
            </w:r>
          </w:p>
        </w:tc>
      </w:tr>
      <w:tr>
        <w:trPr>
          <w:cantSplit/>
        </w:trPr>
        <w:tc>
          <w:tcPr>
            <w:tcW w:w="2148" w:type="dxa"/>
            <w:vAlign w:val="center"/>
          </w:tcPr>
          <w:p>
            <w:pPr>
              <w:spacing w:before="20" w:after="20" w:line="252" w:lineRule="auto"/>
              <w:ind w:firstLine="0"/>
              <w:jc w:val="left"/>
            </w:pPr>
            <w:r>
              <w:rPr>
                <w:sz w:val="24"/>
              </w:rPr>
              <w:t xml:space="preserve">Quỹ Học bổng sau tiến sĩ Ngô Xuân Độ</w:t>
            </w:r>
          </w:p>
        </w:tc>
        <w:tc>
          <w:tcPr>
            <w:tcW w:w="2983" w:type="dxa"/>
            <w:vAlign w:val="center"/>
          </w:tcPr>
          <w:p>
            <w:pPr>
              <w:spacing w:before="20" w:after="20" w:line="252" w:lineRule="auto"/>
              <w:ind w:firstLine="0"/>
              <w:jc w:val="left"/>
            </w:pPr>
            <w:r>
              <w:rPr>
                <w:sz w:val="24"/>
              </w:rPr>
              <w:t xml:space="preserve">Ngân sách 5 tỷ đồng giai đoạn 2025 - 2029; 10 đến 15 học bổng mỗi năm, mức 50 đến 500 triệu đồng</w:t>
            </w:r>
          </w:p>
        </w:tc>
        <w:tc>
          <w:tcPr>
            <w:tcW w:w="1909" w:type="dxa"/>
            <w:vAlign w:val="center"/>
          </w:tcPr>
          <w:p>
            <w:pPr>
              <w:spacing w:before="20" w:after="20" w:line="252" w:lineRule="auto"/>
              <w:ind w:firstLine="0"/>
              <w:jc w:val="left"/>
            </w:pPr>
            <w:r>
              <w:rPr>
                <w:sz w:val="24"/>
              </w:rPr>
              <w:t xml:space="preserve">Có, qua khoản chi phí khác tối đa bằng 50% chi trực tiếp</w:t>
            </w:r>
          </w:p>
        </w:tc>
        <w:tc>
          <w:tcPr>
            <w:tcW w:w="2028" w:type="dxa"/>
            <w:vAlign w:val="center"/>
          </w:tcPr>
          <w:p>
            <w:pPr>
              <w:spacing w:before="20" w:after="20" w:line="252" w:lineRule="auto"/>
              <w:ind w:firstLine="0"/>
              <w:jc w:val="left"/>
            </w:pPr>
            <w:r>
              <w:rPr>
                <w:sz w:val="24"/>
              </w:rPr>
              <w:t xml:space="preserve">Quỹ hoạt động từ năm 2025, chưa có kết quả</w:t>
            </w:r>
          </w:p>
        </w:tc>
      </w:tr>
      <w:tr>
        <w:trPr>
          <w:cantSplit/>
        </w:trPr>
        <w:tc>
          <w:tcPr>
            <w:tcW w:w="2148" w:type="dxa"/>
            <w:vAlign w:val="center"/>
          </w:tcPr>
          <w:p>
            <w:pPr>
              <w:spacing w:before="20" w:after="20" w:line="252" w:lineRule="auto"/>
              <w:ind w:firstLine="0"/>
              <w:jc w:val="left"/>
            </w:pPr>
            <w:r>
              <w:rPr>
                <w:sz w:val="24"/>
              </w:rPr>
              <w:t xml:space="preserve">Đề tài cấp quốc gia, Quỹ Phát triển khoa học và công nghệ quốc gia</w:t>
            </w:r>
          </w:p>
        </w:tc>
        <w:tc>
          <w:tcPr>
            <w:tcW w:w="2983" w:type="dxa"/>
            <w:vAlign w:val="center"/>
          </w:tcPr>
          <w:p>
            <w:pPr>
              <w:spacing w:before="20" w:after="20" w:line="252" w:lineRule="auto"/>
              <w:ind w:firstLine="0"/>
              <w:jc w:val="left"/>
            </w:pPr>
            <w:r>
              <w:rPr>
                <w:sz w:val="24"/>
              </w:rPr>
              <w:t xml:space="preserve">3 đề tài, tổng 4,67 tỷ đồng, giao năm 2024 và 2025</w:t>
            </w:r>
          </w:p>
        </w:tc>
        <w:tc>
          <w:tcPr>
            <w:tcW w:w="1909" w:type="dxa"/>
            <w:vAlign w:val="center"/>
          </w:tcPr>
          <w:p>
            <w:pPr>
              <w:spacing w:before="20" w:after="20" w:line="252" w:lineRule="auto"/>
              <w:ind w:firstLine="0"/>
              <w:jc w:val="left"/>
            </w:pPr>
            <w:r>
              <w:rPr>
                <w:sz w:val="24"/>
              </w:rPr>
              <w:t xml:space="preserve">Theo quy định của cơ quan tài trợ</w:t>
            </w:r>
          </w:p>
        </w:tc>
        <w:tc>
          <w:tcPr>
            <w:tcW w:w="2028" w:type="dxa"/>
            <w:vAlign w:val="center"/>
          </w:tcPr>
          <w:p>
            <w:pPr>
              <w:spacing w:before="20" w:after="20" w:line="252" w:lineRule="auto"/>
              <w:ind w:firstLine="0"/>
              <w:jc w:val="left"/>
            </w:pPr>
            <w:r>
              <w:rPr>
                <w:sz w:val="24"/>
              </w:rPr>
              <w:t xml:space="preserve">Đang thực hiện, chưa nghiệm thu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cấp cơ sở, danh mục đề tài cấp quốc gia và Điều lệ Quỹ Học bổng sau tiến sĩ Ngô Xuân Độ.</w:t>
      </w:r>
    </w:p>
    <w:p w14:paraId="48E95726" w14:textId="77777777" w:rsidR="005B561C" w:rsidRPr="000F7C87" w:rsidRDefault="00000000">
      <w:pPr>
        <w:rPr>
          <w:szCs w:val="26"/>
        </w:rPr>
      </w:pPr>
      <w:r w:rsidRPr="000F7C87">
        <w:rPr>
          <w:szCs w:val="26"/>
        </w:rPr>
        <w:t>Bảng 2.4 cho thấy nguồn lực không thiếu nhưng đặt chưa đúng chỗ. Quỹ Học bổng sau tiến sĩ Ngô Xuân Độ có ngân sách 5 tỷ đồng, có khoản chi phí khác đủ trang trải chi phí đăng ký và quy định rõ về đồng sở hữu văn bằng, nhưng chỉ dành cho nhà khoa học theo diện học bổng sau tiến sĩ. Đề tài cấp cơ sở, kênh duy nhất đến nay tạo ra sản phẩm đủ điều kiện xác lập quyền, chỉ được Nhà trường cấp 424,75 triệu đồng trong năm năm, bằng 8,5% ngân sách Quỹ, và không có dòng chi cho phí nộp đơn, phí duy trì hiệu lực. Điều 38 Quyết định 213 không có mục chi riêng cho lệ phí đăng ký; Điều 13 Quyết định 217 chỉ coi lệ phí xác lập quyền là khoản được trừ khi chia lợi ích, tức sau khi đã có doanh thu. Giữa hai kênh không có cơ chế chuyển tiếp.</w:t>
      </w:r>
    </w:p>
    <w:p w14:paraId="478B6AC7" w14:textId="77777777" w:rsidR="005B561C" w:rsidRPr="000F7C87" w:rsidRDefault="00000000">
      <w:pPr>
        <w:keepNext/>
        <w:spacing w:before="160" w:after="80"/>
        <w:ind w:firstLine="0"/>
        <w:jc w:val="center"/>
        <w:rPr>
          <w:szCs w:val="26"/>
        </w:rPr>
      </w:pPr>
      <w:r w:rsidRPr="000F7C87">
        <w:rPr>
          <w:b/>
          <w:szCs w:val="26"/>
        </w:rPr>
        <w:t>Hình 2.3. Số đề tài cấp cơ sở theo hình thức kinh phí và kinh phí Nhà trường cấp, giai đoạn 2021 - 2025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240000"/>
            <wp:effectExtent l="0" t="0" r="0" b="0"/>
            <wp:docPr id="503" name="Biểu đồ 503" descr="Hình 2.3. Số đề tài cấp cơ sở theo hình thức kinh phí và kinh phí Nhà trường cấp, giai đoạn 2021 - 2025"/>
            <wp:cNvGraphicFramePr/>
            <a:graphic>
              <a:graphicData uri="http://schemas.openxmlformats.org/drawingml/2006/chart">
                <c:chart r:id="rId10"/>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Đề tài xếp theo năm ghi trong mã số; kinh phí đơn vị triệu đồng.</w:t>
      </w:r>
    </w:p>
    <w:p w14:paraId="48E95726" w14:textId="77777777" w:rsidR="005B561C" w:rsidRPr="000F7C87" w:rsidRDefault="00000000">
      <w:pPr>
        <w:rPr>
          <w:szCs w:val="26"/>
        </w:rPr>
      </w:pPr>
      <w:r w:rsidRPr="000F7C87">
        <w:rPr>
          <w:szCs w:val="26"/>
        </w:rPr>
        <w:t>Hình 2.3 cho thấy cơ chế cấp kinh phí đề tài cấp cơ sở thay đổi sau năm 2022: toàn bộ 6 đề tài năm 2021 và 7 trên 10 đề tài năm 2022 chỉ được quy đổi giờ nghiên cứu; từ năm 2023, phần lớn đề tài được cấp tiền và tổng kinh phí đạt 145 triệu đồng năm 2025. Mức cấp phân tán mạnh, trung vị 8,5 triệu đồng, cao nhất 80 triệu đồng. Đáng chú ý, cả 11 đề tài có sản phẩm đủ điều kiện xác lập quyền đều thuộc nhóm 19 đề tài được cấp tiền và dùng 396,75 triệu đồng, tức 93,4% tổng kinh phí. Kinh phí bằng tiền là điều kiện cần để tạo ra sản phẩm có thể bảo hộ, nhưng chỉ đủ tạo ra sản phẩm, không có phần cho bước đăng ký.</w:t>
      </w:r>
    </w:p>
    <w:p w14:paraId="48E95726" w14:textId="77777777" w:rsidR="005B561C" w:rsidRPr="000F7C87" w:rsidRDefault="00000000">
      <w:pPr>
        <w:rPr>
          <w:szCs w:val="26"/>
        </w:rPr>
      </w:pPr>
      <w:r w:rsidRPr="000F7C87">
        <w:rPr>
          <w:szCs w:val="26"/>
        </w:rPr>
        <w:t>Về khuyến khích, Quy chế chi tiêu nội bộ năm 2026 quy định kinh phí xét duyệt không quá 50 triệu đồng cho đề tài có đăng ký sở hữu trí tuệ và quy đổi giờ nghiên cứu cho văn bằng, với điều kiện đã có chứng nhận đăng ký thành công. Định mức này được đặt cạnh chế độ dành cho công bố tại hình dưới đây.</w:t>
      </w:r>
    </w:p>
    <w:p w14:paraId="478B6AC7" w14:textId="77777777" w:rsidR="005B561C" w:rsidRPr="000F7C87" w:rsidRDefault="00000000">
      <w:pPr>
        <w:keepNext/>
        <w:spacing w:before="160" w:after="80"/>
        <w:ind w:firstLine="0"/>
        <w:jc w:val="center"/>
        <w:rPr>
          <w:szCs w:val="26"/>
        </w:rPr>
      </w:pPr>
      <w:r w:rsidRPr="000F7C87">
        <w:rPr>
          <w:b/>
          <w:szCs w:val="26"/>
        </w:rPr>
        <w:t>Hình 2.4. Giờ nghiên cứu quy đổi và mức thưởng bằng tiền theo loại sản phẩm khoa học</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04" name="Biểu đồ 504" descr="Hình 2.4. Giờ nghiên cứu quy đổi và mức thưởng bằng tiền theo loại sản phẩm khoa học"/>
            <wp:cNvGraphicFramePr/>
            <a:graphic>
              <a:graphicData uri="http://schemas.openxmlformats.org/drawingml/2006/chart">
                <c:chart r:id="rId11"/>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6 và Bảng 7, Quy chế chi tiêu nội bộ Trường Đại học Thành Đô ban hành ngày 01 tháng 8 năm 2026. Sáng chế chuẩn quốc tế là bằng độc quyền theo chuẩn Mỹ, châu Âu, Đông Bắc Á; sáng chế chuẩn Việt Nam là bằng độc quyền theo chuẩn Việt Nam, Trung Quốc, ASEAN. Mức thưởng là tổng tiền thưởng cho một bài báo.</w:t>
      </w:r>
    </w:p>
    <w:p w14:paraId="48E95726" w14:textId="77777777" w:rsidR="005B561C" w:rsidRPr="000F7C87" w:rsidRDefault="00000000">
      <w:pPr>
        <w:rPr>
          <w:szCs w:val="26"/>
        </w:rPr>
      </w:pPr>
      <w:r w:rsidRPr="000F7C87">
        <w:rPr>
          <w:szCs w:val="26"/>
        </w:rPr>
        <w:t>Hình 2.4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thường từ hai đến ba năm sau khi nộp đơn. Với cùng một kết quả nghiên cứu, lựa chọn hợp lý của giảng viên là công bố trước. Theo khoản 3 và khoản 4 Điều 60 Luật Sở hữu trí tuệ, đơn phải được nộp trong thời hạn mười hai tháng kể từ ngày bộc lộ thì sáng chế mới không bị coi là mất tính mới. Cấu trúc khuyến khích này phù hợp với việc công bố tăng mạnh trong khi đơn đăng ký hầu như vắng mặt.</w:t>
      </w:r>
    </w:p>
    <w:p w14:paraId="0DE297E1" w14:textId="77777777" w:rsidR="005B561C" w:rsidRPr="000F7C87" w:rsidRDefault="00000000">
      <w:pPr>
        <w:keepNext/>
        <w:spacing w:before="200" w:after="100"/>
        <w:ind w:firstLine="0"/>
        <w:outlineLvl w:val="2"/>
        <w:rPr>
          <w:szCs w:val="26"/>
        </w:rPr>
      </w:pPr>
      <w:r w:rsidRPr="000F7C87">
        <w:rPr>
          <w:b/>
          <w:szCs w:val="26"/>
        </w:rPr>
        <w:t>2.2.4. Hệ thống dữ liệu phục vụ quản lý</w:t>
      </w:r>
    </w:p>
    <w:p w14:paraId="48E95726" w14:textId="77777777" w:rsidR="005B561C" w:rsidRPr="000F7C87" w:rsidRDefault="00000000">
      <w:pPr>
        <w:rPr>
          <w:szCs w:val="26"/>
        </w:rPr>
      </w:pPr>
      <w:r w:rsidRPr="000F7C87">
        <w:rPr>
          <w:szCs w:val="26"/>
        </w:rPr>
        <w:t>Hệ thống thống kê của Phòng Khoa học Công nghệ chỉ theo dõi bài báo, sách, giáo trình, đề tài và tham luận; không có danh mục nào theo dõi tài sản trí tuệ đã đăng ký hoặc được cấp văn bằng, dù Điều 11 Quyết định 217 giao Phòng nhiệm vụ này. Danh mục tài sản trí tuệ hiện có do bộ phận quản trị thương hiệu lập và không liên kết với các danh mục trên. Mức độ khai báo trong hồ sơ nghiệm thu thấp: 26 trên 38 đề tài khai tổng cộng 32 công bố, trong khi phép so khớp gắn được 107 bài báo với các đề tài, tức độ phủ khoảng 29,9%. Nếu bài báo, loại sản phẩm dễ nhận diện nhất, còn khai thiếu thì công thức, quy trình càng ít khả năng được ghi nhận. Dữ liệu cũng chưa chuẩn hóa: tên đơn vị ghi nhiều cách, danh mục bài báo không có trường đơn vị, biểu mẫu giáo trình năm 2021 khác các năm sau.</w:t>
      </w:r>
    </w:p>
    <w:p w14:paraId="478B6AC7" w14:textId="77777777" w:rsidR="005B561C" w:rsidRPr="000F7C87" w:rsidRDefault="00000000">
      <w:pPr>
        <w:keepNext/>
        <w:spacing w:before="160" w:after="80"/>
        <w:ind w:firstLine="0"/>
        <w:jc w:val="center"/>
        <w:rPr>
          <w:szCs w:val="26"/>
        </w:rPr>
      </w:pPr>
      <w:r w:rsidRPr="000F7C87">
        <w:rPr>
          <w:b/>
          <w:szCs w:val="26"/>
        </w:rPr>
        <w:t>Hình 2.5. Khả năng tính toán bộ tiêu chí đánh giá hiệu quả quản lý quyền sở hữu trí tuệ từ dữ liệu hiện có</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5" name="Biểu đồ 505" descr="Hình 2.5. Khả năng tính toán bộ tiêu chí đánh giá hiệu quả quản lý quyền sở hữu trí tuệ từ dữ liệu hiện có"/>
            <wp:cNvGraphicFramePr/>
            <a:graphic>
              <a:graphicData uri="http://schemas.openxmlformats.org/drawingml/2006/chart">
                <c:chart r:id="rId12"/>
              </a:graphicData>
            </a:graphic>
          </wp:inline>
        </w:drawing>
      </w:r>
    </w:p>
    <w:p w14:paraId="645FDCAF" w14:textId="77777777" w:rsidR="005B561C" w:rsidRPr="000F7C87" w:rsidRDefault="00000000">
      <w:pPr>
        <w:spacing w:after="160"/>
        <w:ind w:firstLine="0"/>
        <w:rPr>
          <w:szCs w:val="26"/>
        </w:rPr>
      </w:pPr>
      <w:r w:rsidRPr="000F7C87">
        <w:rPr>
          <w:i/>
          <w:szCs w:val="26"/>
        </w:rPr>
        <w:t>Nguồn: Đánh giá của nhóm nghiên cứu đối với 16 tiêu chí tại Mục 1.4.2, căn cứ vào các danh mục và văn bản hiện có của Trường Đại học Thành Đô. Chi tiết từng tiêu chí tại tệp dữ liệu kèm theo.</w:t>
      </w:r>
    </w:p>
    <w:p w14:paraId="48E95726" w14:textId="77777777" w:rsidR="005B561C" w:rsidRPr="000F7C87" w:rsidRDefault="00000000">
      <w:pPr>
        <w:rPr>
          <w:szCs w:val="26"/>
        </w:rPr>
      </w:pPr>
      <w:r w:rsidRPr="000F7C87">
        <w:rPr>
          <w:szCs w:val="26"/>
        </w:rPr>
        <w:t>Hình 2.5 lượng hóa hệ quả: trong 16 tiêu chí đánh giá hiệu quả quản lý quyền sở hữu trí tuệ xây dựng tại Mục 1.4.2, chỉ 5 tiêu chí tính được đầy đủ, 4 tiêu chí tính được một phần và 7 tiêu chí chưa tính được; nhóm kết quả không có tiêu chí nào tính được đầy đủ. Nhà trường đo được đã xác lập bao nhiêu quyền nhưng chưa đo được quyền mang lại giá trị gì. Đây lại là nhóm thông tin phải công khai theo điểm đ khoản 3 Điều 28 Luật Giáo dục đại học số 125/2025/QH15.</w:t>
      </w:r>
    </w:p>
    <w:p w14:paraId="6067EC56" w14:textId="77777777" w:rsidR="005B561C" w:rsidRPr="000F7C87" w:rsidRDefault="00000000">
      <w:pPr>
        <w:keepNext/>
        <w:spacing w:before="280" w:after="160"/>
        <w:ind w:firstLine="0"/>
        <w:outlineLvl w:val="1"/>
        <w:rPr>
          <w:szCs w:val="26"/>
        </w:rPr>
      </w:pPr>
      <w:r w:rsidRPr="000F7C87">
        <w:rPr>
          <w:b/>
          <w:szCs w:val="26"/>
        </w:rPr>
        <w:t>2.3. Thực trạng tạo lập, xác lập và bảo vệ quyền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2.3.1. Đối sánh giữa quy định pháp luật, quy chế nội bộ và thực tế phát sinh</w:t>
      </w:r>
    </w:p>
    <w:p w14:paraId="48E95726" w14:textId="77777777" w:rsidR="005B561C" w:rsidRPr="000F7C87" w:rsidRDefault="00000000">
      <w:pPr>
        <w:rPr>
          <w:szCs w:val="26"/>
        </w:rPr>
      </w:pPr>
      <w:r w:rsidRPr="000F7C87">
        <w:rPr>
          <w:szCs w:val="26"/>
        </w:rPr>
        <w:t>Bảng 2.5 đối sánh ba lớp: đối tượng quyền theo Luật Sở hữu trí tuệ, tài sản được liệt kê tại Điều 34 Quyết định 213 và Điều 3 Quyết định 217, và thực tế phát sinh giai đoạn 2021 - 2025.</w:t>
      </w:r>
    </w:p>
    <w:p w14:paraId="478B6AC7" w14:textId="77777777" w:rsidR="005B561C" w:rsidRPr="000F7C87" w:rsidRDefault="00000000">
      <w:pPr>
        <w:keepNext/>
        <w:spacing w:before="160" w:after="80"/>
        <w:ind w:firstLine="0"/>
        <w:jc w:val="center"/>
        <w:rPr>
          <w:szCs w:val="26"/>
        </w:rPr>
      </w:pPr>
      <w:r w:rsidRPr="000F7C87">
        <w:rPr>
          <w:b/>
          <w:szCs w:val="26"/>
        </w:rPr>
        <w:t>Bảng 2.5.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31"/>
        <w:gridCol w:w="2238"/>
        <w:gridCol w:w="1531"/>
        <w:gridCol w:w="2238"/>
        <w:gridCol w:w="1531"/>
      </w:tblGrid>
      <w:tr>
        <w:trPr>
          <w:cantSplit/>
          <w:tblHeader/>
        </w:trPr>
        <w:tc>
          <w:tcPr>
            <w:tcW w:w="1531" w:type="dxa"/>
            <w:shd w:val="clear" w:color="auto" w:fill="DCE8F7"/>
            <w:vAlign w:val="center"/>
          </w:tcPr>
          <w:p>
            <w:pPr>
              <w:spacing w:before="20" w:after="20" w:line="252" w:lineRule="auto"/>
              <w:ind w:firstLine="0"/>
              <w:jc w:val="center"/>
            </w:pPr>
            <w:r>
              <w:rPr>
                <w:b/>
                <w:sz w:val="24"/>
              </w:rPr>
              <w:t xml:space="preserve">Nhóm quyền</w:t>
            </w:r>
          </w:p>
        </w:tc>
        <w:tc>
          <w:tcPr>
            <w:tcW w:w="2238" w:type="dxa"/>
            <w:shd w:val="clear" w:color="auto" w:fill="DCE8F7"/>
            <w:vAlign w:val="center"/>
          </w:tcPr>
          <w:p>
            <w:pPr>
              <w:spacing w:before="20" w:after="20" w:line="252" w:lineRule="auto"/>
              <w:ind w:firstLine="0"/>
              <w:jc w:val="center"/>
            </w:pPr>
            <w:r>
              <w:rPr>
                <w:b/>
                <w:sz w:val="24"/>
              </w:rPr>
              <w:t xml:space="preserve">Đối tượng</w:t>
            </w:r>
          </w:p>
        </w:tc>
        <w:tc>
          <w:tcPr>
            <w:tcW w:w="1531" w:type="dxa"/>
            <w:shd w:val="clear" w:color="auto" w:fill="DCE8F7"/>
            <w:vAlign w:val="center"/>
          </w:tcPr>
          <w:p>
            <w:pPr>
              <w:spacing w:before="20" w:after="20" w:line="252" w:lineRule="auto"/>
              <w:ind w:firstLine="0"/>
              <w:jc w:val="center"/>
            </w:pPr>
            <w:r>
              <w:rPr>
                <w:b/>
                <w:sz w:val="24"/>
              </w:rPr>
              <w:t xml:space="preserve">Quy chế có liệt kê</w:t>
            </w:r>
          </w:p>
        </w:tc>
        <w:tc>
          <w:tcPr>
            <w:tcW w:w="2238" w:type="dxa"/>
            <w:shd w:val="clear" w:color="auto" w:fill="DCE8F7"/>
            <w:vAlign w:val="center"/>
          </w:tcPr>
          <w:p>
            <w:pPr>
              <w:spacing w:before="20" w:after="20" w:line="252" w:lineRule="auto"/>
              <w:ind w:firstLine="0"/>
              <w:jc w:val="center"/>
            </w:pPr>
            <w:r>
              <w:rPr>
                <w:b/>
                <w:sz w:val="24"/>
              </w:rPr>
              <w:t xml:space="preserve">Thực tế phát sinh</w:t>
            </w:r>
          </w:p>
        </w:tc>
        <w:tc>
          <w:tcPr>
            <w:tcW w:w="1531" w:type="dxa"/>
            <w:shd w:val="clear" w:color="auto" w:fill="DCE8F7"/>
            <w:vAlign w:val="center"/>
          </w:tcPr>
          <w:p>
            <w:pPr>
              <w:spacing w:before="20" w:after="20" w:line="252" w:lineRule="auto"/>
              <w:ind w:firstLine="0"/>
              <w:jc w:val="center"/>
            </w:pPr>
            <w:r>
              <w:rPr>
                <w:b/>
                <w:sz w:val="24"/>
              </w:rPr>
              <w:t xml:space="preserve">Đã xác lập quyền</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Bài báo, sách</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405 bài báo, 12 sách</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Giáo trình, tài liệu giảng dạy</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87 tài liệu</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Chương trình đào tạo, ngân hàng đề thi, phần mềm</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Chưa thống kê</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Sưu tập dữ liệu</w:t>
            </w:r>
          </w:p>
        </w:tc>
        <w:tc>
          <w:tcPr>
            <w:tcW w:w="1531" w:type="dxa"/>
            <w:vAlign w:val="center"/>
          </w:tcPr>
          <w:p>
            <w:pPr>
              <w:spacing w:before="20" w:after="20" w:line="252" w:lineRule="auto"/>
              <w:ind w:firstLine="0"/>
              <w:jc w:val="left"/>
            </w:pPr>
            <w:r>
              <w:rPr>
                <w:sz w:val="24"/>
              </w:rPr>
              <w:t xml:space="preserve">Có, tại Quyết định 217</w:t>
            </w:r>
          </w:p>
        </w:tc>
        <w:tc>
          <w:tcPr>
            <w:tcW w:w="2238" w:type="dxa"/>
            <w:vAlign w:val="center"/>
          </w:tcPr>
          <w:p>
            <w:pPr>
              <w:spacing w:before="20" w:after="20" w:line="252" w:lineRule="auto"/>
              <w:ind w:firstLine="0"/>
              <w:jc w:val="left"/>
            </w:pPr>
            <w:r>
              <w:rPr>
                <w:sz w:val="24"/>
              </w:rPr>
              <w:t xml:space="preserve">Bộ mẫu cây thuốc, bộ tiêu bản</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Quyền tác giả</w:t>
            </w:r>
          </w:p>
        </w:tc>
        <w:tc>
          <w:tcPr>
            <w:tcW w:w="2238" w:type="dxa"/>
            <w:vAlign w:val="center"/>
          </w:tcPr>
          <w:p>
            <w:pPr>
              <w:spacing w:before="20" w:after="20" w:line="252" w:lineRule="auto"/>
              <w:ind w:firstLine="0"/>
              <w:jc w:val="left"/>
            </w:pPr>
            <w:r>
              <w:rPr>
                <w:sz w:val="24"/>
              </w:rPr>
              <w:t xml:space="preserve">Logo, bộ nhận diện</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văn bằng</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Sáng chế</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đơn đang xử lý</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Giải pháp hữu ích</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Công thức, quy trình từ đề tài</w:t>
            </w:r>
          </w:p>
        </w:tc>
        <w:tc>
          <w:tcPr>
            <w:tcW w:w="1531" w:type="dxa"/>
            <w:vAlign w:val="center"/>
          </w:tcPr>
          <w:p>
            <w:pPr>
              <w:spacing w:before="20" w:after="20" w:line="252" w:lineRule="auto"/>
              <w:ind w:firstLine="0"/>
              <w:jc w:val="left"/>
            </w:pPr>
            <w:r>
              <w:rPr>
                <w:sz w:val="24"/>
              </w:rPr>
              <w:t xml:space="preserve">Chưa</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Kiểu dáng công nghiệp</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5 văn bằng</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Nhãn hiệu</w:t>
            </w:r>
          </w:p>
        </w:tc>
        <w:tc>
          <w:tcPr>
            <w:tcW w:w="1531" w:type="dxa"/>
            <w:vAlign w:val="center"/>
          </w:tcPr>
          <w:p>
            <w:pPr>
              <w:spacing w:before="20" w:after="20" w:line="252" w:lineRule="auto"/>
              <w:ind w:firstLine="0"/>
              <w:jc w:val="left"/>
            </w:pPr>
            <w:r>
              <w:rPr>
                <w:sz w:val="24"/>
              </w:rPr>
              <w:t xml:space="preserve">Có</w:t>
            </w:r>
          </w:p>
        </w:tc>
        <w:tc>
          <w:tcPr>
            <w:tcW w:w="2238" w:type="dxa"/>
            <w:vAlign w:val="center"/>
          </w:tcPr>
          <w:p>
            <w:pPr>
              <w:spacing w:before="20" w:after="20" w:line="252" w:lineRule="auto"/>
              <w:ind w:firstLine="0"/>
              <w:jc w:val="left"/>
            </w:pPr>
            <w:r>
              <w:rPr>
                <w:sz w:val="24"/>
              </w:rPr>
              <w:t xml:space="preserve">Có</w:t>
            </w:r>
          </w:p>
        </w:tc>
        <w:tc>
          <w:tcPr>
            <w:tcW w:w="1531" w:type="dxa"/>
            <w:vAlign w:val="center"/>
          </w:tcPr>
          <w:p>
            <w:pPr>
              <w:spacing w:before="20" w:after="20" w:line="252" w:lineRule="auto"/>
              <w:ind w:firstLine="0"/>
              <w:jc w:val="left"/>
            </w:pPr>
            <w:r>
              <w:rPr>
                <w:sz w:val="24"/>
              </w:rPr>
              <w:t xml:space="preserve">2 văn bằng, 1 đơn</w:t>
            </w:r>
          </w:p>
        </w:tc>
      </w:tr>
      <w:tr>
        <w:trPr>
          <w:cantSplit/>
        </w:trPr>
        <w:tc>
          <w:tcPr>
            <w:tcW w:w="1531" w:type="dxa"/>
            <w:vAlign w:val="center"/>
          </w:tcPr>
          <w:p>
            <w:pPr>
              <w:spacing w:before="20" w:after="20" w:line="252" w:lineRule="auto"/>
              <w:ind w:firstLine="0"/>
              <w:jc w:val="left"/>
            </w:pPr>
            <w:r>
              <w:rPr>
                <w:sz w:val="24"/>
              </w:rPr>
              <w:t xml:space="preserve">Sở hữu công nghiệp</w:t>
            </w:r>
          </w:p>
        </w:tc>
        <w:tc>
          <w:tcPr>
            <w:tcW w:w="2238" w:type="dxa"/>
            <w:vAlign w:val="center"/>
          </w:tcPr>
          <w:p>
            <w:pPr>
              <w:spacing w:before="20" w:after="20" w:line="252" w:lineRule="auto"/>
              <w:ind w:firstLine="0"/>
              <w:jc w:val="left"/>
            </w:pPr>
            <w:r>
              <w:rPr>
                <w:sz w:val="24"/>
              </w:rPr>
              <w:t xml:space="preserve">Bí mật kinh doanh</w:t>
            </w:r>
          </w:p>
        </w:tc>
        <w:tc>
          <w:tcPr>
            <w:tcW w:w="1531" w:type="dxa"/>
            <w:vAlign w:val="center"/>
          </w:tcPr>
          <w:p>
            <w:pPr>
              <w:spacing w:before="20" w:after="20" w:line="252" w:lineRule="auto"/>
              <w:ind w:firstLine="0"/>
              <w:jc w:val="left"/>
            </w:pPr>
            <w:r>
              <w:rPr>
                <w:sz w:val="24"/>
              </w:rPr>
              <w:t xml:space="preserve">Có, tại Quyết định 217</w:t>
            </w:r>
          </w:p>
        </w:tc>
        <w:tc>
          <w:tcPr>
            <w:tcW w:w="2238" w:type="dxa"/>
            <w:vAlign w:val="center"/>
          </w:tcPr>
          <w:p>
            <w:pPr>
              <w:spacing w:before="20" w:after="20" w:line="252" w:lineRule="auto"/>
              <w:ind w:firstLine="0"/>
              <w:jc w:val="left"/>
            </w:pPr>
            <w:r>
              <w:rPr>
                <w:sz w:val="24"/>
              </w:rPr>
              <w:t xml:space="preserve">Công thức chưa công bố</w:t>
            </w:r>
          </w:p>
        </w:tc>
        <w:tc>
          <w:tcPr>
            <w:tcW w:w="1531" w:type="dxa"/>
            <w:vAlign w:val="center"/>
          </w:tcPr>
          <w:p>
            <w:pPr>
              <w:spacing w:before="20" w:after="20" w:line="252" w:lineRule="auto"/>
              <w:ind w:firstLine="0"/>
              <w:jc w:val="left"/>
            </w:pPr>
            <w:r>
              <w:rPr>
                <w:sz w:val="24"/>
              </w:rPr>
              <w:t xml:space="preserve">Không áp dụng đăng ký</w:t>
            </w:r>
          </w:p>
        </w:tc>
      </w:tr>
    </w:tbl>
    <w:p w14:paraId="645FDCAF" w14:textId="77777777" w:rsidR="005B561C" w:rsidRPr="000F7C87" w:rsidRDefault="00000000">
      <w:pPr>
        <w:spacing w:after="160"/>
        <w:ind w:firstLine="0"/>
        <w:rPr>
          <w:szCs w:val="26"/>
        </w:rPr>
      </w:pPr>
      <w:r w:rsidRPr="000F7C87">
        <w:rPr>
          <w:i/>
          <w:szCs w:val="26"/>
        </w:rPr>
        <w:t>Nguồn: Nhóm nghiên cứu tổng hợp từ Luật Sở hữu trí tuệ, Quyết định 213, Quyết định 217 và các danh mục của Trường Đại học Thành Đô. Bảng không liệt kê quyền liên quan, thiết kế bố trí, chỉ dẫn địa lý và giống cây trồng do chưa phát sinh hoặc không thuộc phạm vi hoạt động của Nhà trường.</w:t>
      </w:r>
    </w:p>
    <w:p w14:paraId="48E95726" w14:textId="77777777" w:rsidR="005B561C" w:rsidRPr="000F7C87" w:rsidRDefault="00000000">
      <w:pPr>
        <w:rPr>
          <w:szCs w:val="26"/>
        </w:rPr>
      </w:pPr>
      <w:r w:rsidRPr="000F7C87">
        <w:rPr>
          <w:szCs w:val="26"/>
        </w:rPr>
        <w:t>Bảng 2.5 cho thấy Nhà trường phát sinh tài sản ở nhiều nhóm đối tượng nhưng mới xác lập quyền ở bốn nhóm, trong đó ba nhóm đã có văn bằng. Giải pháp hữu ích và sưu tập dữ liệu, hai nhóm mà sản phẩm đề tài cấp cơ sở rơi vào nhiều nhất, đều đã có trong quy chế nhưng chưa sản phẩm nào được xác lập quyền; giáo trình, nhóm có khả năng khai thác trong đào tạo, chưa được đăng ký quyền tác giả. Khoảng trống vì vậy nằm ở khâu nhận diện, không nằm ở phạm vi văn bản.</w:t>
      </w:r>
    </w:p>
    <w:p w14:paraId="0DE297E1" w14:textId="77777777" w:rsidR="005B561C" w:rsidRPr="000F7C87" w:rsidRDefault="00000000">
      <w:pPr>
        <w:keepNext/>
        <w:spacing w:before="200" w:after="100"/>
        <w:ind w:firstLine="0"/>
        <w:outlineLvl w:val="2"/>
        <w:rPr>
          <w:szCs w:val="26"/>
        </w:rPr>
      </w:pPr>
      <w:r w:rsidRPr="000F7C87">
        <w:rPr>
          <w:b/>
          <w:szCs w:val="26"/>
        </w:rPr>
        <w:t>2.3.2. Tài sản trí tuệ đã được xác lập quyền</w:t>
      </w:r>
    </w:p>
    <w:p w14:paraId="48E95726" w14:textId="77777777" w:rsidR="005B561C" w:rsidRPr="000F7C87" w:rsidRDefault="00000000">
      <w:pPr>
        <w:rPr>
          <w:szCs w:val="26"/>
        </w:rPr>
      </w:pPr>
      <w:r w:rsidRPr="000F7C87">
        <w:rPr>
          <w:szCs w:val="26"/>
        </w:rPr>
        <w:t>Đến thời điểm nghiên cứu, Nhà trường sở hữu 12 tài sản trí tuệ đã được xác lập quyền hoặc đang xử lý đơn, được liệt kê tại Bảng 2.6.</w:t>
      </w:r>
    </w:p>
    <w:p w14:paraId="478B6AC7" w14:textId="77777777" w:rsidR="005B561C" w:rsidRPr="000F7C87" w:rsidRDefault="00000000">
      <w:pPr>
        <w:keepNext/>
        <w:spacing w:before="160" w:after="80"/>
        <w:ind w:firstLine="0"/>
        <w:jc w:val="center"/>
        <w:rPr>
          <w:szCs w:val="26"/>
        </w:rPr>
      </w:pPr>
      <w:r w:rsidRPr="000F7C87">
        <w:rPr>
          <w:b/>
          <w:szCs w:val="26"/>
        </w:rPr>
        <w:t>Bảng 2.6. Tài sản trí tuệ thuộc sở hữu của Trường Đại học Thành Đô</w:t>
      </w:r>
    </w:p>
    <w:tbl>
      <w:tblPr>
        <w:tblStyle w:val="TableGrid"/>
        <w:tblW w:w="0" w:type="auto"/>
        <w:jc w:val="center"/>
        <w:tblLook w:val="04A0" w:firstRow="1" w:lastRow="0" w:firstColumn="1" w:lastColumn="0" w:noHBand="0" w:noVBand="1"/>
      </w:tblPr>
      <w:tblGrid>
        <w:gridCol w:w="566"/>
        <w:gridCol w:w="1360"/>
        <w:gridCol w:w="2380"/>
        <w:gridCol w:w="793"/>
        <w:gridCol w:w="1190"/>
        <w:gridCol w:w="1417"/>
        <w:gridCol w:w="1360"/>
      </w:tblGrid>
      <w:tr>
        <w:trPr>
          <w:cantSplit/>
          <w:tblHeader/>
        </w:trPr>
        <w:tc>
          <w:tcPr>
            <w:tcW w:w="566" w:type="dxa"/>
            <w:shd w:val="clear" w:color="auto" w:fill="DCE8F7"/>
            <w:vAlign w:val="center"/>
          </w:tcPr>
          <w:p>
            <w:pPr>
              <w:spacing w:before="20" w:after="20" w:line="252" w:lineRule="auto"/>
              <w:ind w:firstLine="0"/>
              <w:jc w:val="center"/>
            </w:pPr>
            <w:r>
              <w:rPr>
                <w:b/>
                <w:sz w:val="24"/>
              </w:rPr>
              <w:t xml:space="preserve">TT</w:t>
            </w:r>
          </w:p>
        </w:tc>
        <w:tc>
          <w:tcPr>
            <w:tcW w:w="1360" w:type="dxa"/>
            <w:shd w:val="clear" w:color="auto" w:fill="DCE8F7"/>
            <w:vAlign w:val="center"/>
          </w:tcPr>
          <w:p>
            <w:pPr>
              <w:spacing w:before="20" w:after="20" w:line="252" w:lineRule="auto"/>
              <w:ind w:firstLine="0"/>
              <w:jc w:val="center"/>
            </w:pPr>
            <w:r>
              <w:rPr>
                <w:b/>
                <w:sz w:val="24"/>
              </w:rPr>
              <w:t xml:space="preserve">Loại hình</w:t>
            </w:r>
          </w:p>
        </w:tc>
        <w:tc>
          <w:tcPr>
            <w:tcW w:w="2380" w:type="dxa"/>
            <w:shd w:val="clear" w:color="auto" w:fill="DCE8F7"/>
            <w:vAlign w:val="center"/>
          </w:tcPr>
          <w:p>
            <w:pPr>
              <w:spacing w:before="20" w:after="20" w:line="252" w:lineRule="auto"/>
              <w:ind w:firstLine="0"/>
              <w:jc w:val="center"/>
            </w:pPr>
            <w:r>
              <w:rPr>
                <w:b/>
                <w:sz w:val="24"/>
              </w:rPr>
              <w:t xml:space="preserve">Tên tài sản</w:t>
            </w:r>
          </w:p>
        </w:tc>
        <w:tc>
          <w:tcPr>
            <w:tcW w:w="793" w:type="dxa"/>
            <w:shd w:val="clear" w:color="auto" w:fill="DCE8F7"/>
            <w:vAlign w:val="center"/>
          </w:tcPr>
          <w:p>
            <w:pPr>
              <w:spacing w:before="20" w:after="20" w:line="252" w:lineRule="auto"/>
              <w:ind w:firstLine="0"/>
              <w:jc w:val="center"/>
            </w:pPr>
            <w:r>
              <w:rPr>
                <w:b/>
                <w:sz w:val="24"/>
              </w:rPr>
              <w:t xml:space="preserve">Năm</w:t>
            </w:r>
          </w:p>
        </w:tc>
        <w:tc>
          <w:tcPr>
            <w:tcW w:w="1190" w:type="dxa"/>
            <w:shd w:val="clear" w:color="auto" w:fill="DCE8F7"/>
            <w:vAlign w:val="center"/>
          </w:tcPr>
          <w:p>
            <w:pPr>
              <w:spacing w:before="20" w:after="20" w:line="252" w:lineRule="auto"/>
              <w:ind w:firstLine="0"/>
              <w:jc w:val="center"/>
            </w:pPr>
            <w:r>
              <w:rPr>
                <w:b/>
                <w:sz w:val="24"/>
              </w:rPr>
              <w:t xml:space="preserve">Trạng thái</w:t>
            </w:r>
          </w:p>
        </w:tc>
        <w:tc>
          <w:tcPr>
            <w:tcW w:w="1417" w:type="dxa"/>
            <w:shd w:val="clear" w:color="auto" w:fill="DCE8F7"/>
            <w:vAlign w:val="center"/>
          </w:tcPr>
          <w:p>
            <w:pPr>
              <w:spacing w:before="20" w:after="20" w:line="252" w:lineRule="auto"/>
              <w:ind w:firstLine="0"/>
              <w:jc w:val="center"/>
            </w:pPr>
            <w:r>
              <w:rPr>
                <w:b/>
                <w:sz w:val="24"/>
              </w:rPr>
              <w:t xml:space="preserve">Cơ cấu sở hữu</w:t>
            </w:r>
          </w:p>
        </w:tc>
        <w:tc>
          <w:tcPr>
            <w:tcW w:w="1360" w:type="dxa"/>
            <w:shd w:val="clear" w:color="auto" w:fill="DCE8F7"/>
            <w:vAlign w:val="center"/>
          </w:tcPr>
          <w:p>
            <w:pPr>
              <w:spacing w:before="20" w:after="20" w:line="252" w:lineRule="auto"/>
              <w:ind w:firstLine="0"/>
              <w:jc w:val="center"/>
            </w:pPr>
            <w:r>
              <w:rPr>
                <w:b/>
                <w:sz w:val="24"/>
              </w:rPr>
              <w:t xml:space="preserve">Nguồn hình thành</w:t>
            </w:r>
          </w:p>
        </w:tc>
      </w:tr>
      <w:tr>
        <w:trPr>
          <w:cantSplit/>
        </w:trPr>
        <w:tc>
          <w:tcPr>
            <w:tcW w:w="566" w:type="dxa"/>
            <w:vAlign w:val="center"/>
          </w:tcPr>
          <w:p>
            <w:pPr>
              <w:spacing w:before="20" w:after="20" w:line="252" w:lineRule="auto"/>
              <w:ind w:firstLine="0"/>
              <w:jc w:val="center"/>
            </w:pPr>
            <w:r>
              <w:rPr>
                <w:sz w:val="24"/>
              </w:rPr>
              <w:t xml:space="preserve">1</w:t>
            </w:r>
          </w:p>
        </w:tc>
        <w:tc>
          <w:tcPr>
            <w:tcW w:w="1360" w:type="dxa"/>
            <w:vAlign w:val="center"/>
          </w:tcPr>
          <w:p>
            <w:pPr>
              <w:spacing w:before="20" w:after="20" w:line="252" w:lineRule="auto"/>
              <w:ind w:firstLine="0"/>
              <w:jc w:val="left"/>
            </w:pPr>
            <w:r>
              <w:rPr>
                <w:sz w:val="24"/>
              </w:rPr>
              <w:t xml:space="preserve">Quyền tác giả</w:t>
            </w:r>
          </w:p>
        </w:tc>
        <w:tc>
          <w:tcPr>
            <w:tcW w:w="2380" w:type="dxa"/>
            <w:vAlign w:val="center"/>
          </w:tcPr>
          <w:p>
            <w:pPr>
              <w:spacing w:before="20" w:after="20" w:line="252" w:lineRule="auto"/>
              <w:ind w:firstLine="0"/>
              <w:jc w:val="left"/>
            </w:pPr>
            <w:r>
              <w:rPr>
                <w:sz w:val="24"/>
              </w:rPr>
              <w:t xml:space="preserve">Bộ Logo Trường Đại học Thành Đô</w:t>
            </w:r>
          </w:p>
        </w:tc>
        <w:tc>
          <w:tcPr>
            <w:tcW w:w="793" w:type="dxa"/>
            <w:vAlign w:val="center"/>
          </w:tcPr>
          <w:p>
            <w:pPr>
              <w:spacing w:before="20" w:after="20" w:line="252" w:lineRule="auto"/>
              <w:ind w:firstLine="0"/>
              <w:jc w:val="center"/>
            </w:pPr>
            <w:r>
              <w:rPr>
                <w:sz w:val="24"/>
              </w:rPr>
              <w:t xml:space="preserve">2021</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2</w:t>
            </w:r>
          </w:p>
        </w:tc>
        <w:tc>
          <w:tcPr>
            <w:tcW w:w="1360" w:type="dxa"/>
            <w:vAlign w:val="center"/>
          </w:tcPr>
          <w:p>
            <w:pPr>
              <w:spacing w:before="20" w:after="20" w:line="252" w:lineRule="auto"/>
              <w:ind w:firstLine="0"/>
              <w:jc w:val="left"/>
            </w:pPr>
            <w:r>
              <w:rPr>
                <w:sz w:val="24"/>
              </w:rPr>
              <w:t xml:space="preserve">Quyền tác giả</w:t>
            </w:r>
          </w:p>
        </w:tc>
        <w:tc>
          <w:tcPr>
            <w:tcW w:w="2380" w:type="dxa"/>
            <w:vAlign w:val="center"/>
          </w:tcPr>
          <w:p>
            <w:pPr>
              <w:spacing w:before="20" w:after="20" w:line="252" w:lineRule="auto"/>
              <w:ind w:firstLine="0"/>
              <w:jc w:val="left"/>
            </w:pPr>
            <w:r>
              <w:rPr>
                <w:sz w:val="24"/>
              </w:rPr>
              <w:t xml:space="preserve">Bộ Logo Hệ sinh thái giáo dục</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3</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Thanh do University</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4</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Thado Edupark</w:t>
            </w:r>
          </w:p>
        </w:tc>
        <w:tc>
          <w:tcPr>
            <w:tcW w:w="793" w:type="dxa"/>
            <w:vAlign w:val="center"/>
          </w:tcPr>
          <w:p>
            <w:pPr>
              <w:spacing w:before="20" w:after="20" w:line="252" w:lineRule="auto"/>
              <w:ind w:firstLine="0"/>
              <w:jc w:val="center"/>
            </w:pPr>
            <w:r>
              <w:rPr>
                <w:sz w:val="24"/>
              </w:rPr>
              <w:t xml:space="preserve">2025</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Thương hiệu</w:t>
            </w:r>
          </w:p>
        </w:tc>
      </w:tr>
      <w:tr>
        <w:trPr>
          <w:cantSplit/>
        </w:trPr>
        <w:tc>
          <w:tcPr>
            <w:tcW w:w="566" w:type="dxa"/>
            <w:vAlign w:val="center"/>
          </w:tcPr>
          <w:p>
            <w:pPr>
              <w:spacing w:before="20" w:after="20" w:line="252" w:lineRule="auto"/>
              <w:ind w:firstLine="0"/>
              <w:jc w:val="center"/>
            </w:pPr>
            <w:r>
              <w:rPr>
                <w:sz w:val="24"/>
              </w:rPr>
              <w:t xml:space="preserve">5</w:t>
            </w:r>
          </w:p>
        </w:tc>
        <w:tc>
          <w:tcPr>
            <w:tcW w:w="1360" w:type="dxa"/>
            <w:vAlign w:val="center"/>
          </w:tcPr>
          <w:p>
            <w:pPr>
              <w:spacing w:before="20" w:after="20" w:line="252" w:lineRule="auto"/>
              <w:ind w:firstLine="0"/>
              <w:jc w:val="left"/>
            </w:pPr>
            <w:r>
              <w:rPr>
                <w:sz w:val="24"/>
              </w:rPr>
              <w:t xml:space="preserve">Nhãn hiệu</w:t>
            </w:r>
          </w:p>
        </w:tc>
        <w:tc>
          <w:tcPr>
            <w:tcW w:w="2380" w:type="dxa"/>
            <w:vAlign w:val="center"/>
          </w:tcPr>
          <w:p>
            <w:pPr>
              <w:spacing w:before="20" w:after="20" w:line="252" w:lineRule="auto"/>
              <w:ind w:firstLine="0"/>
              <w:jc w:val="left"/>
            </w:pPr>
            <w:r>
              <w:rPr>
                <w:sz w:val="24"/>
              </w:rPr>
              <w:t xml:space="preserve">Double2n</w:t>
            </w:r>
          </w:p>
        </w:tc>
        <w:tc>
          <w:tcPr>
            <w:tcW w:w="793" w:type="dxa"/>
            <w:vAlign w:val="center"/>
          </w:tcPr>
          <w:p>
            <w:pPr>
              <w:spacing w:before="20" w:after="20" w:line="252" w:lineRule="auto"/>
              <w:ind w:firstLine="0"/>
              <w:jc w:val="center"/>
            </w:pPr>
            <w:r>
              <w:rPr>
                <w:sz w:val="24"/>
              </w:rPr>
              <w:t xml:space="preserve">2023</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6</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Dung dịch vệ sinh phụ nữ</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7</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Tinh dầu vỏ bưởi đào</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8</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Xịt miệng - họng thảo dược</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9</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Dầu gội nha đam - bưởi đào</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10</w:t>
            </w:r>
          </w:p>
        </w:tc>
        <w:tc>
          <w:tcPr>
            <w:tcW w:w="1360" w:type="dxa"/>
            <w:vAlign w:val="center"/>
          </w:tcPr>
          <w:p>
            <w:pPr>
              <w:spacing w:before="20" w:after="20" w:line="252" w:lineRule="auto"/>
              <w:ind w:firstLine="0"/>
              <w:jc w:val="left"/>
            </w:pPr>
            <w:r>
              <w:rPr>
                <w:sz w:val="24"/>
              </w:rPr>
              <w:t xml:space="preserve">Kiểu dáng công nghiệp</w:t>
            </w:r>
          </w:p>
        </w:tc>
        <w:tc>
          <w:tcPr>
            <w:tcW w:w="2380" w:type="dxa"/>
            <w:vAlign w:val="center"/>
          </w:tcPr>
          <w:p>
            <w:pPr>
              <w:spacing w:before="20" w:after="20" w:line="252" w:lineRule="auto"/>
              <w:ind w:firstLine="0"/>
              <w:jc w:val="left"/>
            </w:pPr>
            <w:r>
              <w:rPr>
                <w:sz w:val="24"/>
              </w:rPr>
              <w:t xml:space="preserve">Kem ủ xả tóc từ Bưởi, Bơ, Dừa</w:t>
            </w:r>
          </w:p>
        </w:tc>
        <w:tc>
          <w:tcPr>
            <w:tcW w:w="793" w:type="dxa"/>
            <w:vAlign w:val="center"/>
          </w:tcPr>
          <w:p>
            <w:pPr>
              <w:spacing w:before="20" w:after="20" w:line="252" w:lineRule="auto"/>
              <w:ind w:firstLine="0"/>
              <w:jc w:val="center"/>
            </w:pPr>
            <w:r>
              <w:rPr>
                <w:sz w:val="24"/>
              </w:rPr>
              <w:t xml:space="preserve">2024</w:t>
            </w:r>
          </w:p>
        </w:tc>
        <w:tc>
          <w:tcPr>
            <w:tcW w:w="1190" w:type="dxa"/>
            <w:vAlign w:val="center"/>
          </w:tcPr>
          <w:p>
            <w:pPr>
              <w:spacing w:before="20" w:after="20" w:line="252" w:lineRule="auto"/>
              <w:ind w:firstLine="0"/>
              <w:jc w:val="left"/>
            </w:pPr>
            <w:r>
              <w:rPr>
                <w:sz w:val="24"/>
              </w:rPr>
              <w:t xml:space="preserve">Đã cấp văn bằng</w:t>
            </w:r>
          </w:p>
        </w:tc>
        <w:tc>
          <w:tcPr>
            <w:tcW w:w="1417" w:type="dxa"/>
            <w:vAlign w:val="center"/>
          </w:tcPr>
          <w:p>
            <w:pPr>
              <w:spacing w:before="20" w:after="20" w:line="252" w:lineRule="auto"/>
              <w:ind w:firstLine="0"/>
              <w:jc w:val="left"/>
            </w:pPr>
            <w:r>
              <w:rPr>
                <w:sz w:val="24"/>
              </w:rPr>
              <w:t xml:space="preserve">Đồng sở hữu với doanh nghiệp</w:t>
            </w:r>
          </w:p>
        </w:tc>
        <w:tc>
          <w:tcPr>
            <w:tcW w:w="1360" w:type="dxa"/>
            <w:vAlign w:val="center"/>
          </w:tcPr>
          <w:p>
            <w:pPr>
              <w:spacing w:before="20" w:after="20" w:line="252" w:lineRule="auto"/>
              <w:ind w:firstLine="0"/>
              <w:jc w:val="left"/>
            </w:pPr>
            <w:r>
              <w:rPr>
                <w:sz w:val="24"/>
              </w:rPr>
              <w:t xml:space="preserve">Hợp tác doanh nghiệp</w:t>
            </w:r>
          </w:p>
        </w:tc>
      </w:tr>
      <w:tr>
        <w:trPr>
          <w:cantSplit/>
        </w:trPr>
        <w:tc>
          <w:tcPr>
            <w:tcW w:w="566" w:type="dxa"/>
            <w:vAlign w:val="center"/>
          </w:tcPr>
          <w:p>
            <w:pPr>
              <w:spacing w:before="20" w:after="20" w:line="252" w:lineRule="auto"/>
              <w:ind w:firstLine="0"/>
              <w:jc w:val="center"/>
            </w:pPr>
            <w:r>
              <w:rPr>
                <w:sz w:val="24"/>
              </w:rPr>
              <w:t xml:space="preserve">11</w:t>
            </w:r>
          </w:p>
        </w:tc>
        <w:tc>
          <w:tcPr>
            <w:tcW w:w="1360" w:type="dxa"/>
            <w:vAlign w:val="center"/>
          </w:tcPr>
          <w:p>
            <w:pPr>
              <w:spacing w:before="20" w:after="20" w:line="252" w:lineRule="auto"/>
              <w:ind w:firstLine="0"/>
              <w:jc w:val="left"/>
            </w:pPr>
            <w:r>
              <w:rPr>
                <w:sz w:val="24"/>
              </w:rPr>
              <w:t xml:space="preserve">Sáng chế</w:t>
            </w:r>
          </w:p>
        </w:tc>
        <w:tc>
          <w:tcPr>
            <w:tcW w:w="2380" w:type="dxa"/>
            <w:vAlign w:val="center"/>
          </w:tcPr>
          <w:p>
            <w:pPr>
              <w:spacing w:before="20" w:after="20" w:line="252" w:lineRule="auto"/>
              <w:ind w:firstLine="0"/>
              <w:jc w:val="left"/>
            </w:pPr>
            <w:r>
              <w:rPr>
                <w:sz w:val="24"/>
              </w:rPr>
              <w:t xml:space="preserve">Hợp chất furofuran lignan glucoside từ lá cây quế hoa</w:t>
            </w:r>
          </w:p>
        </w:tc>
        <w:tc>
          <w:tcPr>
            <w:tcW w:w="793" w:type="dxa"/>
            <w:vAlign w:val="center"/>
          </w:tcPr>
          <w:p>
            <w:pPr>
              <w:spacing w:before="20" w:after="20" w:line="252" w:lineRule="auto"/>
              <w:ind w:firstLine="0"/>
              <w:jc w:val="center"/>
            </w:pPr>
            <w:r>
              <w:rPr>
                <w:sz w:val="24"/>
              </w:rPr>
              <w:t xml:space="preserve">2025</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Nghiên cứu</w:t>
            </w:r>
          </w:p>
        </w:tc>
      </w:tr>
      <w:tr>
        <w:trPr>
          <w:cantSplit/>
        </w:trPr>
        <w:tc>
          <w:tcPr>
            <w:tcW w:w="566" w:type="dxa"/>
            <w:vAlign w:val="center"/>
          </w:tcPr>
          <w:p>
            <w:pPr>
              <w:spacing w:before="20" w:after="20" w:line="252" w:lineRule="auto"/>
              <w:ind w:firstLine="0"/>
              <w:jc w:val="center"/>
            </w:pPr>
            <w:r>
              <w:rPr>
                <w:sz w:val="24"/>
              </w:rPr>
              <w:t xml:space="preserve">12</w:t>
            </w:r>
          </w:p>
        </w:tc>
        <w:tc>
          <w:tcPr>
            <w:tcW w:w="1360" w:type="dxa"/>
            <w:vAlign w:val="center"/>
          </w:tcPr>
          <w:p>
            <w:pPr>
              <w:spacing w:before="20" w:after="20" w:line="252" w:lineRule="auto"/>
              <w:ind w:firstLine="0"/>
              <w:jc w:val="left"/>
            </w:pPr>
            <w:r>
              <w:rPr>
                <w:sz w:val="24"/>
              </w:rPr>
              <w:t xml:space="preserve">Sáng chế</w:t>
            </w:r>
          </w:p>
        </w:tc>
        <w:tc>
          <w:tcPr>
            <w:tcW w:w="2380" w:type="dxa"/>
            <w:vAlign w:val="center"/>
          </w:tcPr>
          <w:p>
            <w:pPr>
              <w:spacing w:before="20" w:after="20" w:line="252" w:lineRule="auto"/>
              <w:ind w:firstLine="0"/>
              <w:jc w:val="left"/>
            </w:pPr>
            <w:r>
              <w:rPr>
                <w:sz w:val="24"/>
              </w:rPr>
              <w:t xml:space="preserve">Phương pháp chiết tách hợp chất Isoembigenin từ cây Piper aduncum L</w:t>
            </w:r>
          </w:p>
        </w:tc>
        <w:tc>
          <w:tcPr>
            <w:tcW w:w="793" w:type="dxa"/>
            <w:vAlign w:val="center"/>
          </w:tcPr>
          <w:p>
            <w:pPr>
              <w:spacing w:before="20" w:after="20" w:line="252" w:lineRule="auto"/>
              <w:ind w:firstLine="0"/>
              <w:jc w:val="center"/>
            </w:pPr>
            <w:r>
              <w:rPr>
                <w:sz w:val="24"/>
              </w:rPr>
              <w:t xml:space="preserve">2026</w:t>
            </w:r>
          </w:p>
        </w:tc>
        <w:tc>
          <w:tcPr>
            <w:tcW w:w="1190" w:type="dxa"/>
            <w:vAlign w:val="center"/>
          </w:tcPr>
          <w:p>
            <w:pPr>
              <w:spacing w:before="20" w:after="20" w:line="252" w:lineRule="auto"/>
              <w:ind w:firstLine="0"/>
              <w:jc w:val="left"/>
            </w:pPr>
            <w:r>
              <w:rPr>
                <w:sz w:val="24"/>
              </w:rPr>
              <w:t xml:space="preserve">Đang xử lý</w:t>
            </w:r>
          </w:p>
        </w:tc>
        <w:tc>
          <w:tcPr>
            <w:tcW w:w="1417" w:type="dxa"/>
            <w:vAlign w:val="center"/>
          </w:tcPr>
          <w:p>
            <w:pPr>
              <w:spacing w:before="20" w:after="20" w:line="252" w:lineRule="auto"/>
              <w:ind w:firstLine="0"/>
              <w:jc w:val="left"/>
            </w:pPr>
            <w:r>
              <w:rPr>
                <w:sz w:val="24"/>
              </w:rPr>
              <w:t xml:space="preserve">Trường đơn sở hữu</w:t>
            </w:r>
          </w:p>
        </w:tc>
        <w:tc>
          <w:tcPr>
            <w:tcW w:w="1360" w:type="dxa"/>
            <w:vAlign w:val="center"/>
          </w:tcPr>
          <w:p>
            <w:pPr>
              <w:spacing w:before="20" w:after="20" w:line="252" w:lineRule="auto"/>
              <w:ind w:firstLine="0"/>
              <w:jc w:val="left"/>
            </w:pPr>
            <w:r>
              <w:rPr>
                <w:sz w:val="24"/>
              </w:rPr>
              <w:t xml:space="preserve">Nghiên cứu</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theo dõi đơn nhãn hiệu, kiểu dáng công nghiệp và thống kê văn bằng của Trường Đại học Thành Đô. Năm là năm cấp văn bằng hoặc năm nộp đơn đối với hồ sơ đang xử lý; danh mục chưa ghi số đơn của hai sáng chế.</w:t>
      </w:r>
    </w:p>
    <w:p w14:paraId="478B6AC7" w14:textId="77777777" w:rsidR="005B561C" w:rsidRPr="000F7C87" w:rsidRDefault="00000000">
      <w:pPr>
        <w:keepNext/>
        <w:spacing w:before="160" w:after="80"/>
        <w:ind w:firstLine="0"/>
        <w:jc w:val="center"/>
        <w:rPr>
          <w:szCs w:val="26"/>
        </w:rPr>
      </w:pPr>
      <w:r w:rsidRPr="000F7C87">
        <w:rPr>
          <w:b/>
          <w:szCs w:val="26"/>
        </w:rPr>
        <w:t>Hình 2.6. Tài sản trí tuệ của Nhà trường theo loại hình và tình trạng pháp lý</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35999"/>
            <wp:effectExtent l="0" t="0" r="0" b="0"/>
            <wp:docPr id="506" name="Biểu đồ 506" descr="Hình 2.6. Tài sản trí tuệ của Nhà trường theo loại hình và tình trạng pháp lý"/>
            <wp:cNvGraphicFramePr/>
            <a:graphic>
              <a:graphicData uri="http://schemas.openxmlformats.org/drawingml/2006/chart">
                <c:chart r:id="rId13"/>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2.6.</w:t>
      </w:r>
    </w:p>
    <w:p w14:paraId="48E95726" w14:textId="77777777" w:rsidR="005B561C" w:rsidRPr="000F7C87" w:rsidRDefault="00000000">
      <w:pPr>
        <w:rPr>
          <w:szCs w:val="26"/>
        </w:rPr>
      </w:pPr>
      <w:r w:rsidRPr="000F7C87">
        <w:rPr>
          <w:szCs w:val="26"/>
        </w:rPr>
        <w:t>Bảng 2.6 và Hình 2.6 cho thấy danh mục hình thành từ ba luồng với kết quả rất khác nhau. Luồng thương hiệu gồm 4 tài sản, đều do Nhà trường đơn sở hữu và đều đã có văn bằng. Luồng hợp tác doanh nghiệp gồm 5 kiểu dáng công nghiệp và 1 nhãn hiệu, đều đồng sở hữu với cùng một doanh nghiệp; riêng năm 2024 có 5 kiểu dáng được cấp, nâng số lũy kế từ 4 lên 9 tài sản. Luồng nghiên cứu chỉ có 2 đơn sáng chế nộp năm 2025 và 2026, chưa có văn bằng. Như vậy, khoảng 475 sản phẩm khoa học chỉ đóng góp 2 trên 12 tài sản; năng lực xác lập quyền sở hữu công nghiệp phụ thuộc đáng kể vào một đối tác; và kiểu dáng công nghiệp chỉ bảo hộ hình dáng bên ngoài, không bảo hộ công thức hay quy trình. Giải pháp hữu ích, loại hình phù hợp nhất với sản phẩm đề tài cấp cơ sở, vắng mặt hoàn toàn.</w:t>
      </w:r>
    </w:p>
    <w:p w14:paraId="48E95726" w14:textId="77777777" w:rsidR="005B561C" w:rsidRPr="000F7C87" w:rsidRDefault="00000000">
      <w:pPr>
        <w:rPr>
          <w:szCs w:val="26"/>
        </w:rPr>
      </w:pPr>
      <w:r w:rsidRPr="000F7C87">
        <w:rPr>
          <w:szCs w:val="26"/>
        </w:rPr>
        <w:t>Về bảo vệ quyền, giai đoạn nghiên cứu không ghi nhận tranh chấp, khiếu nại hay xử lý xâm phạm liên quan đến Nhà trường, phù hợp với quy mô tài sản nhỏ và mức khai thác hạn chế. Thời hạn văn bằng được theo dõi trong bảng do bộ phận quản trị thương hiệu lập; do 5 kiểu dáng được cấp cùng năm 2024, việc gia hạn sẽ dồn vào cùng một thời điểm nên cần được đưa vào sổ theo dõi thống nhất.</w:t>
      </w:r>
    </w:p>
    <w:p w14:paraId="0DE297E1" w14:textId="77777777" w:rsidR="005B561C" w:rsidRPr="000F7C87" w:rsidRDefault="00000000">
      <w:pPr>
        <w:keepNext/>
        <w:spacing w:before="200" w:after="100"/>
        <w:ind w:firstLine="0"/>
        <w:outlineLvl w:val="2"/>
        <w:rPr>
          <w:szCs w:val="26"/>
        </w:rPr>
      </w:pPr>
      <w:r w:rsidRPr="000F7C87">
        <w:rPr>
          <w:b/>
          <w:szCs w:val="26"/>
        </w:rPr>
        <w:t>2.3.3. Sản phẩm đề tài đủ điều kiện xác lập quyền</w:t>
      </w:r>
    </w:p>
    <w:p w14:paraId="48E95726" w14:textId="77777777" w:rsidR="005B561C" w:rsidRPr="000F7C87" w:rsidRDefault="00000000">
      <w:pPr>
        <w:rPr>
          <w:szCs w:val="26"/>
        </w:rPr>
      </w:pPr>
      <w:r w:rsidRPr="000F7C87">
        <w:rPr>
          <w:szCs w:val="26"/>
        </w:rPr>
        <w:t>Rà soát cột sản phẩm nghiệm thu của 38 đề tài cấp cơ sở cho thấy 11 đề tài có sản phẩm cụ thể đủ điều kiện xác lập quyền ngoài báo cáo và bài báo, được liệt kê tại Bảng 2.7.</w:t>
      </w:r>
    </w:p>
    <w:p w14:paraId="478B6AC7" w14:textId="77777777" w:rsidR="005B561C" w:rsidRPr="000F7C87" w:rsidRDefault="00000000">
      <w:pPr>
        <w:keepNext/>
        <w:spacing w:before="160" w:after="80"/>
        <w:ind w:firstLine="0"/>
        <w:jc w:val="center"/>
        <w:rPr>
          <w:szCs w:val="26"/>
        </w:rPr>
      </w:pPr>
      <w:r w:rsidRPr="000F7C87">
        <w:rPr>
          <w:b/>
          <w:szCs w:val="26"/>
        </w:rPr>
        <w:t>Bảng 2.7. Đề tài cấp cơ sở có sản phẩm đủ điều kiện xác lập quyền, giai đoạn 2021 - 2025</w:t>
      </w:r>
    </w:p>
    <w:tbl>
      <w:tblPr>
        <w:tblStyle w:val="TableGrid"/>
        <w:tblW w:w="0" w:type="auto"/>
        <w:jc w:val="center"/>
        <w:tblLook w:val="04A0" w:firstRow="1" w:lastRow="0" w:firstColumn="1" w:lastColumn="0" w:noHBand="0" w:noVBand="1"/>
      </w:tblPr>
      <w:tblGrid>
        <w:gridCol w:w="846"/>
        <w:gridCol w:w="1813"/>
        <w:gridCol w:w="3144"/>
        <w:gridCol w:w="1995"/>
        <w:gridCol w:w="1269"/>
      </w:tblGrid>
      <w:tr>
        <w:trPr>
          <w:cantSplit/>
          <w:tblHeader/>
        </w:trPr>
        <w:tc>
          <w:tcPr>
            <w:tcW w:w="846" w:type="dxa"/>
            <w:shd w:val="clear" w:color="auto" w:fill="DCE8F7"/>
            <w:vAlign w:val="center"/>
          </w:tcPr>
          <w:p>
            <w:pPr>
              <w:spacing w:before="20" w:after="20" w:line="252" w:lineRule="auto"/>
              <w:ind w:firstLine="0"/>
              <w:jc w:val="center"/>
            </w:pPr>
            <w:r>
              <w:rPr>
                <w:b/>
                <w:sz w:val="24"/>
              </w:rPr>
              <w:t xml:space="preserve">Năm</w:t>
            </w:r>
          </w:p>
        </w:tc>
        <w:tc>
          <w:tcPr>
            <w:tcW w:w="1813" w:type="dxa"/>
            <w:shd w:val="clear" w:color="auto" w:fill="DCE8F7"/>
            <w:vAlign w:val="center"/>
          </w:tcPr>
          <w:p>
            <w:pPr>
              <w:spacing w:before="20" w:after="20" w:line="252" w:lineRule="auto"/>
              <w:ind w:firstLine="0"/>
              <w:jc w:val="center"/>
            </w:pPr>
            <w:r>
              <w:rPr>
                <w:b/>
                <w:sz w:val="24"/>
              </w:rPr>
              <w:t xml:space="preserve">Đơn vị chủ trì</w:t>
            </w:r>
          </w:p>
        </w:tc>
        <w:tc>
          <w:tcPr>
            <w:tcW w:w="3144" w:type="dxa"/>
            <w:shd w:val="clear" w:color="auto" w:fill="DCE8F7"/>
            <w:vAlign w:val="center"/>
          </w:tcPr>
          <w:p>
            <w:pPr>
              <w:spacing w:before="20" w:after="20" w:line="252" w:lineRule="auto"/>
              <w:ind w:firstLine="0"/>
              <w:jc w:val="center"/>
            </w:pPr>
            <w:r>
              <w:rPr>
                <w:b/>
                <w:sz w:val="24"/>
              </w:rPr>
              <w:t xml:space="preserve">Sản phẩm nghiệm thu</w:t>
            </w:r>
          </w:p>
        </w:tc>
        <w:tc>
          <w:tcPr>
            <w:tcW w:w="1995" w:type="dxa"/>
            <w:shd w:val="clear" w:color="auto" w:fill="DCE8F7"/>
            <w:vAlign w:val="center"/>
          </w:tcPr>
          <w:p>
            <w:pPr>
              <w:spacing w:before="20" w:after="20" w:line="252" w:lineRule="auto"/>
              <w:ind w:firstLine="0"/>
              <w:jc w:val="center"/>
            </w:pPr>
            <w:r>
              <w:rPr>
                <w:b/>
                <w:sz w:val="24"/>
              </w:rPr>
              <w:t xml:space="preserve">Nhóm quyền có thể xác lập</w:t>
            </w:r>
          </w:p>
        </w:tc>
        <w:tc>
          <w:tcPr>
            <w:tcW w:w="1269" w:type="dxa"/>
            <w:shd w:val="clear" w:color="auto" w:fill="DCE8F7"/>
            <w:vAlign w:val="center"/>
          </w:tcPr>
          <w:p>
            <w:pPr>
              <w:spacing w:before="20" w:after="20" w:line="252" w:lineRule="auto"/>
              <w:ind w:firstLine="0"/>
              <w:jc w:val="center"/>
            </w:pPr>
            <w:r>
              <w:rPr>
                <w:b/>
                <w:sz w:val="24"/>
              </w:rPr>
              <w:t xml:space="preserve">Tình trạng</w:t>
            </w:r>
          </w:p>
        </w:tc>
      </w:tr>
      <w:tr>
        <w:trPr>
          <w:cantSplit/>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Công nghệ kỹ thuật Ô tô</w:t>
            </w:r>
          </w:p>
        </w:tc>
        <w:tc>
          <w:tcPr>
            <w:tcW w:w="3144" w:type="dxa"/>
            <w:vAlign w:val="center"/>
          </w:tcPr>
          <w:p>
            <w:pPr>
              <w:spacing w:before="20" w:after="20" w:line="252" w:lineRule="auto"/>
              <w:ind w:firstLine="0"/>
              <w:jc w:val="left"/>
            </w:pPr>
            <w:r>
              <w:rPr>
                <w:sz w:val="24"/>
              </w:rPr>
              <w:t xml:space="preserve">Mô hình kiểm tra và sửa chữa hệ thống khởi động điện trên ô tô</w:t>
            </w:r>
          </w:p>
        </w:tc>
        <w:tc>
          <w:tcPr>
            <w:tcW w:w="1995" w:type="dxa"/>
            <w:vAlign w:val="center"/>
          </w:tcPr>
          <w:p>
            <w:pPr>
              <w:spacing w:before="20" w:after="20" w:line="252" w:lineRule="auto"/>
              <w:ind w:firstLine="0"/>
              <w:jc w:val="left"/>
            </w:pPr>
            <w:r>
              <w:rPr>
                <w:sz w:val="24"/>
              </w:rPr>
              <w:t xml:space="preserve">Kiểu dáng công nghiệp hoặc 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Sản phẩm cầm máu dạng màng</w:t>
            </w:r>
          </w:p>
        </w:tc>
        <w:tc>
          <w:tcPr>
            <w:tcW w:w="1995" w:type="dxa"/>
            <w:vAlign w:val="center"/>
          </w:tcPr>
          <w:p>
            <w:pPr>
              <w:spacing w:before="20" w:after="20" w:line="252" w:lineRule="auto"/>
              <w:ind w:firstLine="0"/>
              <w:jc w:val="left"/>
            </w:pPr>
            <w:r>
              <w:rPr>
                <w:sz w:val="24"/>
              </w:rPr>
              <w:t xml:space="preserve">Giải pháp hữu ích hoặc sáng chế</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2022</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Bộ mẫu cây thuốc</w:t>
            </w:r>
          </w:p>
        </w:tc>
        <w:tc>
          <w:tcPr>
            <w:tcW w:w="1995" w:type="dxa"/>
            <w:vAlign w:val="center"/>
          </w:tcPr>
          <w:p>
            <w:pPr>
              <w:spacing w:before="20" w:after="20" w:line="252" w:lineRule="auto"/>
              <w:ind w:firstLine="0"/>
              <w:jc w:val="left"/>
            </w:pPr>
            <w:r>
              <w:rPr>
                <w:sz w:val="24"/>
              </w:rPr>
              <w:t xml:space="preserve">Sưu tập dữ liệu</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2023</w:t>
            </w:r>
          </w:p>
        </w:tc>
        <w:tc>
          <w:tcPr>
            <w:tcW w:w="1813" w:type="dxa"/>
            <w:vAlign w:val="center"/>
          </w:tcPr>
          <w:p>
            <w:pPr>
              <w:spacing w:before="20" w:after="20" w:line="252" w:lineRule="auto"/>
              <w:ind w:firstLine="0"/>
              <w:jc w:val="left"/>
            </w:pPr>
            <w:r>
              <w:rPr>
                <w:sz w:val="24"/>
              </w:rPr>
              <w:t xml:space="preserve">Viện Nghiên cứu giáo dục và Chuyển giao tri thức</w:t>
            </w:r>
          </w:p>
        </w:tc>
        <w:tc>
          <w:tcPr>
            <w:tcW w:w="3144" w:type="dxa"/>
            <w:vAlign w:val="center"/>
          </w:tcPr>
          <w:p>
            <w:pPr>
              <w:spacing w:before="20" w:after="20" w:line="252" w:lineRule="auto"/>
              <w:ind w:firstLine="0"/>
              <w:jc w:val="left"/>
            </w:pPr>
            <w:r>
              <w:rPr>
                <w:sz w:val="24"/>
              </w:rPr>
              <w:t xml:space="preserve">Tinh dầu Citrus grandis, hồ sơ ghi chuyển giao cho Trường thương mại hóa</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Xà phòng hữu cơ tảo biển kèm quy trình và công thức</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100 tiêu bản hiển vi và cẩm nang phát hiện giun sán</w:t>
            </w:r>
          </w:p>
        </w:tc>
        <w:tc>
          <w:tcPr>
            <w:tcW w:w="1995" w:type="dxa"/>
            <w:vAlign w:val="center"/>
          </w:tcPr>
          <w:p>
            <w:pPr>
              <w:spacing w:before="20" w:after="20" w:line="252" w:lineRule="auto"/>
              <w:ind w:firstLine="0"/>
              <w:jc w:val="left"/>
            </w:pPr>
            <w:r>
              <w:rPr>
                <w:sz w:val="24"/>
              </w:rPr>
              <w:t xml:space="preserve">Sưu tập dữ liệu, quyền tác giả</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Rutin độ tinh khiết 90% kèm quy trình chiết xuất, tinh chế</w:t>
            </w:r>
          </w:p>
        </w:tc>
        <w:tc>
          <w:tcPr>
            <w:tcW w:w="1995" w:type="dxa"/>
            <w:vAlign w:val="center"/>
          </w:tcPr>
          <w:p>
            <w:pPr>
              <w:spacing w:before="20" w:after="20" w:line="252" w:lineRule="auto"/>
              <w:ind w:firstLine="0"/>
              <w:jc w:val="left"/>
            </w:pPr>
            <w:r>
              <w:rPr>
                <w:sz w:val="24"/>
              </w:rPr>
              <w:t xml:space="preserve">Giải pháp hữu ích hoặc sáng chế</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2024</w:t>
            </w:r>
          </w:p>
        </w:tc>
        <w:tc>
          <w:tcPr>
            <w:tcW w:w="1813" w:type="dxa"/>
            <w:vAlign w:val="center"/>
          </w:tcPr>
          <w:p>
            <w:pPr>
              <w:spacing w:before="20" w:after="20" w:line="252" w:lineRule="auto"/>
              <w:ind w:firstLine="0"/>
              <w:jc w:val="left"/>
            </w:pPr>
            <w:r>
              <w:rPr>
                <w:sz w:val="24"/>
              </w:rPr>
              <w:t xml:space="preserve">Khoa Dược</w:t>
            </w:r>
          </w:p>
        </w:tc>
        <w:tc>
          <w:tcPr>
            <w:tcW w:w="3144" w:type="dxa"/>
            <w:vAlign w:val="center"/>
          </w:tcPr>
          <w:p>
            <w:pPr>
              <w:spacing w:before="20" w:after="20" w:line="252" w:lineRule="auto"/>
              <w:ind w:firstLine="0"/>
              <w:jc w:val="left"/>
            </w:pPr>
            <w:r>
              <w:rPr>
                <w:sz w:val="24"/>
              </w:rPr>
              <w:t xml:space="preserve">Thang thuốc 100 ml kèm công thức và quy trình sắc</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Công thức cồn thuốc xoa bóp, hồ sơ ghi dự kiến đăng ký giải pháp hữu ích</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Quy trình bào chế viên ngậm giảm ho, hồ sơ ghi dự kiến đăng ký giải pháp hữu ích</w:t>
            </w:r>
          </w:p>
        </w:tc>
        <w:tc>
          <w:tcPr>
            <w:tcW w:w="1995" w:type="dxa"/>
            <w:vAlign w:val="center"/>
          </w:tcPr>
          <w:p>
            <w:pPr>
              <w:spacing w:before="20" w:after="20" w:line="252" w:lineRule="auto"/>
              <w:ind w:firstLine="0"/>
              <w:jc w:val="left"/>
            </w:pPr>
            <w:r>
              <w:rPr>
                <w:sz w:val="24"/>
              </w:rPr>
              <w:t xml:space="preserve">Giải pháp hữu ích</w:t>
            </w:r>
          </w:p>
        </w:tc>
        <w:tc>
          <w:tcPr>
            <w:tcW w:w="1269" w:type="dxa"/>
            <w:vAlign w:val="center"/>
          </w:tcPr>
          <w:p>
            <w:pPr>
              <w:spacing w:before="20" w:after="20" w:line="252" w:lineRule="auto"/>
              <w:ind w:firstLine="0"/>
              <w:jc w:val="left"/>
            </w:pPr>
            <w:r>
              <w:rPr>
                <w:sz w:val="24"/>
              </w:rPr>
              <w:t xml:space="preserve">Chưa nộp</w:t>
            </w:r>
          </w:p>
        </w:tc>
      </w:tr>
      <w:tr>
        <w:trPr>
          <w:cantSplit/>
        </w:trPr>
        <w:tc>
          <w:tcPr>
            <w:tcW w:w="846" w:type="dxa"/>
            <w:vAlign w:val="center"/>
          </w:tcPr>
          <w:p>
            <w:pPr>
              <w:spacing w:before="20" w:after="20" w:line="252" w:lineRule="auto"/>
              <w:ind w:firstLine="0"/>
              <w:jc w:val="center"/>
            </w:pPr>
            <w:r>
              <w:rPr>
                <w:sz w:val="24"/>
              </w:rPr>
              <w:t xml:space="preserve">2025</w:t>
            </w:r>
          </w:p>
        </w:tc>
        <w:tc>
          <w:tcPr>
            <w:tcW w:w="1813" w:type="dxa"/>
            <w:vAlign w:val="center"/>
          </w:tcPr>
          <w:p>
            <w:pPr>
              <w:spacing w:before="20" w:after="20" w:line="252" w:lineRule="auto"/>
              <w:ind w:firstLine="0"/>
              <w:jc w:val="left"/>
            </w:pPr>
            <w:r>
              <w:rPr>
                <w:sz w:val="24"/>
              </w:rPr>
              <w:t xml:space="preserve">Viện Y - Dược</w:t>
            </w:r>
          </w:p>
        </w:tc>
        <w:tc>
          <w:tcPr>
            <w:tcW w:w="3144" w:type="dxa"/>
            <w:vAlign w:val="center"/>
          </w:tcPr>
          <w:p>
            <w:pPr>
              <w:spacing w:before="20" w:after="20" w:line="252" w:lineRule="auto"/>
              <w:ind w:firstLine="0"/>
              <w:jc w:val="left"/>
            </w:pPr>
            <w:r>
              <w:rPr>
                <w:sz w:val="24"/>
              </w:rPr>
              <w:t xml:space="preserve">Chiết xuất lá Quế hoa, hồ sơ ghi giai đoạn 2 là sáng chế</w:t>
            </w:r>
          </w:p>
        </w:tc>
        <w:tc>
          <w:tcPr>
            <w:tcW w:w="1995" w:type="dxa"/>
            <w:vAlign w:val="center"/>
          </w:tcPr>
          <w:p>
            <w:pPr>
              <w:spacing w:before="20" w:after="20" w:line="252" w:lineRule="auto"/>
              <w:ind w:firstLine="0"/>
              <w:jc w:val="left"/>
            </w:pPr>
            <w:r>
              <w:rPr>
                <w:sz w:val="24"/>
              </w:rPr>
              <w:t xml:space="preserve">Sáng chế</w:t>
            </w:r>
          </w:p>
        </w:tc>
        <w:tc>
          <w:tcPr>
            <w:tcW w:w="1269" w:type="dxa"/>
            <w:vAlign w:val="center"/>
          </w:tcPr>
          <w:p>
            <w:pPr>
              <w:spacing w:before="20" w:after="20" w:line="252" w:lineRule="auto"/>
              <w:ind w:firstLine="0"/>
              <w:jc w:val="left"/>
            </w:pPr>
            <w:r>
              <w:rPr>
                <w:sz w:val="24"/>
              </w:rPr>
              <w:t xml:space="preserve">Đã nộp đơn năm 2025</w:t>
            </w:r>
          </w:p>
        </w:tc>
      </w:tr>
    </w:tbl>
    <w:p w14:paraId="645FDCAF" w14:textId="77777777" w:rsidR="005B561C" w:rsidRPr="000F7C87" w:rsidRDefault="00000000">
      <w:pPr>
        <w:spacing w:after="160"/>
        <w:ind w:firstLine="0"/>
        <w:rPr>
          <w:szCs w:val="26"/>
        </w:rPr>
      </w:pPr>
      <w:r w:rsidRPr="000F7C87">
        <w:rPr>
          <w:i/>
          <w:szCs w:val="26"/>
        </w:rPr>
        <w:t>Nguồn: Nhóm nghiên cứu tổng hợp từ danh mục đề tài khoa học công nghệ cấp cơ sở giai đoạn 2021 - 2025. Nhóm quyền có thể xác lập là đánh giá sơ bộ dựa trên mô tả sản phẩm trong hồ sơ nghiệm thu.</w:t>
      </w:r>
    </w:p>
    <w:p w14:paraId="478B6AC7" w14:textId="77777777" w:rsidR="005B561C" w:rsidRPr="000F7C87" w:rsidRDefault="00000000">
      <w:pPr>
        <w:keepNext/>
        <w:spacing w:before="160" w:after="80"/>
        <w:ind w:firstLine="0"/>
        <w:jc w:val="center"/>
        <w:rPr>
          <w:szCs w:val="26"/>
        </w:rPr>
      </w:pPr>
      <w:r w:rsidRPr="000F7C87">
        <w:rPr>
          <w:b/>
          <w:szCs w:val="26"/>
        </w:rPr>
        <w:t>Hình 2.7. Sản phẩm đề tài cấp cơ sở đủ điều kiện xác lập quyền theo nhóm quyền có thể xác lập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2160000"/>
            <wp:effectExtent l="0" t="0" r="0" b="0"/>
            <wp:docPr id="507" name="Biểu đồ 507" descr="Hình 2.7. Sản phẩm đề tài cấp cơ sở đủ điều kiện xác lập quyền theo nhóm quyền có thể xác lập"/>
            <wp:cNvGraphicFramePr/>
            <a:graphic>
              <a:graphicData uri="http://schemas.openxmlformats.org/drawingml/2006/chart">
                <c:chart r:id="rId14"/>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 từ Bảng 2.7.</w:t>
      </w:r>
    </w:p>
    <w:p w14:paraId="48E95726" w14:textId="77777777" w:rsidR="005B561C" w:rsidRPr="000F7C87" w:rsidRDefault="00000000">
      <w:pPr>
        <w:rPr>
          <w:szCs w:val="26"/>
        </w:rPr>
      </w:pPr>
      <w:r w:rsidRPr="000F7C87">
        <w:rPr>
          <w:szCs w:val="26"/>
        </w:rPr>
        <w:t>Hình 2.7 cho thấy 9 trên 11 sản phẩm thuộc nhóm sở hữu công nghiệp và giải pháp hữu ích phù hợp với 8 sản phẩm. Loại hình này không đòi hỏi trình độ sáng tạo như sáng chế, có thời hạn bảo hộ ngắn hơn và phù hợp với quy mô đề tài cấp cơ sở, nhưng chưa sản phẩm nào được nộp đơn theo hình thức này. Mười trên 11 sản phẩm thuộc lĩnh vực dược, nên tiềm năng sở hữu công nghiệp của Nhà trường có thể được quản lý có trọng tâm.</w:t>
      </w:r>
    </w:p>
    <w:p w14:paraId="478B6AC7" w14:textId="77777777" w:rsidR="005B561C" w:rsidRPr="000F7C87" w:rsidRDefault="00000000">
      <w:pPr>
        <w:keepNext/>
        <w:spacing w:before="160" w:after="80"/>
        <w:ind w:firstLine="0"/>
        <w:jc w:val="center"/>
        <w:rPr>
          <w:szCs w:val="26"/>
        </w:rPr>
      </w:pPr>
      <w:r w:rsidRPr="000F7C87">
        <w:rPr>
          <w:b/>
          <w:szCs w:val="26"/>
        </w:rPr>
        <w:t>Hình 2.8. Chuỗi chuyển hóa từ đề tài cấp cơ sở sang đơn đăng ký sở hữu công nghiệp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72000"/>
            <wp:effectExtent l="0" t="0" r="0" b="0"/>
            <wp:docPr id="508" name="Biểu đồ 508" descr="Hình 2.8. Chuỗi chuyển hóa từ đề tài cấp cơ sở sang đơn đăng ký sở hữu công nghiệp"/>
            <wp:cNvGraphicFramePr/>
            <a:graphic>
              <a:graphicData uri="http://schemas.openxmlformats.org/drawingml/2006/chart">
                <c:chart r:id="rId15"/>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danh mục đề tài cấp cơ sở và Bảng 2.7.</w:t>
      </w:r>
    </w:p>
    <w:p w14:paraId="48E95726" w14:textId="77777777" w:rsidR="005B561C" w:rsidRPr="000F7C87" w:rsidRDefault="00000000">
      <w:pPr>
        <w:rPr>
          <w:szCs w:val="26"/>
        </w:rPr>
      </w:pPr>
      <w:r w:rsidRPr="000F7C87">
        <w:rPr>
          <w:szCs w:val="26"/>
        </w:rPr>
        <w:t>Hình 2.8 cho thấy điểm đứt gãy nằm ở bậc thứ hai của chuỗi. Có 28,9% số đề tài tạo ra sản phẩm có thể xác lập quyền, tỷ lệ đáng ghi nhận với một trường có phần lớn ngành thuộc kinh tế, xã hội và ngôn ngữ; nhưng chỉ 9,1% số đề tài đủ điều kiện được nộp đơn. Nếu chỉ xét đề tài giao đến năm 2024, đã đủ thời gian để nộp đơn, có 8 đề tài đủ điều kiện và không đề tài nào nộp đơn. Vấn đề không nằm ở đầu vào mà ở khâu nối giữa nghiệm thu và đăng ký.</w:t>
      </w:r>
    </w:p>
    <w:p w14:paraId="48E95726" w14:textId="77777777" w:rsidR="005B561C" w:rsidRPr="000F7C87" w:rsidRDefault="00000000">
      <w:pPr>
        <w:rPr>
          <w:szCs w:val="26"/>
        </w:rPr>
      </w:pPr>
      <w:r w:rsidRPr="000F7C87">
        <w:rPr>
          <w:szCs w:val="26"/>
        </w:rPr>
        <w:t>Đề tài chiết xuất lá Quế hoa năm 2025 là đề tài cấp cơ sở duy nhất trong năm năm chuyển thành đơn sáng chế, và đơn được nộp ngay trong năm nghiệm thu. Trường hợp này cho thấy kênh chuyển hóa vận hành được trong điều kiện hiện có, nhưng mới vận hành một lần, do một chủ nhiệm đồng thời chủ trì đề tài cấp quốc gia. Hai đề tài năm 2025 khác ghi dự kiến đăng ký giải pháp hữu ích nhưng chưa có đơn; hai sản phẩm này vẫn có thể được nộp đơn nếu còn trong thời hạn mười hai tháng kể từ ngày bộc lộ. Đề tài tinh dầu Citrus grandis năm 2023 có liên hệ về tên gọi với kiểu dáng tinh dầu vỏ bưởi đào cấp năm 2024, nhưng hồ sơ chưa đủ để khẳng định; kể cả khi liên hệ được xác nhận, công thức và quy trình chiết xuất vẫn chưa được đăng ký. Hai danh mục do hai bộ phận lập và không có trường liên kết, là bằng chứng trực tiếp cho sự tách rời giữa luồng thương hiệu và luồng nghiên cứu.</w:t>
      </w:r>
    </w:p>
    <w:p w14:paraId="6067EC56" w14:textId="77777777" w:rsidR="005B561C" w:rsidRPr="000F7C87" w:rsidRDefault="00000000">
      <w:pPr>
        <w:keepNext/>
        <w:spacing w:before="280" w:after="160"/>
        <w:ind w:firstLine="0"/>
        <w:outlineLvl w:val="1"/>
        <w:rPr>
          <w:szCs w:val="26"/>
        </w:rPr>
      </w:pPr>
      <w:r w:rsidRPr="000F7C87">
        <w:rPr>
          <w:b/>
          <w:szCs w:val="26"/>
        </w:rPr>
        <w:t>2.4. Thực trạng sử dụng, chuyển giao và khai thác tài sản trí tuệ</w:t>
      </w:r>
    </w:p>
    <w:p w14:paraId="48E95726" w14:textId="77777777" w:rsidR="005B561C" w:rsidRPr="000F7C87" w:rsidRDefault="00000000">
      <w:pPr>
        <w:rPr>
          <w:szCs w:val="26"/>
        </w:rPr>
      </w:pPr>
      <w:r w:rsidRPr="000F7C87">
        <w:rPr>
          <w:szCs w:val="26"/>
        </w:rPr>
        <w:t>Khai thác tài sản trí tuệ tại Nhà trường được xem xét ở ba mức: sử dụng nội bộ, chuyển giao trong hệ thống và khai thác có thu phí.</w:t>
      </w:r>
    </w:p>
    <w:p w14:paraId="48E95726" w14:textId="77777777" w:rsidR="005B561C" w:rsidRPr="000F7C87" w:rsidRDefault="00000000">
      <w:pPr>
        <w:rPr>
          <w:szCs w:val="26"/>
        </w:rPr>
      </w:pPr>
      <w:r w:rsidRPr="000F7C87">
        <w:rPr>
          <w:szCs w:val="26"/>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phụ thuộc vào biểu mẫu nghiệm thu hơn là bản chất đề tài.</w:t>
      </w:r>
    </w:p>
    <w:p w14:paraId="48E95726" w14:textId="77777777" w:rsidR="005B561C" w:rsidRPr="000F7C87" w:rsidRDefault="00000000">
      <w:pPr>
        <w:rPr>
          <w:szCs w:val="26"/>
        </w:rPr>
      </w:pPr>
      <w:r w:rsidRPr="000F7C87">
        <w:rPr>
          <w:szCs w:val="26"/>
        </w:rPr>
        <w:t>Ở mức chuyển giao trong hệ thống, đề tài tinh dầu Citrus grandis năm 2023 do Viện Nghiên cứu giáo dục và Chuyển giao tri thức chủ trì ghi sản phẩm là chuyển giao công nghệ cho Nhà trường thương mại hóa, nhưng không có hợp đồng, biên bản chuyển giao hay kết quả thương mại hóa kèm theo. Ý định chuyển giao được ghi vào hồ sơ nhưng không có bước nào biến ý định thành giao dịch.</w:t>
      </w:r>
    </w:p>
    <w:p w14:paraId="48E95726" w14:textId="77777777" w:rsidR="005B561C" w:rsidRPr="000F7C87" w:rsidRDefault="00000000">
      <w:pPr>
        <w:rPr>
          <w:szCs w:val="26"/>
        </w:rPr>
      </w:pPr>
      <w:r w:rsidRPr="000F7C87">
        <w:rPr>
          <w:szCs w:val="26"/>
        </w:rPr>
        <w:t>Ở mức khai thác có thu phí, thống kê của Viện Nghiên cứu giáo dục và Chuyển giao tri thức ghi nhận năm hợp đồng giai đoạn 2023 - 2024.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đúng nghĩa. Ba hợp đồng còn lại là dịch vụ đào tạo, giảng dạy, tổng trị giá 100 triệu đồng, thuộc khai thác tri thức chuyên môn chứ không phải khai thác một tài sản đã xác lập quyền.</w:t>
      </w:r>
    </w:p>
    <w:p w14:paraId="48E95726" w14:textId="77777777" w:rsidR="005B561C" w:rsidRPr="000F7C87" w:rsidRDefault="00000000">
      <w:pPr>
        <w:rPr>
          <w:szCs w:val="26"/>
        </w:rPr>
      </w:pPr>
      <w:r w:rsidRPr="000F7C87">
        <w:rPr>
          <w:szCs w:val="26"/>
        </w:rPr>
        <w:t>Như vậy, khai thác tài sản trí tuệ hiện chủ yếu ở dạng phi thương mại, phục vụ đào tạo của chính Nhà trường. Khai thác có thu phí mới có hai hợp đồng, do một đơn vị thực hiện và đối với sách chuyên khảo; chín văn bằng đã được cấp chưa phát sinh giao dịch chuyển giao quyền nào. Năng lực khai thác gắn với tư cách pháp lý và chức năng được giao của Viện Nghiên cứu giáo dục và Chuyển giao tri thức, không phân bố theo năng lực chuyên môn. Đây cũng là nội dung có dữ liệu mỏng nhất, vì hệ thống thống kê không theo dõi việc sử dụng và khai thác tài sản trí tuệ; bản thân việc thiếu dữ liệu này là một phát hiện về thực trạng quản lý.</w:t>
      </w:r>
    </w:p>
    <w:p w14:paraId="6067EC56" w14:textId="77777777" w:rsidR="005B561C" w:rsidRPr="000F7C87" w:rsidRDefault="00000000">
      <w:pPr>
        <w:keepNext/>
        <w:spacing w:before="280" w:after="160"/>
        <w:ind w:firstLine="0"/>
        <w:outlineLvl w:val="1"/>
        <w:rPr>
          <w:szCs w:val="26"/>
        </w:rPr>
      </w:pPr>
      <w:r w:rsidRPr="000F7C87">
        <w:rPr>
          <w:b/>
          <w:szCs w:val="26"/>
        </w:rPr>
        <w:t>2.5. Đánh giá chung về công tác quản lý quyền sở hữu trí tuệ tại Trường Đại học Thành Đô</w:t>
      </w:r>
    </w:p>
    <w:p w14:paraId="48E95726" w14:textId="77777777" w:rsidR="005B561C" w:rsidRPr="000F7C87" w:rsidRDefault="00000000">
      <w:pPr>
        <w:rPr>
          <w:szCs w:val="26"/>
        </w:rPr>
      </w:pPr>
      <w:r w:rsidRPr="000F7C87">
        <w:rPr>
          <w:szCs w:val="26"/>
        </w:rPr>
        <w:t>Kết quả hai năm 2024 - 2025 được đối chiếu trước hết với Kế hoạch hoạt động khoa học công nghệ giai đoạn 2024 - 2028 ban hành kèm Kế hoạch số 07/KH-ĐHTĐ ngày 01 tháng 7 năm 2024. Đây là thước đo khách quan vì do chính Nhà trường đặt ra, và 2024 - 2025 là hai năm đầu của kế hoạch.</w:t>
      </w:r>
    </w:p>
    <w:p w14:paraId="478B6AC7" w14:textId="77777777" w:rsidR="005B561C" w:rsidRPr="000F7C87" w:rsidRDefault="00000000">
      <w:pPr>
        <w:keepNext/>
        <w:spacing w:before="160" w:after="80"/>
        <w:ind w:firstLine="0"/>
        <w:jc w:val="center"/>
        <w:rPr>
          <w:szCs w:val="26"/>
        </w:rPr>
      </w:pPr>
      <w:r w:rsidRPr="000F7C87">
        <w:rPr>
          <w:b/>
          <w:szCs w:val="26"/>
        </w:rPr>
        <w:t>Hình 2.9. Tỷ lệ thực hiện so với chỉ tiêu Kế hoạch 07/KH-ĐHTĐ, cộng dồn hai năm 2024 - 2025</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096000"/>
            <wp:effectExtent l="0" t="0" r="0" b="0"/>
            <wp:docPr id="509" name="Biểu đồ 509" descr="Hình 2.9. Tỷ lệ thực hiện so với chỉ tiêu Kế hoạch 07/KH-ĐHTĐ, cộng dồn hai năm 2024 - 2025"/>
            <wp:cNvGraphicFramePr/>
            <a:graphic>
              <a:graphicData uri="http://schemas.openxmlformats.org/drawingml/2006/chart">
                <c:chart r:id="rId16"/>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tính toán từ mục 2.2.4 Kế hoạch số 07/KH-ĐHTĐ ngày 01 tháng 7 năm 2024 và các danh mục thống kê của Phòng Khoa học Công nghệ. Chỉ tiêu bài báo trong nước gồm bài đăng tạp chí trong nước và tạp chí của Trường; văn bằng sở hữu trí tuệ gồm sáng chế, kiểu dáng công nghiệp, quyền tác giả được cấp; không gồm tham luận hội thảo quốc gia do danh mục không có năm. Màu xanh dương: công bố; xanh lục: đề tài và học liệu; cam: tài sản trí tuệ.</w:t>
      </w:r>
    </w:p>
    <w:p w14:paraId="48E95726" w14:textId="77777777" w:rsidR="005B561C" w:rsidRPr="000F7C87" w:rsidRDefault="00000000">
      <w:pPr>
        <w:rPr>
          <w:szCs w:val="26"/>
        </w:rPr>
      </w:pPr>
      <w:r w:rsidRPr="000F7C87">
        <w:rPr>
          <w:szCs w:val="26"/>
        </w:rPr>
        <w:t>Hình 2.9 cho thấy 7 trên 10 chỉ tiêu đạt hoặc vượt kế hoạch, nhưng kết quả phân hóa rõ theo nhóm. Nhóm công bố vượt xa chỉ tiêu: bài báo quốc tế đạt 85 bài so với 30 bài, tức 283%; sách 267%; tham luận cấp trường 223%; bài báo trong nước 165%. Nhóm đề tài và học liệu dao động quanh kế hoạch, từ 90% với giáo trình đến 150% với đề tài cấp Bộ, Nhà nước. Ở nhóm tài sản trí tuệ, chỉ tiêu văn bằng đạt 150% với 6 văn bằng, nhưng đó là 5 kiểu dáng đồng sở hữu với doanh nghiệp và nhãn hiệu Thado Edupark, không văn bằng nào hình thành từ đề tài; chỉ tiêu chuyển giao công nghệ năm 2025 không đạt.</w:t>
      </w:r>
    </w:p>
    <w:p w14:paraId="48E95726" w14:textId="77777777" w:rsidR="005B561C" w:rsidRPr="000F7C87" w:rsidRDefault="00000000">
      <w:pPr>
        <w:rPr>
          <w:szCs w:val="26"/>
        </w:rPr>
      </w:pPr>
      <w:r w:rsidRPr="000F7C87">
        <w:rPr>
          <w:szCs w:val="26"/>
        </w:rPr>
        <w:t>Do Kế hoạch gộp sáng chế với kiểu dáng công nghiệp và quyền tác giả trong một chỉ tiêu, chỉ tiêu này có thể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p w14:paraId="0DE297E1" w14:textId="77777777" w:rsidR="005B561C" w:rsidRPr="000F7C87" w:rsidRDefault="00000000">
      <w:pPr>
        <w:keepNext/>
        <w:spacing w:before="200" w:after="100"/>
        <w:ind w:firstLine="0"/>
        <w:outlineLvl w:val="2"/>
        <w:rPr>
          <w:szCs w:val="26"/>
        </w:rPr>
      </w:pPr>
      <w:r w:rsidRPr="000F7C87">
        <w:rPr>
          <w:b/>
          <w:szCs w:val="26"/>
        </w:rPr>
        <w:t>2.5.1. Kết quả đạt được</w:t>
      </w:r>
    </w:p>
    <w:p w14:paraId="48E95726" w14:textId="77777777" w:rsidR="005B561C" w:rsidRPr="000F7C87" w:rsidRDefault="00000000">
      <w:pPr>
        <w:rPr>
          <w:szCs w:val="26"/>
        </w:rPr>
      </w:pPr>
      <w:r w:rsidRPr="000F7C87">
        <w:rPr>
          <w:szCs w:val="26"/>
        </w:rPr>
        <w:t>Thứ nhất, Nhà trường có hệ thống quy định về sở hữu trí tuệ từ sớm. Quyết định 213 năm 2021 đã có một chương riêng với phạm vi tài sản khá đầy đủ và quy trình đăng ký một cửa; Quyết định 217 năm 2024 mở rộng phạm vi tài sản, bổ sung nguyên tắc công bố và bảo mật, phân công đầu mối.</w:t>
      </w:r>
    </w:p>
    <w:p w14:paraId="48E95726" w14:textId="77777777" w:rsidR="005B561C" w:rsidRPr="000F7C87" w:rsidRDefault="00000000">
      <w:pPr>
        <w:rPr>
          <w:szCs w:val="26"/>
        </w:rPr>
      </w:pPr>
      <w:r w:rsidRPr="000F7C87">
        <w:rPr>
          <w:szCs w:val="26"/>
        </w:rPr>
        <w:t>Thứ hai, Nhà trường đã xác lập 12 tài sản trí tuệ, trong đó 9 tài sản có văn bằng; nhóm thương hiệu gồm tên trường, bộ nhận diện và thương hiệu hệ sinh thái được bảo hộ liên tục từ năm 2021, có ý nghĩa trong cạnh tranh tuyển sinh.</w:t>
      </w:r>
    </w:p>
    <w:p w14:paraId="48E95726" w14:textId="77777777" w:rsidR="005B561C" w:rsidRPr="000F7C87" w:rsidRDefault="00000000">
      <w:pPr>
        <w:rPr>
          <w:szCs w:val="26"/>
        </w:rPr>
      </w:pPr>
      <w:r w:rsidRPr="000F7C87">
        <w:rPr>
          <w:szCs w:val="26"/>
        </w:rPr>
        <w:t>Thứ ba, năng lực nghiên cứu tăng nhanh: số bài báo tăng bình quân 62,7% một năm, đạt 1,11 bài trên một giảng viên năm 2025; 7 trên 10 chỉ tiêu khoa học công nghệ của Kế hoạch 07/KH-ĐHTĐ đạt hoặc vượt; ba đề tài cấp quốc gia với tổng kinh phí 4,67 tỷ đồng được giao.</w:t>
      </w:r>
    </w:p>
    <w:p w14:paraId="48E95726" w14:textId="77777777" w:rsidR="005B561C" w:rsidRPr="000F7C87" w:rsidRDefault="00000000">
      <w:pPr>
        <w:rPr>
          <w:szCs w:val="26"/>
        </w:rPr>
      </w:pPr>
      <w:r w:rsidRPr="000F7C87">
        <w:rPr>
          <w:szCs w:val="26"/>
        </w:rPr>
        <w:t>Thứ tư, kênh chuyển hóa từ đề tài sang quyền sở hữu công nghiệp đã vận hành được, với đơn sáng chế từ đề tài chiết xuất lá Quế hoa năm 2025 và đơn sáng chế thứ hai năm 2026.</w:t>
      </w:r>
    </w:p>
    <w:p w14:paraId="48E95726" w14:textId="77777777" w:rsidR="005B561C" w:rsidRPr="000F7C87" w:rsidRDefault="00000000">
      <w:pPr>
        <w:rPr>
          <w:szCs w:val="26"/>
        </w:rPr>
      </w:pPr>
      <w:r w:rsidRPr="000F7C87">
        <w:rPr>
          <w:szCs w:val="26"/>
        </w:rPr>
        <w:t>Thứ năm, Nhà trường đã có nguồn lực tài chính gắn cơ chế sở hữu trí tuệ tương đối hoàn chỉnh là Quỹ Học bổng sau tiến sĩ Ngô Xuân Độ với ngân sách 5 tỷ đồng, và có kết nối với Mạng lưới Trung tâm Hỗ trợ công nghệ và đổi mới sáng tạo từ năm 2023.</w:t>
      </w:r>
    </w:p>
    <w:p w14:paraId="0DE297E1" w14:textId="77777777" w:rsidR="005B561C" w:rsidRPr="000F7C87" w:rsidRDefault="00000000">
      <w:pPr>
        <w:keepNext/>
        <w:spacing w:before="200" w:after="100"/>
        <w:ind w:firstLine="0"/>
        <w:outlineLvl w:val="2"/>
        <w:rPr>
          <w:szCs w:val="26"/>
        </w:rPr>
      </w:pPr>
      <w:r w:rsidRPr="000F7C87">
        <w:rPr>
          <w:b/>
          <w:szCs w:val="26"/>
        </w:rPr>
        <w:t>2.5.2. Hạn chế</w:t>
      </w:r>
    </w:p>
    <w:p w14:paraId="48E95726" w14:textId="77777777" w:rsidR="005B561C" w:rsidRPr="000F7C87" w:rsidRDefault="00000000">
      <w:pPr>
        <w:rPr>
          <w:szCs w:val="26"/>
        </w:rPr>
      </w:pPr>
      <w:r w:rsidRPr="000F7C87">
        <w:rPr>
          <w:szCs w:val="26"/>
        </w:rPr>
        <w:t>Thứ nhất, kết quả nghiên cứu hầu như không được chuyển hóa thành quyền: 11 trên 38 đề tài có sản phẩm đủ điều kiện nhưng chỉ 1 đề tài nộp đơn; 8 đề tài đủ điều kiện giai đoạn 2021 - 2024 đều không nộp đơn; hoạt động nghiên cứu chỉ đóng góp 2 trên 12 tài sản trí tuệ.</w:t>
      </w:r>
    </w:p>
    <w:p w14:paraId="48E95726" w14:textId="77777777" w:rsidR="005B561C" w:rsidRPr="000F7C87" w:rsidRDefault="00000000">
      <w:pPr>
        <w:rPr>
          <w:szCs w:val="26"/>
        </w:rPr>
      </w:pPr>
      <w:r w:rsidRPr="000F7C87">
        <w:rPr>
          <w:szCs w:val="26"/>
        </w:rPr>
        <w:t>Thứ hai, hệ thống quy định chồng lấn và chưa theo kịp pháp luật: bốn văn bản chứa năm quy định chia lợi ích, và mức trần 100 triệu đồng không còn tương thích với Điều 135 Luật Sở hữu trí tuệ hiện hành.</w:t>
      </w:r>
    </w:p>
    <w:p w14:paraId="48E95726" w14:textId="77777777" w:rsidR="005B561C" w:rsidRPr="000F7C87" w:rsidRDefault="00000000">
      <w:pPr>
        <w:rPr>
          <w:szCs w:val="26"/>
        </w:rPr>
      </w:pPr>
      <w:r w:rsidRPr="000F7C87">
        <w:rPr>
          <w:szCs w:val="26"/>
        </w:rPr>
        <w:t>Thứ ba, quản lý quyền diễn ra theo hai luồng tách rời: luồng thương hiệu vận hành đều và có kết quả, luồng nghiên cứu gần như không; danh mục tài sản và danh mục sản phẩm đề tài gần như không có điểm giao.</w:t>
      </w:r>
    </w:p>
    <w:p w14:paraId="48E95726" w14:textId="77777777" w:rsidR="005B561C" w:rsidRPr="000F7C87" w:rsidRDefault="00000000">
      <w:pPr>
        <w:rPr>
          <w:szCs w:val="26"/>
        </w:rPr>
      </w:pPr>
      <w:r w:rsidRPr="000F7C87">
        <w:rPr>
          <w:szCs w:val="26"/>
        </w:rPr>
        <w:t>Thứ tư, năng lực xác lập quyền sở hữu công nghiệp phụ thuộc đối tác: 6 trên 12 tài sản, gồm toàn bộ kiểu dáng công nghiệp, đồng sở hữu với một doanh nghiệp.</w:t>
      </w:r>
    </w:p>
    <w:p w14:paraId="48E95726" w14:textId="77777777" w:rsidR="005B561C" w:rsidRPr="000F7C87" w:rsidRDefault="00000000">
      <w:pPr>
        <w:rPr>
          <w:szCs w:val="26"/>
        </w:rPr>
      </w:pPr>
      <w:r w:rsidRPr="000F7C87">
        <w:rPr>
          <w:szCs w:val="26"/>
        </w:rPr>
        <w:t>Thứ năm, hệ thống dữ liệu chưa đáp ứng yêu cầu quản lý và nghĩa vụ công khai: không có danh mục tài sản trí tuệ trong hệ thống thống kê, độ phủ khai báo khoảng 29,9%, 7 trên 16 tiêu chí đánh giá chưa tính được.</w:t>
      </w:r>
    </w:p>
    <w:p w14:paraId="48E95726" w14:textId="77777777" w:rsidR="005B561C" w:rsidRPr="000F7C87" w:rsidRDefault="00000000">
      <w:pPr>
        <w:rPr>
          <w:szCs w:val="26"/>
        </w:rPr>
      </w:pPr>
      <w:r w:rsidRPr="000F7C87">
        <w:rPr>
          <w:szCs w:val="26"/>
        </w:rPr>
        <w:t>Thứ sáu, khai thác có thu phí rất hẹp: hai hợp đồng chuyển giao quyền sử dụng tác phẩm trong năm năm, chín văn bằng chưa phát sinh giao dịch chuyển giao quyền.</w:t>
      </w:r>
    </w:p>
    <w:p w14:paraId="48E95726" w14:textId="77777777" w:rsidR="005B561C" w:rsidRPr="000F7C87" w:rsidRDefault="00000000">
      <w:pPr>
        <w:rPr>
          <w:szCs w:val="26"/>
        </w:rPr>
      </w:pPr>
      <w:r w:rsidRPr="000F7C87">
        <w:rPr>
          <w:szCs w:val="26"/>
        </w:rPr>
        <w:t>Thứ bảy, nghiệm thu chưa gắn với sản phẩm có thể bảo hộ: 20 trên 38 đề tài xếp loại Tốt trở lên, 7 đề tài chỉ có báo cáo tổng kết nhưng 5 trong số đó vẫn xếp loại Tốt, và quy trình nghiệm thu không có khâu đánh giá khả năng bảo hộ.</w:t>
      </w:r>
    </w:p>
    <w:p w14:paraId="0DE297E1" w14:textId="77777777" w:rsidR="005B561C" w:rsidRPr="000F7C87" w:rsidRDefault="00000000">
      <w:pPr>
        <w:keepNext/>
        <w:spacing w:before="200" w:after="100"/>
        <w:ind w:firstLine="0"/>
        <w:outlineLvl w:val="2"/>
        <w:rPr>
          <w:szCs w:val="26"/>
        </w:rPr>
      </w:pPr>
      <w:r w:rsidRPr="000F7C87">
        <w:rPr>
          <w:b/>
          <w:szCs w:val="26"/>
        </w:rPr>
        <w:t>2.5.3. Nguyên nhân của hạn chế</w:t>
      </w:r>
    </w:p>
    <w:p w14:paraId="0DE297E1" w14:textId="77777777" w:rsidR="005B561C" w:rsidRPr="000F7C87" w:rsidRDefault="00000000">
      <w:pPr>
        <w:keepNext/>
        <w:spacing w:before="200" w:after="100"/>
        <w:ind w:firstLine="0"/>
        <w:rPr>
          <w:szCs w:val="26"/>
        </w:rPr>
      </w:pPr>
      <w:r w:rsidRPr="000F7C87">
        <w:rPr>
          <w:b/>
          <w:szCs w:val="26"/>
        </w:rPr>
        <w:t>a) Nguyên nhân khách quan</w:t>
      </w:r>
    </w:p>
    <w:p w14:paraId="48E95726" w14:textId="77777777" w:rsidR="005B561C" w:rsidRPr="000F7C87" w:rsidRDefault="00000000">
      <w:pPr>
        <w:rPr>
          <w:szCs w:val="26"/>
        </w:rPr>
      </w:pPr>
      <w:r w:rsidRPr="000F7C87">
        <w:rPr>
          <w:szCs w:val="26"/>
        </w:rPr>
        <w:t>Thứ nhất, khung pháp luật thay đổi dồn dập trong giai đoạn 2025 - 2026, gồm Luật Khoa học, công nghệ và đổi mới sáng tạo số 93/2025/QH15 có hiệu lực từ ngày 01 tháng 10 năm 2025, Luật Giáo dục đại học số 125/2025/QH15, Luật số 131/2025/QH15 sửa đổi Luật Sở hữu trí tuệ có hiệu lực từ ngày 01 tháng 4 năm 2026, Kết luận số 51-KL/TW ngày 17 tháng 6 năm 2026 và Quyết định số 1624/QĐ-TTg ngày 21 tháng 8 năm 2026. Quy chế ban hành năm 2021 được xây dựng trên khung cũ nên một số quy định như mức trần thù lao không còn tương thích.</w:t>
      </w:r>
    </w:p>
    <w:p w14:paraId="48E95726" w14:textId="77777777" w:rsidR="005B561C" w:rsidRPr="000F7C87" w:rsidRDefault="00000000">
      <w:pPr>
        <w:rPr>
          <w:szCs w:val="26"/>
        </w:rPr>
      </w:pPr>
      <w:r w:rsidRPr="000F7C87">
        <w:rPr>
          <w:szCs w:val="26"/>
        </w:rPr>
        <w:t>Thứ hai, thủ tục xác lập quyền sở hữu công nghiệp kéo dài và phát sinh chi phí tra cứu, soạn đơn, lệ phí, phí duy trì; là trường tư thục, Nhà trường phải tự cân đối các khoản này từ nguồn thu của mình.</w:t>
      </w:r>
    </w:p>
    <w:p w14:paraId="48E95726" w14:textId="77777777" w:rsidR="005B561C" w:rsidRPr="000F7C87" w:rsidRDefault="00000000">
      <w:pPr>
        <w:rPr>
          <w:szCs w:val="26"/>
        </w:rPr>
      </w:pPr>
      <w:r w:rsidRPr="000F7C87">
        <w:rPr>
          <w:szCs w:val="26"/>
        </w:rPr>
        <w:t>Thứ ba, cơ cấu ngành chủ yếu thuộc kinh tế, quản lý, ngôn ngữ, giáo dục và pháp luật, vốn chủ yếu tạo ra tác phẩm thuộc quyền tác giả; tiềm năng sở hữu công nghiệp tập trung ở lĩnh vực dược.</w:t>
      </w:r>
    </w:p>
    <w:p w14:paraId="48E95726" w14:textId="77777777" w:rsidR="005B561C" w:rsidRPr="000F7C87" w:rsidRDefault="00000000">
      <w:pPr>
        <w:rPr>
          <w:szCs w:val="26"/>
        </w:rPr>
      </w:pPr>
      <w:r w:rsidRPr="000F7C87">
        <w:rPr>
          <w:szCs w:val="26"/>
        </w:rPr>
        <w:t>Các nguyên nhân khách quan giải thích vì sao quy mô tài sản trí tuệ còn nhỏ, nhưng không giải thích được vì sao 8 đề tài đủ điều kiện giai đoạn 2021 - 2024 đều không được nộp đơn.</w:t>
      </w:r>
    </w:p>
    <w:p w14:paraId="0DE297E1" w14:textId="77777777" w:rsidR="005B561C" w:rsidRPr="000F7C87" w:rsidRDefault="00000000">
      <w:pPr>
        <w:keepNext/>
        <w:spacing w:before="200" w:after="100"/>
        <w:ind w:firstLine="0"/>
        <w:rPr>
          <w:szCs w:val="26"/>
        </w:rPr>
      </w:pPr>
      <w:r w:rsidRPr="000F7C87">
        <w:rPr>
          <w:b/>
          <w:szCs w:val="26"/>
        </w:rPr>
        <w:t>b) Nguyên nhân chủ quan</w:t>
      </w:r>
    </w:p>
    <w:p w14:paraId="48E95726" w14:textId="77777777" w:rsidR="005B561C" w:rsidRPr="000F7C87" w:rsidRDefault="00000000">
      <w:pPr>
        <w:rPr>
          <w:szCs w:val="26"/>
        </w:rPr>
      </w:pPr>
      <w:r w:rsidRPr="000F7C87">
        <w:rPr>
          <w:szCs w:val="26"/>
        </w:rPr>
        <w:t>Về thể chế, bốn văn bản chứa năm quy định chia lợi ích với phạm vi không rõ ranh giới; Quyết định 217 không thay thế Chương VI Quyết định 213, nên người có sản phẩm không xác định được quy định nào áp dụng.</w:t>
      </w:r>
    </w:p>
    <w:p w14:paraId="48E95726" w14:textId="77777777" w:rsidR="005B561C" w:rsidRPr="000F7C87" w:rsidRDefault="00000000">
      <w:pPr>
        <w:rPr>
          <w:szCs w:val="26"/>
        </w:rPr>
      </w:pPr>
      <w:r w:rsidRPr="000F7C87">
        <w:rPr>
          <w:szCs w:val="26"/>
        </w:rPr>
        <w:t>Về quy trình, Điều 35 Quyết định 213 thiết kế theo cơ chế tác giả chủ động nộp đơn, không có khâu rà soát bắt buộc khả năng bảo hộ khi nghiệm thu; Điều 10 Quyết định 217 tiếp tục đặt trách nhiệm tự nhận diện lên tác giả. Quy trình có trên văn bản nhưng không được kích hoạt.</w:t>
      </w:r>
    </w:p>
    <w:p w14:paraId="48E95726" w14:textId="77777777" w:rsidR="005B561C" w:rsidRPr="000F7C87" w:rsidRDefault="00000000">
      <w:pPr>
        <w:rPr>
          <w:szCs w:val="26"/>
        </w:rPr>
      </w:pPr>
      <w:r w:rsidRPr="000F7C87">
        <w:rPr>
          <w:szCs w:val="26"/>
        </w:rPr>
        <w:t>Về nguồn lực, kênh sinh ra sản phẩm có thể bảo hộ không có dòng chi cho phí nộp đơn và duy trì hiệu lực; kênh có đủ cơ chế là Quỹ Học bổng sau tiến sĩ chỉ dành cho đối tượng hẹp; đơn vị đầu mối chỉ có 2 nhân sự và không có người chuyên trách về sở hữu trí tuệ.</w:t>
      </w:r>
    </w:p>
    <w:p w14:paraId="48E95726" w14:textId="77777777" w:rsidR="005B561C" w:rsidRPr="000F7C87" w:rsidRDefault="00000000">
      <w:pPr>
        <w:rPr>
          <w:szCs w:val="26"/>
        </w:rPr>
      </w:pPr>
      <w:r w:rsidRPr="000F7C87">
        <w:rPr>
          <w:szCs w:val="26"/>
        </w:rPr>
        <w:t>Về động lực, văn bằng được quy đổi từ 180 đến 600 giờ nghiên cứu nhưng không có tiền thưởng và chỉ được ghi nhận sau khi được cấp, trong khi bài báo quốc tế được thưởng từ 10 đến 20 triệu đồng ngay khi đăng.</w:t>
      </w:r>
    </w:p>
    <w:p w14:paraId="48E95726" w14:textId="77777777" w:rsidR="005B561C" w:rsidRPr="000F7C87" w:rsidRDefault="00000000">
      <w:pPr>
        <w:rPr>
          <w:szCs w:val="26"/>
        </w:rPr>
      </w:pPr>
      <w:r w:rsidRPr="000F7C87">
        <w:rPr>
          <w:szCs w:val="26"/>
        </w:rPr>
        <w:t>Về tổ chức, chức năng quản lý bị chia cho bốn đơn vị, ba đơn vị thuộc khối Quản trị và Dịch vụ, và không đơn vị nào thực hiện trọn chu trình từ nhận diện đến khai thác.</w:t>
      </w:r>
    </w:p>
    <w:p w14:paraId="48E95726" w14:textId="77777777" w:rsidR="005B561C" w:rsidRPr="000F7C87" w:rsidRDefault="00000000">
      <w:pPr>
        <w:rPr>
          <w:szCs w:val="26"/>
        </w:rPr>
      </w:pPr>
      <w:r w:rsidRPr="000F7C87">
        <w:rPr>
          <w:szCs w:val="26"/>
        </w:rPr>
        <w:t>Về dữ liệu, không có danh mục tài sản trí tuệ và độ phủ khai báo thấp nên đơn vị đầu mối không có công cụ phát hiện sản phẩm cần rà soát.</w:t>
      </w:r>
    </w:p>
    <w:p w14:paraId="48E95726" w14:textId="77777777" w:rsidR="005B561C" w:rsidRPr="000F7C87" w:rsidRDefault="00000000">
      <w:pPr>
        <w:rPr>
          <w:szCs w:val="26"/>
        </w:rPr>
      </w:pPr>
      <w:r w:rsidRPr="000F7C87">
        <w:rPr>
          <w:szCs w:val="26"/>
        </w:rPr>
        <w:t>Về con người, năng lực nghiên cứu tập trung ở khoảng một phần ba nhân sự, và trường hợp chuyển hóa thành công duy nhất thuộc về một chủ nhiệm đồng thời chủ trì đề tài cấp quốc gia, nên hoạt động xác lập quyền mang tính đơn lẻ.</w:t>
      </w:r>
    </w:p>
    <w:p w14:paraId="48E95726" w14:textId="77777777" w:rsidR="005B561C" w:rsidRPr="000F7C87" w:rsidRDefault="00000000">
      <w:pPr>
        <w:rPr>
          <w:szCs w:val="26"/>
        </w:rPr>
      </w:pPr>
      <w:r w:rsidRPr="000F7C87">
        <w:rPr>
          <w:szCs w:val="26"/>
        </w:rPr>
        <w:t>Bảy nguyên nhân chủ quan liên kết thành một chuỗi: thiếu dữ liệu nên đầu mối không phát hiện sản phẩm; thiếu khâu rà soát nên trách nhiệm dồn về tác giả; tác giả đối diện quy định không thống nhất, không có kinh phí nộp đơn và phần thưởng đến chậm nên chọn công bố; sau mười hai tháng, sản phẩm mất khả năng xác lập quyền sáng chế và giải pháp hữu ích. Việc Nhà trường tham gia Mạng lưới Trung tâm Hỗ trợ công nghệ và đổi mới sáng tạo từ năm 2023 mà hai năm 2023 - 2024 không có đơn nào xuất phát từ đề tài cho thấy điểm nghẽn không nằm ở khả năng tiếp cận thông tin mà ở khâu nhận diện và khởi động quy trình. Hệ thống giải pháp tại Chương 3 vì vậy cần tác động đồng thời vào cả chuỗi, trong đó khâu rà soát khả năng bảo hộ tại thời điểm nghiệm thu là điểm can thiệp ưu tiên.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chart" Target="charts/chart1.xml"/><Relationship Id="rId9" Type="http://schemas.openxmlformats.org/officeDocument/2006/relationships/chart" Target="charts/chart2.xml"/><Relationship Id="rId10" Type="http://schemas.openxmlformats.org/officeDocument/2006/relationships/chart" Target="charts/chart3.xml"/><Relationship Id="rId11" Type="http://schemas.openxmlformats.org/officeDocument/2006/relationships/chart" Target="charts/chart4.xml"/><Relationship Id="rId12" Type="http://schemas.openxmlformats.org/officeDocument/2006/relationships/chart" Target="charts/chart5.xml"/><Relationship Id="rId13" Type="http://schemas.openxmlformats.org/officeDocument/2006/relationships/chart" Target="charts/chart6.xml"/><Relationship Id="rId14" Type="http://schemas.openxmlformats.org/officeDocument/2006/relationships/chart" Target="charts/chart7.xml"/><Relationship Id="rId15" Type="http://schemas.openxmlformats.org/officeDocument/2006/relationships/chart" Target="charts/chart8.xml"/><Relationship Id="rId16" Type="http://schemas.openxmlformats.org/officeDocument/2006/relationships/chart" Target="charts/chart9.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64210526315789473"/>
        </c:manualLayout>
      </c:layout>
      <c:lineChart>
        <c:grouping val="standard"/>
        <c:ser>
          <c:idx val="0"/>
          <c:order val="0"/>
          <c:tx>
            <c:strRef>
              <c:f>'Du_lieu'!$B$1</c:f>
              <c:strCache>
                <c:ptCount val="1"/>
                <c:pt idx="0">
                  <c:v>Quyết định 213, điểm a</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Quyết định 213, điểm b</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ser>
          <c:idx val="2"/>
          <c:order val="2"/>
          <c:tx>
            <c:strRef>
              <c:f>'Du_lieu'!$D$1</c:f>
              <c:strCache>
                <c:ptCount val="1"/>
                <c:pt idx="0">
                  <c:v>Quỹ Ngô Xuân Độ, năm đầu</c:v>
                </c:pt>
              </c:strCache>
            </c:strRef>
          </c:tx>
          <c:spPr>
            <a:ln w="28575">
              <a:solidFill>
                <a:srgbClr val="EB6834"/>
              </a:solidFill>
            </a:ln>
          </c:spPr>
          <c:marker>
            <c:symbol val="circle"/>
            <c:size val="6"/>
            <c:spPr>
              <a:solidFill>
                <a:srgbClr val="EB6834"/>
              </a:solidFill>
              <a:ln>
                <a:solidFill>
                  <a:srgbClr val="EB6834"/>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'Du_lieu'!$D$2:$D$9</c:f>
              <c:numCache>
                <c:formatCode>General</c:formatCode>
                <c:ptCount val="8"/>
                <c:pt idx="0">
                  <c:v>0</c:v>
                </c:pt>
                <c:pt idx="1">
                  <c:v>50</c:v>
                </c:pt>
                <c:pt idx="2">
                  <c:v>100</c:v>
                </c:pt>
                <c:pt idx="3">
                  <c:v>150</c:v>
                </c:pt>
                <c:pt idx="4">
                  <c:v>200</c:v>
                </c:pt>
                <c:pt idx="5">
                  <c:v>250</c:v>
                </c:pt>
                <c:pt idx="6">
                  <c:v>300</c:v>
                </c:pt>
                <c:pt idx="7">
                  <c:v>350</c:v>
                </c:pt>
              </c:numCache>
            </c:numRef>
          </c:val>
          <c:smooth val="0"/>
        </c:ser>
        <c:ser>
          <c:idx val="3"/>
          <c:order val="3"/>
          <c:tx>
            <c:strRef>
              <c:f>'Du_lieu'!$E$1</c:f>
              <c:strCache>
                <c:ptCount val="1"/>
                <c:pt idx="0">
                  <c:v>Quỹ Ngô Xuân Độ, từ năm thứ hai</c:v>
                </c:pt>
              </c:strCache>
            </c:strRef>
          </c:tx>
          <c:spPr>
            <a:ln w="28575">
              <a:solidFill>
                <a:srgbClr val="4A3AA7"/>
              </a:solidFill>
              <a:prstDash val="dash"/>
            </a:ln>
          </c:spPr>
          <c:marker>
            <c:symbol val="circle"/>
            <c:size val="6"/>
            <c:spPr>
              <a:solidFill>
                <a:srgbClr val="4A3AA7"/>
              </a:solidFill>
              <a:ln>
                <a:solidFill>
                  <a:srgbClr val="4A3AA7"/>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'Du_lieu'!$E$2:$E$9</c:f>
              <c:numCache>
                <c:formatCode>General</c:formatCode>
                <c:ptCount val="8"/>
                <c:pt idx="0">
                  <c:v>0</c:v>
                </c:pt>
                <c:pt idx="1">
                  <c:v>20</c:v>
                </c:pt>
                <c:pt idx="2">
                  <c:v>40</c:v>
                </c:pt>
                <c:pt idx="3">
                  <c:v>60</c:v>
                </c:pt>
                <c:pt idx="4">
                  <c:v>80</c:v>
                </c:pt>
                <c:pt idx="5">
                  <c:v>100</c:v>
                </c:pt>
                <c:pt idx="6">
                  <c:v>120</c:v>
                </c:pt>
                <c:pt idx="7">
                  <c:v>140</c:v>
                </c:pt>
              </c:numCache>
            </c:numRef>
          </c:val>
          <c:smooth val="0"/>
        </c:ser>
        <c:ser>
          <c:idx val="4"/>
          <c:order val="4"/>
          <c:tx>
            <c:strRef>
              <c:f>'Du_lieu'!$F$1</c:f>
              <c:strCache>
                <c:ptCount val="1"/>
                <c:pt idx="0">
                  <c:v>Luật Sở hữu trí tuệ, Điều 135</c:v>
                </c:pt>
              </c:strCache>
            </c:strRef>
          </c:tx>
          <c:spPr>
            <a:ln w="19050">
              <a:solidFill>
                <a:srgbClr val="3B3A36"/>
              </a:solidFill>
              <a:prstDash val="sysDot"/>
            </a:ln>
          </c:spPr>
          <c:marker>
            <c:symbol val="circle"/>
            <c:size val="6"/>
            <c:spPr>
              <a:solidFill>
                <a:srgbClr val="3B3A36"/>
              </a:solidFill>
              <a:ln>
                <a:solidFill>
                  <a:srgbClr val="3B3A3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'Du_lieu'!$F$2:$F$9</c:f>
              <c:numCache>
                <c:formatCode>General</c:formatCode>
                <c:ptCount val="8"/>
                <c:pt idx="0">
                  <c:v>0</c:v>
                </c:pt>
                <c:pt idx="1">
                  <c:v>15</c:v>
                </c:pt>
                <c:pt idx="2">
                  <c:v>30</c:v>
                </c:pt>
                <c:pt idx="3">
                  <c:v>45</c:v>
                </c:pt>
                <c:pt idx="4">
                  <c:v>60</c:v>
                </c:pt>
                <c:pt idx="5">
                  <c:v>75</c:v>
                </c:pt>
                <c:pt idx="6">
                  <c:v>90</c:v>
                </c:pt>
                <c:pt idx="7">
                  <c:v>105</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Khoản thu từ một hợp đồng chuyển giao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của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ser>
          <c:idx val="0"/>
          <c:order val="0"/>
          <c:tx>
            <c:strRef>
              <c:f>'Du_lieu'!$B$1</c:f>
              <c:strCache>
                <c:ptCount val="1"/>
                <c:pt idx="0">
                  <c:v>Tính được đầy đủ</c:v>
                </c:pt>
              </c:strCache>
            </c:strRef>
          </c:tx>
          <c:spPr>
            <a:solidFill>
              <a:srgbClr val="1BAF7A"/>
            </a:solidFill>
            <a:ln w="9525">
              <a:solidFill>
                <a:srgbClr val="FFFFFF"/>
              </a:solidFill>
            </a:ln>
          </c:spPr>
          <c:dLbls>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3</c:v>
                </c:pt>
                <c:pt idx="3">
                  <c:v>0</c:v>
                </c:pt>
              </c:numCache>
            </c:numRef>
          </c:val>
        </c:ser>
        <c:ser>
          <c:idx val="1"/>
          <c:order val="1"/>
          <c:tx>
            <c:strRef>
              <c:f>'Du_lieu'!$C$1</c:f>
              <c:strCache>
                <c:ptCount val="1"/>
                <c:pt idx="0">
                  <c:v>Tính được một phần</c:v>
                </c:pt>
              </c:strCache>
            </c:strRef>
          </c:tx>
          <c:spPr>
            <a:solidFill>
              <a:srgbClr val="EDA100"/>
            </a:solidFill>
            <a:ln w="9525">
              <a:solidFill>
                <a:srgbClr val="FFFFFF"/>
              </a:solidFill>
            </a:ln>
          </c:spPr>
          <c:dLbls>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1</c:v>
                </c:pt>
                <c:pt idx="3">
                  <c:v>1</c:v>
                </c:pt>
              </c:numCache>
            </c:numRef>
          </c:val>
        </c:ser>
        <c:ser>
          <c:idx val="2"/>
          <c:order val="2"/>
          <c:tx>
            <c:strRef>
              <c:f>'Du_lieu'!$D$1</c:f>
              <c:strCache>
                <c:ptCount val="1"/>
                <c:pt idx="0">
                  <c:v>Chưa tính được</c:v>
                </c:pt>
              </c:strCache>
            </c:strRef>
          </c:tx>
          <c:spPr>
            <a:solidFill>
              <a:srgbClr val="EB6834"/>
            </a:solidFill>
            <a:ln w="9525">
              <a:solidFill>
                <a:srgbClr val="FFFFFF"/>
              </a:solidFill>
            </a:ln>
          </c:spPr>
          <c:dLbls>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ser>
        <c:gapWidth val="50"/>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6.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19607843137254904"/>
          <c:w val="0.62322580645161296"/>
          <c:h val="0.58823529411764697"/>
        </c:manualLayout>
      </c:layout>
      <c:barChart>
        <c:barDir val="bar"/>
        <c:grouping val="stacked"/>
        <c:ser>
          <c:idx val="0"/>
          <c:order val="0"/>
          <c:tx>
            <c:strRef>
              <c:f>'Du_lieu'!$B$1</c:f>
              <c:strCache>
                <c:ptCount val="1"/>
                <c:pt idx="0">
                  <c:v>Đã cấp văn bằng</c:v>
                </c:pt>
              </c:strCache>
            </c:strRef>
          </c:tx>
          <c:spPr>
            <a:solidFill>
              <a:srgbClr val="2A78D6"/>
            </a:solidFill>
            <a:ln w="9525">
              <a:solidFill>
                <a:srgbClr val="FFFFFF"/>
              </a:solidFill>
            </a:ln>
          </c:spPr>
          <c:dLbls>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5</c:v>
                </c:pt>
                <c:pt idx="3">
                  <c:v>0</c:v>
                </c:pt>
              </c:numCache>
            </c:numRef>
          </c:val>
        </c:ser>
        <c:ser>
          <c:idx val="1"/>
          <c:order val="1"/>
          <c:tx>
            <c:strRef>
              <c:f>'Du_lieu'!$C$1</c:f>
              <c:strCache>
                <c:ptCount val="1"/>
                <c:pt idx="0">
                  <c:v>Đang xử lý</c:v>
                </c:pt>
              </c:strCache>
            </c:strRef>
          </c:tx>
          <c:spPr>
            <a:solidFill>
              <a:srgbClr val="EDA100"/>
            </a:solidFill>
            <a:ln w="9525">
              <a:solidFill>
                <a:srgbClr val="FFFFFF"/>
              </a:solidFill>
            </a:ln>
          </c:spPr>
          <c:dLbls>
            <c:dLbl>
              <c:idx val="0"/>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1</c:v>
                </c:pt>
                <c:pt idx="2">
                  <c:v>0</c:v>
                </c:pt>
                <c:pt idx="3">
                  <c:v>2</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tài sản</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607843137254905"/>
          <c:w val="0.95999999999999996"/>
          <c:h val="0.12745098039215688"/>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7.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8.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ser>
          <c:idx val="0"/>
          <c:order val="0"/>
          <c:tx>
            <c:strRef>
              <c:f>'Du_lieu'!$B$1</c:f>
              <c:strCache>
                <c:ptCount val="1"/>
                <c:pt idx="0">
                  <c:v>Toàn giai đoạn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'Du_lieu'!$B$2:$B$4</c:f>
              <c:numCache>
                <c:formatCode>General</c:formatCode>
                <c:ptCount val="3"/>
                <c:pt idx="0">
                  <c:v>38</c:v>
                </c:pt>
                <c:pt idx="1">
                  <c:v>11</c:v>
                </c:pt>
                <c:pt idx="2">
                  <c:v>1</c:v>
                </c:pt>
              </c:numCache>
            </c:numRef>
          </c:val>
        </c:ser>
        <c:ser>
          <c:idx val="1"/>
          <c:order val="1"/>
          <c:tx>
            <c:strRef>
              <c:f>'Du_lieu'!$C$1</c:f>
              <c:strCache>
                <c:ptCount val="1"/>
                <c:pt idx="0">
                  <c:v>Đề tài giao từ năm 2021 đến năm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'Du_lieu'!$C$2:$C$4</c:f>
              <c:numCache>
                <c:formatCode>General</c:formatCode>
                <c:ptCount val="3"/>
                <c:pt idx="0">
                  <c:v>31</c:v>
                </c:pt>
                <c:pt idx="1">
                  <c:v>8</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230769230769232"/>
          <c:w val="0.95999999999999996"/>
          <c:h val="0.12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9.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3032258064516129"/>
          <c:y val="0.034883720930232558"/>
          <c:w val="0.59870967741935477"/>
          <c:h val="0.83720930232558133"/>
        </c:manualLayout>
      </c:layout>
      <c:barChart>
        <c:barDir val="bar"/>
        <c:grouping val="clustered"/>
        <c:ser>
          <c:idx val="0"/>
          <c:order val="0"/>
          <c:tx>
            <c:strRef>
              <c:f>'Du_lieu'!$E$1</c:f>
              <c:strCache>
                <c:ptCount val="1"/>
                <c:pt idx="0">
                  <c:v>Tỷ lệ thực hiện</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2A78D6"/>
              </a:solidFill>
              <a:ln w="9525">
                <a:solidFill>
                  <a:srgbClr val="FFFFFF"/>
                </a:solidFill>
              </a:ln>
            </c:spPr>
          </c:dPt>
          <c:dPt>
            <c:idx val="4"/>
            <c:spPr>
              <a:solidFill>
                <a:srgbClr val="1BAF7A"/>
              </a:solidFill>
              <a:ln w="9525">
                <a:solidFill>
                  <a:srgbClr val="FFFFFF"/>
                </a:solidFill>
              </a:ln>
            </c:spPr>
          </c:dPt>
          <c:dPt>
            <c:idx val="5"/>
            <c:spPr>
              <a:solidFill>
                <a:srgbClr val="1BAF7A"/>
              </a:solidFill>
              <a:ln w="9525">
                <a:solidFill>
                  <a:srgbClr val="FFFFFF"/>
                </a:solidFill>
              </a:ln>
            </c:spPr>
          </c:dPt>
          <c:dPt>
            <c:idx val="6"/>
            <c:spPr>
              <a:solidFill>
                <a:srgbClr val="2A78D6"/>
              </a:solidFill>
              <a:ln w="9525">
                <a:solidFill>
                  <a:srgbClr val="FFFFFF"/>
                </a:solidFill>
              </a:ln>
            </c:spPr>
          </c:dPt>
          <c:dPt>
            <c:idx val="7"/>
            <c:spPr>
              <a:solidFill>
                <a:srgbClr val="1BAF7A"/>
              </a:solidFill>
              <a:ln w="9525">
                <a:solidFill>
                  <a:srgbClr val="FFFFFF"/>
                </a:solidFill>
              </a:ln>
            </c:spPr>
          </c:dPt>
          <c:dPt>
            <c:idx val="8"/>
            <c:spPr>
              <a:solidFill>
                <a:srgbClr val="EB6834"/>
              </a:solidFill>
              <a:ln w="9525">
                <a:solidFill>
                  <a:srgbClr val="FFFFFF"/>
                </a:solidFill>
              </a:ln>
            </c:spPr>
          </c:dPt>
          <c:dPt>
            <c:idx val="9"/>
            <c:spPr>
              <a:solidFill>
                <a:srgbClr val="EB6834"/>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'Du_lieu'!$A$2:$A$11</c:f>
              <c:strCache>
                <c:ptCount val="10"/>
                <c:pt idx="0">
                  <c:v>Bài báo quốc tế</c:v>
                </c:pt>
                <c:pt idx="1">
                  <c:v>Sách có ISBN</c:v>
                </c:pt>
                <c:pt idx="2">
                  <c:v>Tham luận cấp trường</c:v>
                </c:pt>
                <c:pt idx="3">
                  <c:v>Bài báo trong nước</c:v>
                </c:pt>
                <c:pt idx="4">
                  <c:v>Đề tài cấp Bộ, Nhà nước</c:v>
                </c:pt>
                <c:pt idx="5">
                  <c:v>Đề tài cấp cơ sở</c:v>
                </c:pt>
                <c:pt idx="6">
                  <c:v>Tham luận quốc tế</c:v>
                </c:pt>
                <c:pt idx="7">
                  <c:v>Giáo trình, tài liệu</c:v>
                </c:pt>
                <c:pt idx="8">
                  <c:v>Văn bằng sở hữu trí tuệ</c:v>
                </c:pt>
                <c:pt idx="9">
                  <c:v>Chuyển giao công nghệ</c:v>
                </c:pt>
              </c:strCache>
            </c:strRef>
          </c:cat>
          <c:val>
            <c:numRef>
              <c:f>'Du_lieu'!$E$2:$E$11</c:f>
              <c:numCache>
                <c:formatCode>General</c:formatCode>
                <c:ptCount val="10"/>
                <c:pt idx="0">
                  <c:v>2.833333333333333</c:v>
                </c:pt>
                <c:pt idx="1">
                  <c:v>2.666666666666667</c:v>
                </c:pt>
                <c:pt idx="2">
                  <c:v>2.233333333333333</c:v>
                </c:pt>
                <c:pt idx="3">
                  <c:v>1.645454545454546</c:v>
                </c:pt>
                <c:pt idx="4">
                  <c:v>1.5</c:v>
                </c:pt>
                <c:pt idx="5">
                  <c:v>1.071428571428571</c:v>
                </c:pt>
                <c:pt idx="6">
                  <c:v>0.9090909090909091</c:v>
                </c:pt>
                <c:pt idx="7">
                  <c:v>0.9</c:v>
                </c:pt>
                <c:pt idx="8">
                  <c:v>1.5</c:v>
                </c:pt>
                <c:pt idx="9">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Thực trạng quản lý quyền sở hữu trí tuệ tại Trường Đại học Thành Đô</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