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i w:val="0"/>
          <w:color w:val="000000"/>
          <w:sz w:val="28"/>
        </w:rPr>
        <w:t>CHƯƠNG 2. CƠ SỞ LÝ LUẬN VÀ KINH NGHIỆM THỰC TIỄN VỀ QUẢN LÝ NHÀ NƯỚC VỀ QUYỀN SỞ HỮU TRÍ TUỆ TRONG NỀN KINH TẾ SỐ</w:t>
      </w:r>
    </w:p>
    <w:p>
      <w:pPr>
        <w:pStyle w:val="Heading2"/>
      </w:pPr>
      <w:r>
        <w:rPr>
          <w:rFonts w:ascii="Times New Roman" w:hAnsi="Times New Roman" w:eastAsia="Times New Roman" w:cs="Times New Roman"/>
          <w:b/>
          <w:i w:val="0"/>
          <w:color w:val="000000"/>
          <w:sz w:val="26"/>
        </w:rPr>
        <w:t>2.1. Quyền sở hữu trí tuệ và khai thác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Mục này xác lập hệ thống khái niệm làm cơ sở cho toàn bộ phần lý luận của luận án. Ba khái niệm được phân tích theo trình tự: quyền sở hữu trí tuệ (SHTT) với tư cách là đối tượng được Nhà nước công nhận và bảo hộ; nền kinh tế số với tư cách là môi trường làm thay đổi cách thức tạo ra và thu nhận giá trị từ quyền; khai thác quyền SHTT với tư cách là khâu chuyển hóa quyền thành giá trị kinh tế và là đối tượng trực tiếp của quản lý nhà nước (QLNN) trong phạm vi luận án.</w:t>
      </w:r>
    </w:p>
    <w:p>
      <w:pPr>
        <w:pStyle w:val="Heading3"/>
      </w:pPr>
      <w:r>
        <w:rPr>
          <w:rFonts w:ascii="Times New Roman" w:hAnsi="Times New Roman" w:eastAsia="Times New Roman" w:cs="Times New Roman"/>
          <w:b/>
          <w:i w:val="0"/>
          <w:color w:val="000000"/>
          <w:sz w:val="26"/>
        </w:rPr>
        <w:t>2.1.1. Khái niệm, đặc điểm của quyền sở hữu trí tuệ và các đối tượng quyền sở hữu trí tuệ trong nền kinh tế số</w:t>
      </w:r>
    </w:p>
    <w:p>
      <w:pPr>
        <w:pStyle w:val="Heading4"/>
      </w:pPr>
      <w:r>
        <w:rPr>
          <w:rFonts w:ascii="Times New Roman" w:hAnsi="Times New Roman" w:eastAsia="Times New Roman" w:cs="Times New Roman"/>
          <w:b/>
          <w:i/>
          <w:color w:val="000000"/>
          <w:sz w:val="26"/>
        </w:rPr>
        <w:t>2.1.1.1. Khái niệm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Khái niệm quyền SHTT được tiếp cận theo hai cách chủ yếu. Cách thứ nhất xác định nội hàm thông qua nguồn gốc của đối tượng được bảo hộ. Ấn phẩm </w:t>
      </w:r>
      <w:r>
        <w:rPr>
          <w:rFonts w:ascii="Times New Roman" w:hAnsi="Times New Roman" w:eastAsia="Times New Roman" w:cs="Times New Roman"/>
          <w:b w:val="0"/>
          <w:i/>
          <w:color w:val="000000"/>
          <w:sz w:val="26"/>
        </w:rPr>
        <w:t>What is Intellectual Property?</w:t>
      </w:r>
      <w:r>
        <w:rPr>
          <w:rFonts w:ascii="Times New Roman" w:hAnsi="Times New Roman" w:eastAsia="Times New Roman" w:cs="Times New Roman"/>
          <w:b w:val="0"/>
          <w:i w:val="0"/>
          <w:color w:val="000000"/>
          <w:sz w:val="26"/>
        </w:rPr>
        <w:t xml:space="preserve"> của Tổ chức Sở hữu trí tuệ Thế giới (WIPO) mô tả SHTT là các sáng tạo của trí tuệ con người, trải rộng từ tác phẩm nghệ thuật, sáng chế, chương trình máy tính đến nhãn hiệu và các dấu hiệu thương mại khác [27]. Cách tiếp cận này làm rõ bản chất của đối tượng, song chưa xác định được ranh giới pháp lý của quyền, vì không phải mọi sáng tạo trí tuệ đều được bảo hộ. Cách thứ hai xác định khái niệm thông qua liệt kê. Hiệp định về các khía cạnh liên quan đến thương mại của quyền SHTT (TRIPS) của Tổ chức Thương mại Thế giới (WTO) quy định thuật ngữ SHTT bao gồm tất cả các loại SHTT là đối tượng của các mục từ 1 đến 7 Phần II của Hiệp định [31]. Cách liệt kê này tạo ra sự rõ ràng và thống nhất giữa các quốc gia thành viên, nhưng có hạn chế là phải liên tục điều chỉnh khi xuất hiện những dạng sáng tạo mới, điều đang diễn ra rõ nét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Pháp luật Việt Nam kết hợp cả hai cách tiếp cận trên. Luật SHTT năm 2005 định nghĩa quyền SHTT là quyền của tổ chức, cá nhân đối với tài sản trí tuệ, bao gồm quyền tác giả và quyền liên quan đến quyền tác giả, quyền sở hữu công nghiệp và quyền đối với giống cây trồng [6]. Luật sửa đổi, bổ sung năm 2025 điều chỉnh định nghĩa này thành quyền của tổ chức, cá nhân đối với các đối tượng quyền tác giả và quyền liên quan đến quyền tác giả, quyền sở hữu công nghiệp và quyền đối với giống cây trồng [9]. Sự điều chỉnh có ý nghĩa đáng chú ý: thuật ngữ tài sản trí tuệ không được giải thích trong Luật, vì vậy việc gắn quyền trực tiếp với các đối tượng đã được liệt kê tại Điều 3 làm cho phạm vi của quyền trở nên xác định hơn. Đồng thời, cùng đạo luật này bổ sung Điều 8a về quản lý, khai thác quyền SHTT, theo đó chủ sở hữu được sử dụng quyền SHTT để thực hiện các giao dịch dân sự, thương mại, đầu tư, và Nhà nước khuyến khích sử dụng quyền SHTT để góp vốn hoặc thế chấp vay vốn [9]. Như vậy, trong pháp luật hiện hành, quyền SHTT vừa được xác định theo đối tượng bảo hộ, vừa được thừa nhận là một loại tài sản có thể tham gia giao dịch.</w:t>
      </w:r>
    </w:p>
    <w:p>
      <w:pPr>
        <w:keepNext w:val="0"/>
        <w:spacing w:before="0" w:after="0" w:line="360" w:lineRule="auto"/>
        <w:ind w:firstLine="720"/>
        <w:jc w:val="both"/>
      </w:pPr>
      <w:r>
        <w:rPr>
          <w:rFonts w:ascii="Times New Roman" w:hAnsi="Times New Roman" w:eastAsia="Times New Roman" w:cs="Times New Roman"/>
          <w:b w:val="0"/>
          <w:i w:val="0"/>
          <w:color w:val="000000"/>
          <w:sz w:val="26"/>
        </w:rPr>
        <w:t>Về nội dung, quyền SHTT bao gồm quyền nhân thân và quyền tài sản. Đối với quyền tác giả, Luật SHTT quy định rõ quyền tác giả bao gồm quyền nhân thân và quyền tài sản [6]. Đối với quyền sở hữu công nghiệp, chủ sở hữu có ba nhóm quyền tài sản: sử dụng, cho phép người khác sử dụng đối tượng; ngăn cấm người khác sử dụng; và định đoạt đối tượng [6]. Chính các quyền tài sản này là cơ sở pháp lý của hoạt động khai thác được phân tích tại mục 2.1.3.</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Về cơ sở biện minh, chương sách </w:t>
      </w:r>
      <w:r>
        <w:rPr>
          <w:rFonts w:ascii="Times New Roman" w:hAnsi="Times New Roman" w:eastAsia="Times New Roman" w:cs="Times New Roman"/>
          <w:b w:val="0"/>
          <w:i/>
          <w:color w:val="000000"/>
          <w:sz w:val="26"/>
        </w:rPr>
        <w:t>Theories of Intellectual Property</w:t>
      </w:r>
      <w:r>
        <w:rPr>
          <w:rFonts w:ascii="Times New Roman" w:hAnsi="Times New Roman" w:eastAsia="Times New Roman" w:cs="Times New Roman"/>
          <w:b w:val="0"/>
          <w:i w:val="0"/>
          <w:color w:val="000000"/>
          <w:sz w:val="26"/>
        </w:rPr>
        <w:t xml:space="preserve"> của Fisher (2001) hệ thống hóa bốn luồng lý thuyết gồm thuyết vị lợi, thuyết lao động, thuyết nhân cách và thuyết quy hoạch xã hội, mỗi luồng dẫn tới những gợi ý khác nhau về phạm vi và thời hạn bảo hộ [16]. Đối với một luận án thuộc ngành Quản lý kinh tế, cách tiếp cận vị lợi có ý nghĩa trực tiếp hơn cả, vì nó coi quyền SHTT là một công cụ chính sách do Nhà nước thiết kế nhằm tạo động lực sáng tạo và lan tỏa tri thức. Điều 7 Hiệp định TRIPS phản ánh rõ quan điểm này khi xác định việc bảo hộ và thực thi quyền SHTT cần góp phần thúc đẩy đổi mới công nghệ, chuyển giao và phổ biến công nghệ, vì lợi ích chung của người sáng tạo và người sử dụng tri thức, theo cách thức có lợi cho phúc lợi kinh tế, xã hội và cân bằng giữa quyền và nghĩa vụ [31].</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phân tích các cách tiếp cận nêu trên, luận án sử dụng khái niệm sau: *</w:t>
      </w:r>
      <w:r>
        <w:rPr>
          <w:rFonts w:ascii="Times New Roman" w:hAnsi="Times New Roman" w:eastAsia="Times New Roman" w:cs="Times New Roman"/>
          <w:b w:val="0"/>
          <w:i/>
          <w:color w:val="000000"/>
          <w:sz w:val="26"/>
        </w:rPr>
        <w:t>quyền SHTT là quyền của tổ chức, cá nhân đối với các đối tượng là kết quả của hoạt động sáng tạo trí tuệ hoặc dấu hiệu thương mại được pháp luật công nhận, bao gồm quyền nhân thân và quyền tài sản, được bảo hộ trong phạm vi, thời hạn và lãnh thổ nhất định; dưới góc độ kinh tế, quyền SHTT là một loại tài sản vô hình mà chủ thể có thể sử dụng, chuyển giao, góp vốn, thế chấp để tạo ra giá trị.</w:t>
      </w:r>
      <w:r>
        <w:rPr>
          <w:rFonts w:ascii="Times New Roman" w:hAnsi="Times New Roman" w:eastAsia="Times New Roman" w:cs="Times New Roman"/>
          <w:b w:val="0"/>
          <w:i w:val="0"/>
          <w:color w:val="000000"/>
          <w:sz w:val="26"/>
        </w:rPr>
        <w:t>* Khái niệm này giữ nguyên nội hàm pháp lý của Luật SHTT, đồng thời bổ sung góc nhìn tài sản và giao dịch, là góc nhìn cần thiết để phân tích hoạt động QLNN đối với khâu khai thác.</w:t>
      </w:r>
    </w:p>
    <w:p>
      <w:pPr>
        <w:pStyle w:val="Heading4"/>
      </w:pPr>
      <w:r>
        <w:rPr>
          <w:rFonts w:ascii="Times New Roman" w:hAnsi="Times New Roman" w:eastAsia="Times New Roman" w:cs="Times New Roman"/>
          <w:b/>
          <w:i/>
          <w:color w:val="000000"/>
          <w:sz w:val="26"/>
        </w:rPr>
        <w:t>2.1.1.2. Đặc điểm của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Quyền SHTT có những đặc điểm riêng so với quyền sở hữu đối với tài sản hữu hình. Các đặc điểm này không chỉ có ý nghĩa pháp lý mà còn quy định cách thức quyền được khai thác và mức độ cần thiết của sự can thiệp từ phía Nhà nước.</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đối tượng của quyền là tài sản vô hình, mang bản chất thông tin.</w:t>
      </w:r>
      <w:r>
        <w:rPr>
          <w:rFonts w:ascii="Times New Roman" w:hAnsi="Times New Roman" w:eastAsia="Times New Roman" w:cs="Times New Roman"/>
          <w:b w:val="0"/>
          <w:i w:val="0"/>
          <w:color w:val="000000"/>
          <w:sz w:val="26"/>
        </w:rPr>
        <w:t xml:space="preserve"> Đối tượng của quyền SHTT không bị hao mòn khi sử dụng và có thể được nhiều chủ thể sử dụng cùng lúc. Bài báo </w:t>
      </w:r>
      <w:r>
        <w:rPr>
          <w:rFonts w:ascii="Times New Roman" w:hAnsi="Times New Roman" w:eastAsia="Times New Roman" w:cs="Times New Roman"/>
          <w:b w:val="0"/>
          <w:i/>
          <w:color w:val="000000"/>
          <w:sz w:val="26"/>
        </w:rPr>
        <w:t>Digital Economics</w:t>
      </w:r>
      <w:r>
        <w:rPr>
          <w:rFonts w:ascii="Times New Roman" w:hAnsi="Times New Roman" w:eastAsia="Times New Roman" w:cs="Times New Roman"/>
          <w:b w:val="0"/>
          <w:i w:val="0"/>
          <w:color w:val="000000"/>
          <w:sz w:val="26"/>
        </w:rPr>
        <w:t xml:space="preserve"> của Goldfarb và Tucker (2019) chỉ ra rằng hàng hóa số có thể được sao chép với chi phí bằng không, do đó thường mang tính không cạnh tranh trong tiêu dùng [20]. Đặc tính này làm cho việc chiếm hữu giá trị trở nên khó khăn. Arrow (1962) phân tích nghịch lý của thông tin: người mua chỉ đánh giá được giá trị của thông tin khi đã biết thông tin đó, nhưng khi đã biết thì không còn nhu cầu mua [14]. Do vậy, quyền SHTT chỉ có thể trở thành tài sản giao dịch được khi pháp luật tạo ra độc quyền nhân tạo đối với một đối tượng vốn có tính lan tỏa tự nhiên.</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quyền mang tính độc quyền nhưng bị giới hạn.</w:t>
      </w:r>
      <w:r>
        <w:rPr>
          <w:rFonts w:ascii="Times New Roman" w:hAnsi="Times New Roman" w:eastAsia="Times New Roman" w:cs="Times New Roman"/>
          <w:b w:val="0"/>
          <w:i w:val="0"/>
          <w:color w:val="000000"/>
          <w:sz w:val="26"/>
        </w:rPr>
        <w:t xml:space="preserve"> Chủ sở hữu có quyền ngăn cấm người khác sử dụng đối tượng được bảo hộ [6]. Mặc dù vậy, độc quyền này chỉ tồn tại trong phạm vi và thời hạn bảo hộ, và việc khai thác, bảo vệ quyền không được xâm phạm lợi ích của Nhà nước, lợi ích công cộng, quyền và lợi ích hợp pháp của tổ chức, cá nhân khác [9]. Trong những trường hợp vì mục tiêu quốc phòng, an ninh, trật tự xã hội, sức khỏe cộng đồng, Nhà nước có quyền hạn chế hoặc buộc chủ thể cho phép người khác sử dụng quyền [9]. Đặc điểm này cho thấy quyền SHTT là một chế định cân bằng lợi ích, trong đó Nhà nước luôn giữ vai trò điều tiết.</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quyền mang tính lãnh thổ và phát sinh trên những căn cứ khác nhau.</w:t>
      </w:r>
      <w:r>
        <w:rPr>
          <w:rFonts w:ascii="Times New Roman" w:hAnsi="Times New Roman" w:eastAsia="Times New Roman" w:cs="Times New Roman"/>
          <w:b w:val="0"/>
          <w:i w:val="0"/>
          <w:color w:val="000000"/>
          <w:sz w:val="26"/>
        </w:rPr>
        <w:t xml:space="preserve"> Quyền tác giả phát sinh kể từ khi tác phẩm được sáng tạo và thể hiện dưới một hình thức vật chất nhất định, không phụ thuộc vào thủ tục đăng ký; trong khi đó quyền sở hữu công nghiệp đối với sáng chế, kiểu dáng công nghiệp, nhãn hiệu được xác lập trên cơ sở quyết định cấp văn bằng bảo hộ của cơ quan nhà nước có thẩm quyền [6]. Sự khác biệt về căn cứ xác lập dẫn tới khác biệt về mức độ chắc chắn của quyền. Gans, Hsu và Stern (2008) cho thấy mức độ không chắc chắn của quyền, thể hiện qua độ trễ trong việc cấp bằng sáng chế, ảnh hưởng tới thời điểm diễn ra giao dịch li-xăng trên thị trường ý tưởng [19]. Phát hiện này gợi ý rằng chất lượng và tốc độ của khâu xác lập quyền do Nhà nước thực hiện là điều kiện tiền đề của khâu khai thác.</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quyền khó định giá và khó ghi nhận trong hệ thống kế toán.</w:t>
      </w:r>
      <w:r>
        <w:rPr>
          <w:rFonts w:ascii="Times New Roman" w:hAnsi="Times New Roman" w:eastAsia="Times New Roman" w:cs="Times New Roman"/>
          <w:b w:val="0"/>
          <w:i w:val="0"/>
          <w:color w:val="000000"/>
          <w:sz w:val="26"/>
        </w:rPr>
        <w:t xml:space="preserve"> Cuốn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xml:space="preserve"> của Haskel và Westlake (2018) chỉ ra rằng tài sản vô hình có chi phí chìm lớn và khó bán lại, vì vậy khó được sử dụng làm tài sản bảo đảm [21]. Pháp luật Việt Nam đã ghi nhận thực tế này: Điều 8a Luật SHTT yêu cầu chủ sở hữu lập danh mục riêng để quản trị nội bộ trong trường hợp quyền SHTT chưa đáp ứng điều kiện ghi nhận giá trị tài sản trong sổ kế toán [9]. Đặc điểm này giải thích vì sao định giá, hạch toán và cơ chế tài chính là những nội dung không thể tách rời khi phân tích hoạt động khai thác quyền.</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giá trị của quyền phụ thuộc vào các yếu tố bổ trợ bên ngoài quyền.</w:t>
      </w:r>
      <w:r>
        <w:rPr>
          <w:rFonts w:ascii="Times New Roman" w:hAnsi="Times New Roman" w:eastAsia="Times New Roman" w:cs="Times New Roman"/>
          <w:b w:val="0"/>
          <w:i w:val="0"/>
          <w:color w:val="000000"/>
          <w:sz w:val="26"/>
        </w:rPr>
        <w:t xml:space="preserve"> Bài báo </w:t>
      </w:r>
      <w:r>
        <w:rPr>
          <w:rFonts w:ascii="Times New Roman" w:hAnsi="Times New Roman" w:eastAsia="Times New Roman" w:cs="Times New Roman"/>
          <w:b w:val="0"/>
          <w:i/>
          <w:color w:val="000000"/>
          <w:sz w:val="26"/>
        </w:rPr>
        <w:t>Profiting from Technological Innovation: Implications for Integration, Collaboration, Licensing and Public Policy</w:t>
      </w:r>
      <w:r>
        <w:rPr>
          <w:rFonts w:ascii="Times New Roman" w:hAnsi="Times New Roman" w:eastAsia="Times New Roman" w:cs="Times New Roman"/>
          <w:b w:val="0"/>
          <w:i w:val="0"/>
          <w:color w:val="000000"/>
          <w:sz w:val="26"/>
        </w:rPr>
        <w:t xml:space="preserve"> của Teece (1986) cho thấy người tạo ra đổi mới sáng tạo không phải lúc nào cũng thu được lợi ích từ đổi mới; kết quả phụ thuộc vào chế độ chiếm hữu và khả năng kiểm soát các tài sản bổ trợ [25]. Nói cách khác, việc được cấp văn bằng bảo hộ chưa đồng nghĩa với việc quyền tạo ra giá trị; giá trị chỉ hình thành khi quyền được kết hợp với năng lực sản xuất, kênh phân phối, nguồn vốn và thị trường. Đây là đặc điểm có ý nghĩa nhất đối với luận án, vì nó lý giải khoảng cách giữa số lượng quyền được xác lập và mức độ khai thác quyền trên thực tế.</w:t>
      </w:r>
    </w:p>
    <w:p>
      <w:pPr>
        <w:pStyle w:val="Heading4"/>
      </w:pPr>
      <w:r>
        <w:rPr>
          <w:rFonts w:ascii="Times New Roman" w:hAnsi="Times New Roman" w:eastAsia="Times New Roman" w:cs="Times New Roman"/>
          <w:b/>
          <w:i/>
          <w:color w:val="000000"/>
          <w:sz w:val="26"/>
        </w:rPr>
        <w:t>2.1.1.3. Các đối tượng quyền sở hữu trí tuệ trong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Luật SHTT xác định ba nhóm đối tượng: đối tượng quyền tác giả và quyền liên quan; đối tượng quyền sở hữu công nghiệp gồm sáng chế, kiểu dáng công nghiệp, thiết kế bố trí mạch tích hợp bán dẫn, bí mật kinh doanh, nhãn hiệu, tên thương mại và chỉ dẫn địa lý; đối tượng quyền đối với giống cây trồng [6]. Cách phân loại này về cơ bản không thay đổi trong nền kinh tế số. Điều thay đổi là hình thức tồn tại, cách thức tạo ra và cách thức sử dụng của nhiều đối tượng, thể hiện qua các sửa đổi, bổ sung năm 2025.</w:t>
      </w:r>
    </w:p>
    <w:p>
      <w:pPr>
        <w:keepNext w:val="0"/>
        <w:spacing w:before="0" w:after="0" w:line="360" w:lineRule="auto"/>
        <w:ind w:firstLine="720"/>
        <w:jc w:val="both"/>
      </w:pPr>
      <w:r>
        <w:rPr>
          <w:rFonts w:ascii="Times New Roman" w:hAnsi="Times New Roman" w:eastAsia="Times New Roman" w:cs="Times New Roman"/>
          <w:b w:val="0"/>
          <w:i w:val="0"/>
          <w:color w:val="000000"/>
          <w:sz w:val="26"/>
        </w:rPr>
        <w:t>Đối với chương trình máy tính, Luật sửa đổi năm 2025 làm rõ chương trình máy tính được bảo hộ như tác phẩm văn học dù được thể hiện dưới dạng mã nguồn hay mã máy, đồng thời quy định trường hợp chương trình được cung cấp dưới dạng dịch vụ hoặc thông qua các nền tảng trực tuyến thì việc tạo bản sao dự phòng thực hiện theo điều khoản sử dụng hoặc thỏa thuận cấp phép giữa các bên [9]. Quy định này phản ánh sự chuyển dịch từ mô hình bán bản sao sang mô hình cấp quyền truy cập, trong đó hợp đồng cấp phép trở thành công cụ trung tâm của việc khai thác. Đối với kiểu dáng công nghiệp, định nghĩa mới bao gồm hình dáng bên ngoài của sản phẩm dưới dạng vật lý hoặc phi vật lý [9], qua đó mở rộng bảo hộ sang giao diện đồ họa và các sản phẩm tồn tại trong môi trường số. Đối với các đối tượng được tạo ra có sử dụng hệ thống trí tuệ nhân tạo, Luật giao Chính phủ quy định việc phát sinh, xác lập quyền [9]; trong khi đó, việc sử dụng văn bản và dữ liệu đã được công bố hợp pháp để huấn luyện hệ thống trí tuệ nhân tạo được cho phép với điều kiện không ảnh hưởng bất hợp lý đến quyền và lợi ích hợp pháp của tác giả, chủ sở hữu [9].</w:t>
      </w:r>
    </w:p>
    <w:p>
      <w:pPr>
        <w:keepNext w:val="0"/>
        <w:spacing w:before="0" w:after="0" w:line="360" w:lineRule="auto"/>
        <w:ind w:firstLine="720"/>
        <w:jc w:val="both"/>
      </w:pPr>
      <w:r>
        <w:rPr>
          <w:rFonts w:ascii="Times New Roman" w:hAnsi="Times New Roman" w:eastAsia="Times New Roman" w:cs="Times New Roman"/>
          <w:b w:val="0"/>
          <w:i w:val="0"/>
          <w:color w:val="000000"/>
          <w:sz w:val="26"/>
        </w:rPr>
        <w:t>Bên cạnh các đối tượng truyền thống, pháp luật đã ghi nhận khái niệm tài sản số. Luật Công nghiệp công nghệ số năm 2025 định nghĩa tài sản số là tài sản theo quy định của Bộ luật Dân sự, được thể hiện dưới dạng dữ liệu số, được tạo lập, phát hành, lưu trữ, chuyển giao và xác thực bởi công nghệ số trên môi trường điện tử [7]. Cần phân biệt hai khái niệm này: tài sản số được xác định theo phương thức tồn tại, còn quyền SHTT được xác định theo nguồn gốc sáng tạo và căn cứ bảo hộ. Một tác phẩm số, một chương trình máy tính có thể vừa là đối tượng quyền tác giả, vừa được giao dịch dưới hình thức tài sản số; ngược lại, nhiều loại tài sản số không phải là đối tượng quyền SHTT. Sự giao thoa này đặt ra yêu cầu phối hợp giữa pháp luật SHTT và pháp luật về tài sản số trong QLNN.</w:t>
      </w:r>
    </w:p>
    <w:p>
      <w:pPr>
        <w:keepNext w:val="0"/>
        <w:spacing w:before="0" w:after="0" w:line="360" w:lineRule="auto"/>
        <w:ind w:firstLine="720"/>
        <w:jc w:val="both"/>
      </w:pPr>
      <w:r>
        <w:rPr>
          <w:rFonts w:ascii="Times New Roman" w:hAnsi="Times New Roman" w:eastAsia="Times New Roman" w:cs="Times New Roman"/>
          <w:b w:val="0"/>
          <w:i w:val="0"/>
          <w:color w:val="000000"/>
          <w:sz w:val="26"/>
        </w:rPr>
        <w:t>Căn cứ vào mức độ gắn kết với hoạt động kinh tế số, luận án tập trung vào các nhóm đối tượng sau: sáng chế và giải pháp hữu ích, đặc biệt trong lĩnh vực công nghệ số; nhãn hiệu, với vai trò là công cụ nhận diện và tạo uy tín trên các nền tảng số; quyền tác giả đối với chương trình máy tính và nội dung số. Bí mật kinh doanh, dữ liệu và sản phẩm do trí tuệ nhân tạo tạo ra được xem xét như những vấn đề mới đặt ra đối với QLNN, chưa phải là đối tượng phân tích sâu. Quyền đối với giống cây trồng, chỉ dẫn địa lý và quyền liên quan nằm ngoài phạm vi nghiên cứu sâu của luận án.</w:t>
      </w:r>
    </w:p>
    <w:p>
      <w:pPr>
        <w:pStyle w:val="Heading3"/>
      </w:pPr>
      <w:r>
        <w:rPr>
          <w:rFonts w:ascii="Times New Roman" w:hAnsi="Times New Roman" w:eastAsia="Times New Roman" w:cs="Times New Roman"/>
          <w:b/>
          <w:i w:val="0"/>
          <w:color w:val="000000"/>
          <w:sz w:val="26"/>
        </w:rPr>
        <w:t>2.1.2. Nền kinh tế số và những thay đổi đối với phương thức khai thác quyền sở hữu trí tuệ</w:t>
      </w:r>
    </w:p>
    <w:p>
      <w:pPr>
        <w:pStyle w:val="Heading4"/>
      </w:pPr>
      <w:r>
        <w:rPr>
          <w:rFonts w:ascii="Times New Roman" w:hAnsi="Times New Roman" w:eastAsia="Times New Roman" w:cs="Times New Roman"/>
          <w:b/>
          <w:i/>
          <w:color w:val="000000"/>
          <w:sz w:val="26"/>
        </w:rPr>
        <w:t>2.1.2.1. Khái niệm và đặc điểm của nền kinh tế số</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Cuốn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xml:space="preserve"> của Tapscott (1996) là một trong những công trình sớm sử dụng thuật ngữ kinh tế số để mô tả nền kinh tế dựa trên mạng lưới và thông tin số hóa [24]. Từ đó đến nay, khái niệm này được mở rộng theo mức độ lan tỏa của công nghệ số. Tài liệu làm việc </w:t>
      </w:r>
      <w:r>
        <w:rPr>
          <w:rFonts w:ascii="Times New Roman" w:hAnsi="Times New Roman" w:eastAsia="Times New Roman" w:cs="Times New Roman"/>
          <w:b w:val="0"/>
          <w:i/>
          <w:color w:val="000000"/>
          <w:sz w:val="26"/>
        </w:rPr>
        <w:t>Defining, Conceptualising and Measuring the Digital Economy</w:t>
      </w:r>
      <w:r>
        <w:rPr>
          <w:rFonts w:ascii="Times New Roman" w:hAnsi="Times New Roman" w:eastAsia="Times New Roman" w:cs="Times New Roman"/>
          <w:b w:val="0"/>
          <w:i w:val="0"/>
          <w:color w:val="000000"/>
          <w:sz w:val="26"/>
        </w:rPr>
        <w:t xml:space="preserve"> của Bukht và Heeks (2017) định nghĩa kinh tế số là phần sản lượng kinh tế được tạo ra hoàn toàn hoặc chủ yếu từ công nghệ số với mô hình kinh doanh dựa trên hàng hóa hoặc dịch vụ số, đồng thời phân biệt ba phạm vi: khu vực số lõi, kinh tế số theo nghĩa hẹp và kinh tế số hóa theo nghĩa rộng [15]. Cách phân tầng này có giá trị về đo lường, song ranh giới giữa các phạm vi vẫn còn mờ, như chính các tác giả thừa nhận. Ở Việt Nam, Chiến lược quốc gia phát triển kinh tế số và xã hội số đến năm 2025, định hướng đến năm 2030 nhấn mạnh rằng công nghệ số và dữ liệu số thấm sâu vào mọi mặt sản xuất kinh doanh của doanh nghiệp và đời sống của người dân [11]; việc đo lường chính thức tỷ trọng kinh tế số trong GDP đã được triển khai, với ước tính 14,02% năm 2025 [2].</w:t>
      </w:r>
    </w:p>
    <w:p>
      <w:pPr>
        <w:keepNext w:val="0"/>
        <w:spacing w:before="0" w:after="0" w:line="360" w:lineRule="auto"/>
        <w:ind w:firstLine="720"/>
        <w:jc w:val="both"/>
      </w:pPr>
      <w:r>
        <w:rPr>
          <w:rFonts w:ascii="Times New Roman" w:hAnsi="Times New Roman" w:eastAsia="Times New Roman" w:cs="Times New Roman"/>
          <w:b w:val="0"/>
          <w:i w:val="0"/>
          <w:color w:val="000000"/>
          <w:sz w:val="26"/>
        </w:rPr>
        <w:t>Trên cơ sở đó, luận án hiểu *</w:t>
      </w:r>
      <w:r>
        <w:rPr>
          <w:rFonts w:ascii="Times New Roman" w:hAnsi="Times New Roman" w:eastAsia="Times New Roman" w:cs="Times New Roman"/>
          <w:b w:val="0"/>
          <w:i/>
          <w:color w:val="000000"/>
          <w:sz w:val="26"/>
        </w:rPr>
        <w:t>nền kinh tế số là nền kinh tế trong đó công nghệ số, dữ liệu số và nền tảng số trở thành yếu tố đầu vào và phương thức tổ chức chủ yếu của hoạt động sản xuất, phân phối, trao đổi và tiêu dùng, bao gồm cả khu vực công nghệ số và quá trình số hóa các ngành kinh tế khác.</w:t>
      </w:r>
      <w:r>
        <w:rPr>
          <w:rFonts w:ascii="Times New Roman" w:hAnsi="Times New Roman" w:eastAsia="Times New Roman" w:cs="Times New Roman"/>
          <w:b w:val="0"/>
          <w:i w:val="0"/>
          <w:color w:val="000000"/>
          <w:sz w:val="26"/>
        </w:rPr>
        <w:t>* Luận án sử dụng cách hiểu theo nghĩa rộng, vì hoạt động khai thác quyền SHTT trong nền kinh tế số không chỉ diễn ra ở doanh nghiệp công nghệ số mà còn ở mọi doanh nghiệp, tổ chức sử dụng môi trường số để giao dịch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 xml:space="preserve">Đối với mục đích của luận án, đặc điểm quan trọng nhất của nền kinh tế số là sự thay đổi trong cấu trúc chi phí. Goldfarb và Tucker (2019) chỉ ra năm loại chi phí giảm mạnh nhờ công nghệ số: chi phí tìm kiếm, chi phí sao chép, chi phí vận chuyển, chi phí theo dõi và chi phí xác minh [20]. Đặc điểm thứ hai là vai trò trung tâm của tài sản vô hình; báo cáo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xml:space="preserve"> cho thấy đầu tư vào tài sản vô hình tăng nhanh gấp ba lần đầu tư vào tài sản hữu hình trong giai đoạn 2008-2023 [28]. Đặc điểm thứ ba là xu hướng tập trung giá trị: báo cáo </w:t>
      </w:r>
      <w:r>
        <w:rPr>
          <w:rFonts w:ascii="Times New Roman" w:hAnsi="Times New Roman" w:eastAsia="Times New Roman" w:cs="Times New Roman"/>
          <w:b w:val="0"/>
          <w:i/>
          <w:color w:val="000000"/>
          <w:sz w:val="26"/>
        </w:rPr>
        <w:t>Digital Economy Report 2019</w:t>
      </w:r>
      <w:r>
        <w:rPr>
          <w:rFonts w:ascii="Times New Roman" w:hAnsi="Times New Roman" w:eastAsia="Times New Roman" w:cs="Times New Roman"/>
          <w:b w:val="0"/>
          <w:i w:val="0"/>
          <w:color w:val="000000"/>
          <w:sz w:val="26"/>
        </w:rPr>
        <w:t xml:space="preserve"> của Hội nghị Liên hợp quốc về Thương mại và Phát triển (UNCTAD) cho thấy giá trị tạo ra từ dữ liệu và nền tảng số tập trung vào một số ít doanh nghiệp nền tảng lớn [26]. Đặc điểm thứ tư là tốc độ khuếch tán công nghệ ngày càng nhanh; báo cáo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xml:space="preserve"> của WIPO cho thấy khoảng thời gian từ khi công nghệ ra đời đến khi được sử dụng rộng rãi đã giảm mạnh [30].</w:t>
      </w:r>
    </w:p>
    <w:p>
      <w:pPr>
        <w:pStyle w:val="Heading4"/>
      </w:pPr>
      <w:r>
        <w:rPr>
          <w:rFonts w:ascii="Times New Roman" w:hAnsi="Times New Roman" w:eastAsia="Times New Roman" w:cs="Times New Roman"/>
          <w:b/>
          <w:i/>
          <w:color w:val="000000"/>
          <w:sz w:val="26"/>
        </w:rPr>
        <w:t>2.1.2.2. Những thay đổi đối với phương thức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đặc điểm nêu trên tác động tới hoạt động khai thác quyền SHTT theo những hướng khác nhau, trong đó có cả cơ hội và rủi ro. Luận án khái quát thành năm thay đổi chủ yếu.</w:t>
      </w:r>
    </w:p>
    <w:p>
      <w:pPr>
        <w:keepNext w:val="0"/>
        <w:spacing w:before="0" w:after="0" w:line="360" w:lineRule="auto"/>
        <w:ind w:firstLine="720"/>
        <w:jc w:val="both"/>
      </w:pPr>
      <w:r>
        <w:rPr>
          <w:rFonts w:ascii="Times New Roman" w:hAnsi="Times New Roman" w:eastAsia="Times New Roman" w:cs="Times New Roman"/>
          <w:b w:val="0"/>
          <w:i/>
          <w:color w:val="000000"/>
          <w:sz w:val="26"/>
        </w:rPr>
        <w:t>Thứ nhất, quy mô khai thác được mở rộng nhưng rủi ro xâm phạm cũng tăng lên.</w:t>
      </w:r>
      <w:r>
        <w:rPr>
          <w:rFonts w:ascii="Times New Roman" w:hAnsi="Times New Roman" w:eastAsia="Times New Roman" w:cs="Times New Roman"/>
          <w:b w:val="0"/>
          <w:i w:val="0"/>
          <w:color w:val="000000"/>
          <w:sz w:val="26"/>
        </w:rPr>
        <w:t xml:space="preserve"> Khi chi phí sao chép và phân phối gần như bằng không [20], một chương trình máy tính, một tác phẩm số hoặc một bộ dữ liệu có thể được cấp phép đồng thời cho số lượng lớn người sử dụng ở nhiều quốc gia. Mặt khác, chính đặc điểm này làm cho hành vi sao chép trái phép trở nên dễ dàng. Luật SHTT đã bổ sung quyền của chủ thể yêu cầu tổ chức, cá nhân có hành vi xâm phạm gỡ bỏ và xóa nội dung vi phạm trên môi trường mạng viễn thông và mạng Internet [6], cho thấy bảo vệ giá trị khai thác trên môi trường số đã trở thành một nội dung của chính sách.</w:t>
      </w:r>
    </w:p>
    <w:p>
      <w:pPr>
        <w:keepNext w:val="0"/>
        <w:spacing w:before="0" w:after="0" w:line="360" w:lineRule="auto"/>
        <w:ind w:firstLine="720"/>
        <w:jc w:val="both"/>
      </w:pPr>
      <w:r>
        <w:rPr>
          <w:rFonts w:ascii="Times New Roman" w:hAnsi="Times New Roman" w:eastAsia="Times New Roman" w:cs="Times New Roman"/>
          <w:b w:val="0"/>
          <w:i/>
          <w:color w:val="000000"/>
          <w:sz w:val="26"/>
        </w:rPr>
        <w:t>Thứ hai, phương thức khai thác chuyển từ chuyển giao bản sao sang cấp quyền truy cập và sử dụng.</w:t>
      </w:r>
      <w:r>
        <w:rPr>
          <w:rFonts w:ascii="Times New Roman" w:hAnsi="Times New Roman" w:eastAsia="Times New Roman" w:cs="Times New Roman"/>
          <w:b w:val="0"/>
          <w:i w:val="0"/>
          <w:color w:val="000000"/>
          <w:sz w:val="26"/>
        </w:rPr>
        <w:t xml:space="preserve"> Mô hình cung cấp phần mềm dưới dạng dịch vụ, nội dung số qua nền tảng trực tuyến làm cho hợp đồng cấp phép và điều khoản sử dụng thay thế cho giao dịch mua bán bản sao [9]. Sự thay đổi này làm tăng số lượng giao dịch nhưng giảm giá trị của từng giao dịch, đồng thời làm cho phần lớn giao dịch diễn ra ngoài các kênh đăng ký hợp đồng truyền thống.</w:t>
      </w:r>
    </w:p>
    <w:p>
      <w:pPr>
        <w:keepNext w:val="0"/>
        <w:spacing w:before="0" w:after="0" w:line="360" w:lineRule="auto"/>
        <w:ind w:firstLine="720"/>
        <w:jc w:val="both"/>
      </w:pPr>
      <w:r>
        <w:rPr>
          <w:rFonts w:ascii="Times New Roman" w:hAnsi="Times New Roman" w:eastAsia="Times New Roman" w:cs="Times New Roman"/>
          <w:b w:val="0"/>
          <w:i/>
          <w:color w:val="000000"/>
          <w:sz w:val="26"/>
        </w:rPr>
        <w:t>Thứ ba, chi phí tìm kiếm, xác minh và định giá có khả năng giảm.</w:t>
      </w:r>
      <w:r>
        <w:rPr>
          <w:rFonts w:ascii="Times New Roman" w:hAnsi="Times New Roman" w:eastAsia="Times New Roman" w:cs="Times New Roman"/>
          <w:b w:val="0"/>
          <w:i w:val="0"/>
          <w:color w:val="000000"/>
          <w:sz w:val="26"/>
        </w:rPr>
        <w:t xml:space="preserve"> Arora, Fosfuri và Gambardella (2001) phân tích thị trường công nghệ và chỉ ra rằng chi phí giao dịch là rào cản chính đối với trao đổi tri thức công nghệ giữa các doanh nghiệp [13]. Công nghệ số tạo khả năng giảm các chi phí này thông qua cơ sở dữ liệu, sàn giao dịch và công cụ định giá. Fu và cộng sự (2026) đề xuất khung định giá công nghệ sử dụng trí tuệ nhân tạo và dữ liệu lớn nhằm làm cho việc định giá trong thương mại quốc tế về quyền SHTT khách quan và ít tốn kém hơn [18]. Ở Việt Nam, Luật SHTT sửa đổi năm 2025 bổ sung Điều 11b về chuyển đổi số hoạt động SHTT, trong đó có yêu cầu phát triển cơ sở dữ liệu về giá giao dịch quyền SHTT [9]. Khả năng này chỉ trở thành hiện thực khi có hạ tầng dữ liệu và tổ chức trung gian phù hợp, đây là một nội dung của QLNN.</w:t>
      </w:r>
    </w:p>
    <w:p>
      <w:pPr>
        <w:keepNext w:val="0"/>
        <w:spacing w:before="0" w:after="0" w:line="360" w:lineRule="auto"/>
        <w:ind w:firstLine="720"/>
        <w:jc w:val="both"/>
      </w:pPr>
      <w:r>
        <w:rPr>
          <w:rFonts w:ascii="Times New Roman" w:hAnsi="Times New Roman" w:eastAsia="Times New Roman" w:cs="Times New Roman"/>
          <w:b w:val="0"/>
          <w:i/>
          <w:color w:val="000000"/>
          <w:sz w:val="26"/>
        </w:rPr>
        <w:t>Thứ tư, quyền SHTT ngày càng được sử dụng như một tài sản tài chính.</w:t>
      </w:r>
      <w:r>
        <w:rPr>
          <w:rFonts w:ascii="Times New Roman" w:hAnsi="Times New Roman" w:eastAsia="Times New Roman" w:cs="Times New Roman"/>
          <w:b w:val="0"/>
          <w:i w:val="0"/>
          <w:color w:val="000000"/>
          <w:sz w:val="26"/>
        </w:rPr>
        <w:t xml:space="preserve"> Tài liệu làm việc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xml:space="preserve"> của Kamiyama, Sheehan và Martinez (2006) mô tả quá trình phát triển trong cách doanh nghiệp sử dụng sáng chế, từ mục đích phòng thủ, sang khai thác như một phần của chiến lược kinh doanh như li-xăng và xây dựng danh mục sáng chế, và tiếp đến khai thác như một tài sản tài chính nhằm thu hút nguồn vốn bên ngoài [22]. Các giai đoạn này mang tính tích lũy, nghĩa là doanh nghiệp hiện nay sử dụng quyền cho nhiều mục đích cùng lúc. Chính sách Việt Nam đã đi theo hướng này khi Nhà nước khuyến khích sử dụng quyền SHTT để góp vốn hoặc thế chấp vay vốn [9]. Mặc dù vậy, những hạn chế về khả năng bán lại và làm tài sản bảo đảm của tài sản vô hình [21] vẫn là rào cản lớn đối với xu hướng này.</w:t>
      </w:r>
    </w:p>
    <w:p>
      <w:pPr>
        <w:keepNext w:val="0"/>
        <w:spacing w:before="0" w:after="0" w:line="360" w:lineRule="auto"/>
        <w:ind w:firstLine="720"/>
        <w:jc w:val="both"/>
      </w:pPr>
      <w:r>
        <w:rPr>
          <w:rFonts w:ascii="Times New Roman" w:hAnsi="Times New Roman" w:eastAsia="Times New Roman" w:cs="Times New Roman"/>
          <w:b w:val="0"/>
          <w:i/>
          <w:color w:val="000000"/>
          <w:sz w:val="26"/>
        </w:rPr>
        <w:t>Thứ năm, giá trị khai thác có xu hướng tập trung vào chủ thể kiểm soát nền tảng.</w:t>
      </w:r>
      <w:r>
        <w:rPr>
          <w:rFonts w:ascii="Times New Roman" w:hAnsi="Times New Roman" w:eastAsia="Times New Roman" w:cs="Times New Roman"/>
          <w:b w:val="0"/>
          <w:i w:val="0"/>
          <w:color w:val="000000"/>
          <w:sz w:val="26"/>
        </w:rPr>
        <w:t xml:space="preserve"> Trong nền kinh tế số, khả năng thu nhận giá trị từ quyền SHTT phụ thuộc ngày càng nhiều vào quyền kiểm soát nền tảng và dữ liệu [17], [26]. Đối với các chủ thể trong nước có quy mô nhỏ, việc khai thác quyền thông qua nền tảng của doanh nghiệp nước ngoài có thể mở rộng thị trường nhưng đồng thời làm giảm phần giá trị giữ lại. Điều này gợi ý rằng QLNN đối với khai thác quyền SHTT trong nền kinh tế số không chỉ dừng ở việc tạo thuận lợi cho giao dịch, mà còn cần quan tâm đến việc phân phối giá trị giữa các bên.</w:t>
      </w:r>
    </w:p>
    <w:p>
      <w:pPr>
        <w:pStyle w:val="Heading3"/>
      </w:pPr>
      <w:r>
        <w:rPr>
          <w:rFonts w:ascii="Times New Roman" w:hAnsi="Times New Roman" w:eastAsia="Times New Roman" w:cs="Times New Roman"/>
          <w:b/>
          <w:i w:val="0"/>
          <w:color w:val="000000"/>
          <w:sz w:val="26"/>
        </w:rPr>
        <w:t>2.1.3. Khái niệm, các hình thức và chỉ tiêu phản ánh kết quả khai thác quyền sở hữu trí tuệ</w:t>
      </w:r>
    </w:p>
    <w:p>
      <w:pPr>
        <w:pStyle w:val="Heading4"/>
      </w:pPr>
      <w:r>
        <w:rPr>
          <w:rFonts w:ascii="Times New Roman" w:hAnsi="Times New Roman" w:eastAsia="Times New Roman" w:cs="Times New Roman"/>
          <w:b/>
          <w:i/>
          <w:color w:val="000000"/>
          <w:sz w:val="26"/>
        </w:rPr>
        <w:t>2.1.3.1. Khái niệm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Thuật ngữ khai thác quyền SHTT được sử dụng chưa thống nhất. Các công trình trong nước dùng song song các thuật ngữ khai thác, thương mại hóa, chuyển giao và li-xăng, nhiều khi thay thế cho nhau [4], [5], [10], [12]. Trong tài liệu quốc tế, Kamiyama, Sheehan và Martinez (2006) tiếp cận khai thác theo các kênh mà doanh nghiệp sử dụng quyền: đưa sáng chế vào sản phẩm, quy trình và dịch vụ mới; li-xăng cho doanh nghiệp khác hoặc tổ chức nghiên cứu công; sử dụng làm công cụ đàm phán với doanh nghiệp khác; và sử dụng để thu hút tài chính từ ngân hàng, nhà đầu tư mạo hiểm [22]. Theo cách tiếp cận gần với chính sách hơn, Liu Haibo và Liu Liang (2016) phân biệt việc sử dụng quyền SHTT vì mục tiêu quốc gia, mục tiêu học thuật và mục tiêu thương mại, đồng thời chia hoạt động thương mại hóa quyền thành thực hiện nội bộ, lưu thông ra bên ngoài, tài chính SHTT và tố tụng [23]. Hai cách tiếp cận này có điểm chung là coi khai thác là một tập hợp nhiều kênh, không chỉ giới hạn ở giao dịch chuyển giao.</w:t>
      </w:r>
    </w:p>
    <w:p>
      <w:pPr>
        <w:keepNext w:val="0"/>
        <w:spacing w:before="0" w:after="0" w:line="360" w:lineRule="auto"/>
        <w:ind w:firstLine="720"/>
        <w:jc w:val="both"/>
      </w:pPr>
      <w:r>
        <w:rPr>
          <w:rFonts w:ascii="Times New Roman" w:hAnsi="Times New Roman" w:eastAsia="Times New Roman" w:cs="Times New Roman"/>
          <w:b w:val="0"/>
          <w:i w:val="0"/>
          <w:color w:val="000000"/>
          <w:sz w:val="26"/>
        </w:rPr>
        <w:t>Pháp luật Việt Nam cũng sử dụng thuật ngữ khai thác theo nghĩa rộng. Luật SHTT sửa đổi năm 2025 đặt tên Điều 8a là quản lý, khai thác quyền SHTT và quy định chủ sở hữu được sử dụng quyền để thực hiện các giao dịch dân sự, thương mại, đầu tư [9]. Luật Khoa học, công nghệ và đổi mới sáng tạo năm 2025 liệt kê các hình thức thương mại hóa kết quả nghiên cứu gồm cho thuê, bán, chuyển nhượng, chuyển giao quyền sử dụng; kinh doanh dịch vụ; hợp tác, liên doanh, liên kết, thành lập doanh nghiệp; tự khai thác, sử dụng [8]. Như vậy, thương mại hóa có thể được hiểu là bộ phận của khai thác hướng tới thị trường, còn khai thác bao hàm cả việc chủ thể tự sử dụng quyền trong hoạt động sản xuất, kinh doanh của mình.</w:t>
      </w:r>
    </w:p>
    <w:p>
      <w:pPr>
        <w:keepNext w:val="0"/>
        <w:spacing w:before="0" w:after="0" w:line="360" w:lineRule="auto"/>
        <w:ind w:firstLine="720"/>
        <w:jc w:val="both"/>
      </w:pPr>
      <w:r>
        <w:rPr>
          <w:rFonts w:ascii="Times New Roman" w:hAnsi="Times New Roman" w:eastAsia="Times New Roman" w:cs="Times New Roman"/>
          <w:b w:val="0"/>
          <w:i w:val="0"/>
          <w:color w:val="000000"/>
          <w:sz w:val="26"/>
        </w:rPr>
        <w:t>Từ các phân tích trên, luận án sử dụng khái niệm sau: *</w:t>
      </w:r>
      <w:r>
        <w:rPr>
          <w:rFonts w:ascii="Times New Roman" w:hAnsi="Times New Roman" w:eastAsia="Times New Roman" w:cs="Times New Roman"/>
          <w:b w:val="0"/>
          <w:i/>
          <w:color w:val="000000"/>
          <w:sz w:val="26"/>
        </w:rPr>
        <w:t>khai thác quyền SHTT là việc chủ thể quyền thực hiện các quyền tài sản đối với đối tượng được bảo hộ, thông qua tự sử dụng hoặc giao dịch với chủ thể khác, nhằm chuyển hóa quyền thành lợi ích kinh tế.</w:t>
      </w:r>
      <w:r>
        <w:rPr>
          <w:rFonts w:ascii="Times New Roman" w:hAnsi="Times New Roman" w:eastAsia="Times New Roman" w:cs="Times New Roman"/>
          <w:b w:val="0"/>
          <w:i w:val="0"/>
          <w:color w:val="000000"/>
          <w:sz w:val="26"/>
        </w:rPr>
        <w:t>* Khái niệm này có ba điểm cần làm rõ. Một là, chủ thể khai thác là chủ sở hữu hoặc người được chuyển giao quyền, phù hợp với khái niệm chủ thể quyền SHTT trong Luật SHTT [6]. Hai là, khai thác dựa trên quyền tài sản, không bao gồm việc thực hiện quyền nhân thân. Ba là, hoạt động bảo vệ quyền trước hành vi xâm phạm không phải là hình thức khai thác, nhưng là điều kiện để giá trị khai thác không bị suy giảm; vì vậy, luận án xem xét bảo vệ quyền ở mức độ gắn với giá trị khai thác, không phân tích toàn bộ hoạt động thực thi quyền.</w:t>
      </w:r>
    </w:p>
    <w:p>
      <w:pPr>
        <w:keepNext w:val="0"/>
        <w:spacing w:before="0" w:after="0" w:line="360" w:lineRule="auto"/>
        <w:ind w:firstLine="720"/>
        <w:jc w:val="both"/>
      </w:pPr>
      <w:r>
        <w:rPr>
          <w:rFonts w:ascii="Times New Roman" w:hAnsi="Times New Roman" w:eastAsia="Times New Roman" w:cs="Times New Roman"/>
          <w:b w:val="0"/>
          <w:i w:val="0"/>
          <w:color w:val="000000"/>
          <w:sz w:val="26"/>
        </w:rPr>
        <w:t>Trong nền kinh tế số, *</w:t>
      </w:r>
      <w:r>
        <w:rPr>
          <w:rFonts w:ascii="Times New Roman" w:hAnsi="Times New Roman" w:eastAsia="Times New Roman" w:cs="Times New Roman"/>
          <w:b w:val="0"/>
          <w:i/>
          <w:color w:val="000000"/>
          <w:sz w:val="26"/>
        </w:rPr>
        <w:t>khai thác quyền SHTT trong nền kinh tế số</w:t>
      </w:r>
      <w:r>
        <w:rPr>
          <w:rFonts w:ascii="Times New Roman" w:hAnsi="Times New Roman" w:eastAsia="Times New Roman" w:cs="Times New Roman"/>
          <w:b w:val="0"/>
          <w:i w:val="0"/>
          <w:color w:val="000000"/>
          <w:sz w:val="26"/>
        </w:rPr>
        <w:t>* được hiểu là hoạt động khai thác nêu trên được thực hiện bằng công nghệ số, trên môi trường số hoặc đối với các đối tượng quyền gắn với sản phẩm, dịch vụ số. Cách hiểu này bao gồm cả việc khai thác quyền đối với đối tượng truyền thống thông qua phương tiện số, ví dụ giao dịch li-xăng sáng chế qua sàn giao dịch trực tuyến, và việc khai thác các đối tượng tồn tại dưới dạng số, ví dụ cấp phép chương trình máy tính dưới dạng dịch vụ.</w:t>
      </w:r>
    </w:p>
    <w:p>
      <w:pPr>
        <w:pStyle w:val="Heading4"/>
      </w:pPr>
      <w:r>
        <w:rPr>
          <w:rFonts w:ascii="Times New Roman" w:hAnsi="Times New Roman" w:eastAsia="Times New Roman" w:cs="Times New Roman"/>
          <w:b/>
          <w:i/>
          <w:color w:val="000000"/>
          <w:sz w:val="26"/>
        </w:rPr>
        <w:t>2.1.3.2. Các hình thức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Căn cứ vào quan hệ giữa chủ thể quyền và đối tượng được bảo hộ, các hình thức khai thác có thể chia thành khai thác trực tiếp và khai thác thông qua giao dịch. Căn cứ vào mục đích, có thể phân biệt khai thác để tạo doanh thu từ sản phẩm, khai thác để thu phí li-xăng, khai thác để huy động vốn và khai thác chiến lược. Kết hợp hai tiêu chí này với quy định của pháp luật hiện hành, luận án xác định sáu hình thức khai thác được trình bày tại Bảng 2.1.</w:t>
      </w:r>
    </w:p>
    <w:p>
      <w:pPr>
        <w:pStyle w:val="Chuthichhinhbang"/>
        <w:keepNext/>
        <w:spacing w:before="120"/>
      </w:pPr>
      <w:r>
        <w:rPr>
          <w:rFonts w:ascii="Times New Roman" w:hAnsi="Times New Roman" w:eastAsia="Times New Roman" w:cs="Times New Roman"/>
          <w:b/>
          <w:i w:val="0"/>
          <w:color w:val="000000"/>
          <w:sz w:val="26"/>
        </w:rPr>
        <w:t>Bảng 2.1. Các hình thức khai thác quyền SHTT và biểu hiện trong nền kinh tế số</w:t>
      </w:r>
    </w:p>
    <w:tbl>
      <w:tblPr>
        <w:tblStyle w:val="TableGrid"/>
        <w:tblW w:type="auto" w:w="0"/>
        <w:jc w:val="center"/>
        <w:tblLayout w:type="fixed"/>
        <w:tblLook w:firstColumn="1" w:firstRow="1" w:lastColumn="0" w:lastRow="0" w:noHBand="0" w:noVBand="1" w:val="04A0"/>
      </w:tblPr>
      <w:tblGrid>
        <w:gridCol w:w="1928"/>
        <w:gridCol w:w="2608"/>
        <w:gridCol w:w="2041"/>
        <w:gridCol w:w="2494"/>
      </w:tblGrid>
      <w:tr>
        <w:trPr>
          <w:tblHeader w:val="true"/>
        </w:trPr>
        <w:tc>
          <w:tcPr>
            <w:tcW w:type="dxa" w:w="1928"/>
          </w:tcPr>
          <w:p>
            <w:pPr>
              <w:spacing w:line="276" w:lineRule="auto"/>
              <w:jc w:val="center"/>
            </w:pPr>
            <w:r>
              <w:rPr>
                <w:rFonts w:ascii="Times New Roman" w:hAnsi="Times New Roman" w:eastAsia="Times New Roman" w:cs="Times New Roman"/>
                <w:b/>
                <w:i w:val="0"/>
                <w:color w:val="000000"/>
                <w:sz w:val="24"/>
              </w:rPr>
              <w:t>Hình thức</w:t>
            </w:r>
          </w:p>
        </w:tc>
        <w:tc>
          <w:tcPr>
            <w:tcW w:type="dxa" w:w="2608"/>
          </w:tcPr>
          <w:p>
            <w:pPr>
              <w:spacing w:line="276" w:lineRule="auto"/>
              <w:jc w:val="center"/>
            </w:pPr>
            <w:r>
              <w:rPr>
                <w:rFonts w:ascii="Times New Roman" w:hAnsi="Times New Roman" w:eastAsia="Times New Roman" w:cs="Times New Roman"/>
                <w:b/>
                <w:i w:val="0"/>
                <w:color w:val="000000"/>
                <w:sz w:val="24"/>
              </w:rPr>
              <w:t>Nội dung</w:t>
            </w:r>
          </w:p>
        </w:tc>
        <w:tc>
          <w:tcPr>
            <w:tcW w:type="dxa" w:w="2041"/>
          </w:tcPr>
          <w:p>
            <w:pPr>
              <w:spacing w:line="276" w:lineRule="auto"/>
              <w:jc w:val="center"/>
            </w:pPr>
            <w:r>
              <w:rPr>
                <w:rFonts w:ascii="Times New Roman" w:hAnsi="Times New Roman" w:eastAsia="Times New Roman" w:cs="Times New Roman"/>
                <w:b/>
                <w:i w:val="0"/>
                <w:color w:val="000000"/>
                <w:sz w:val="24"/>
              </w:rPr>
              <w:t>Căn cứ pháp lý, lý luận</w:t>
            </w:r>
          </w:p>
        </w:tc>
        <w:tc>
          <w:tcPr>
            <w:tcW w:type="dxa" w:w="2494"/>
          </w:tcPr>
          <w:p>
            <w:pPr>
              <w:spacing w:line="276" w:lineRule="auto"/>
              <w:jc w:val="center"/>
            </w:pPr>
            <w:r>
              <w:rPr>
                <w:rFonts w:ascii="Times New Roman" w:hAnsi="Times New Roman" w:eastAsia="Times New Roman" w:cs="Times New Roman"/>
                <w:b/>
                <w:i w:val="0"/>
                <w:color w:val="000000"/>
                <w:sz w:val="24"/>
              </w:rPr>
              <w:t>Biểu hiện trong nền kinh tế số</w:t>
            </w:r>
          </w:p>
        </w:tc>
      </w:tr>
      <w:tr>
        <w:tc>
          <w:tcPr>
            <w:tcW w:type="dxa" w:w="1928"/>
          </w:tcPr>
          <w:p>
            <w:pPr>
              <w:spacing w:line="276" w:lineRule="auto"/>
              <w:jc w:val="left"/>
            </w:pPr>
            <w:r>
              <w:rPr>
                <w:rFonts w:ascii="Times New Roman" w:hAnsi="Times New Roman" w:eastAsia="Times New Roman" w:cs="Times New Roman"/>
                <w:b w:val="0"/>
                <w:i w:val="0"/>
                <w:color w:val="000000"/>
                <w:sz w:val="24"/>
              </w:rPr>
              <w:t>(1) Chủ thể quyền trực tiếp sử dụng</w:t>
            </w:r>
          </w:p>
        </w:tc>
        <w:tc>
          <w:tcPr>
            <w:tcW w:type="dxa" w:w="2608"/>
          </w:tcPr>
          <w:p>
            <w:pPr>
              <w:spacing w:line="276" w:lineRule="auto"/>
              <w:jc w:val="left"/>
            </w:pPr>
            <w:r>
              <w:rPr>
                <w:rFonts w:ascii="Times New Roman" w:hAnsi="Times New Roman" w:eastAsia="Times New Roman" w:cs="Times New Roman"/>
                <w:b w:val="0"/>
                <w:i w:val="0"/>
                <w:color w:val="000000"/>
                <w:sz w:val="24"/>
              </w:rPr>
              <w:t>Sản xuất sản phẩm, áp dụng quy trình, gắn nhãn hiệu, phát hành tác phẩm để tạo doanh thu</w:t>
            </w:r>
          </w:p>
        </w:tc>
        <w:tc>
          <w:tcPr>
            <w:tcW w:type="dxa" w:w="2041"/>
          </w:tcPr>
          <w:p>
            <w:pPr>
              <w:spacing w:line="276" w:lineRule="auto"/>
              <w:jc w:val="left"/>
            </w:pPr>
            <w:r>
              <w:rPr>
                <w:rFonts w:ascii="Times New Roman" w:hAnsi="Times New Roman" w:eastAsia="Times New Roman" w:cs="Times New Roman"/>
                <w:b w:val="0"/>
                <w:i w:val="0"/>
                <w:color w:val="000000"/>
                <w:sz w:val="24"/>
              </w:rPr>
              <w:t>Điều 123, 124 Luật SHTT [6]; [22]</w:t>
            </w:r>
          </w:p>
        </w:tc>
        <w:tc>
          <w:tcPr>
            <w:tcW w:type="dxa" w:w="2494"/>
          </w:tcPr>
          <w:p>
            <w:pPr>
              <w:spacing w:line="276" w:lineRule="auto"/>
              <w:jc w:val="left"/>
            </w:pPr>
            <w:r>
              <w:rPr>
                <w:rFonts w:ascii="Times New Roman" w:hAnsi="Times New Roman" w:eastAsia="Times New Roman" w:cs="Times New Roman"/>
                <w:b w:val="0"/>
                <w:i w:val="0"/>
                <w:color w:val="000000"/>
                <w:sz w:val="24"/>
              </w:rPr>
              <w:t>Cung cấp phần mềm, nội dung số, sản phẩm có tích hợp công nghệ được bảo hộ qua kênh trực tuyến</w:t>
            </w:r>
          </w:p>
        </w:tc>
      </w:tr>
      <w:tr>
        <w:tc>
          <w:tcPr>
            <w:tcW w:type="dxa" w:w="1928"/>
          </w:tcPr>
          <w:p>
            <w:pPr>
              <w:spacing w:line="276" w:lineRule="auto"/>
              <w:jc w:val="left"/>
            </w:pPr>
            <w:r>
              <w:rPr>
                <w:rFonts w:ascii="Times New Roman" w:hAnsi="Times New Roman" w:eastAsia="Times New Roman" w:cs="Times New Roman"/>
                <w:b w:val="0"/>
                <w:i w:val="0"/>
                <w:color w:val="000000"/>
                <w:sz w:val="24"/>
              </w:rPr>
              <w:t>(2) Chuyển nhượng quyền</w:t>
            </w:r>
          </w:p>
        </w:tc>
        <w:tc>
          <w:tcPr>
            <w:tcW w:type="dxa" w:w="2608"/>
          </w:tcPr>
          <w:p>
            <w:pPr>
              <w:spacing w:line="276" w:lineRule="auto"/>
              <w:jc w:val="left"/>
            </w:pPr>
            <w:r>
              <w:rPr>
                <w:rFonts w:ascii="Times New Roman" w:hAnsi="Times New Roman" w:eastAsia="Times New Roman" w:cs="Times New Roman"/>
                <w:b w:val="0"/>
                <w:i w:val="0"/>
                <w:color w:val="000000"/>
                <w:sz w:val="24"/>
              </w:rPr>
              <w:t>Chủ sở hữu chuyển giao quyền sở hữu cho chủ thể khác</w:t>
            </w:r>
          </w:p>
        </w:tc>
        <w:tc>
          <w:tcPr>
            <w:tcW w:type="dxa" w:w="2041"/>
          </w:tcPr>
          <w:p>
            <w:pPr>
              <w:spacing w:line="276" w:lineRule="auto"/>
              <w:jc w:val="left"/>
            </w:pPr>
            <w:r>
              <w:rPr>
                <w:rFonts w:ascii="Times New Roman" w:hAnsi="Times New Roman" w:eastAsia="Times New Roman" w:cs="Times New Roman"/>
                <w:b w:val="0"/>
                <w:i w:val="0"/>
                <w:color w:val="000000"/>
                <w:sz w:val="24"/>
              </w:rPr>
              <w:t>Điều 138 Luật SHTT [6]; Điều 27 Luật Khoa học, công nghệ và đổi mới sáng tạo [8]</w:t>
            </w:r>
          </w:p>
        </w:tc>
        <w:tc>
          <w:tcPr>
            <w:tcW w:type="dxa" w:w="2494"/>
          </w:tcPr>
          <w:p>
            <w:pPr>
              <w:spacing w:line="276" w:lineRule="auto"/>
              <w:jc w:val="left"/>
            </w:pPr>
            <w:r>
              <w:rPr>
                <w:rFonts w:ascii="Times New Roman" w:hAnsi="Times New Roman" w:eastAsia="Times New Roman" w:cs="Times New Roman"/>
                <w:b w:val="0"/>
                <w:i w:val="0"/>
                <w:color w:val="000000"/>
                <w:sz w:val="24"/>
              </w:rPr>
              <w:t>Mua bán danh mục sáng chế, nhãn hiệu, tên miền gắn nhãn hiệu qua sàn giao dịch</w:t>
            </w:r>
          </w:p>
        </w:tc>
      </w:tr>
      <w:tr>
        <w:tc>
          <w:tcPr>
            <w:tcW w:type="dxa" w:w="1928"/>
          </w:tcPr>
          <w:p>
            <w:pPr>
              <w:spacing w:line="276" w:lineRule="auto"/>
              <w:jc w:val="left"/>
            </w:pPr>
            <w:r>
              <w:rPr>
                <w:rFonts w:ascii="Times New Roman" w:hAnsi="Times New Roman" w:eastAsia="Times New Roman" w:cs="Times New Roman"/>
                <w:b w:val="0"/>
                <w:i w:val="0"/>
                <w:color w:val="000000"/>
                <w:sz w:val="24"/>
              </w:rPr>
              <w:t>(3) Chuyển quyền sử dụng (li-xăng)</w:t>
            </w:r>
          </w:p>
        </w:tc>
        <w:tc>
          <w:tcPr>
            <w:tcW w:type="dxa" w:w="2608"/>
          </w:tcPr>
          <w:p>
            <w:pPr>
              <w:spacing w:line="276" w:lineRule="auto"/>
              <w:jc w:val="left"/>
            </w:pPr>
            <w:r>
              <w:rPr>
                <w:rFonts w:ascii="Times New Roman" w:hAnsi="Times New Roman" w:eastAsia="Times New Roman" w:cs="Times New Roman"/>
                <w:b w:val="0"/>
                <w:i w:val="0"/>
                <w:color w:val="000000"/>
                <w:sz w:val="24"/>
              </w:rPr>
              <w:t>Chủ sở hữu cho phép chủ thể khác sử dụng đối tượng trong phạm vi quyền của mình</w:t>
            </w:r>
          </w:p>
        </w:tc>
        <w:tc>
          <w:tcPr>
            <w:tcW w:type="dxa" w:w="2041"/>
          </w:tcPr>
          <w:p>
            <w:pPr>
              <w:spacing w:line="276" w:lineRule="auto"/>
              <w:jc w:val="left"/>
            </w:pPr>
            <w:r>
              <w:rPr>
                <w:rFonts w:ascii="Times New Roman" w:hAnsi="Times New Roman" w:eastAsia="Times New Roman" w:cs="Times New Roman"/>
                <w:b w:val="0"/>
                <w:i w:val="0"/>
                <w:color w:val="000000"/>
                <w:sz w:val="24"/>
              </w:rPr>
              <w:t>Điều 141 Luật SHTT [6]; [13], [25]</w:t>
            </w:r>
          </w:p>
        </w:tc>
        <w:tc>
          <w:tcPr>
            <w:tcW w:type="dxa" w:w="2494"/>
          </w:tcPr>
          <w:p>
            <w:pPr>
              <w:spacing w:line="276" w:lineRule="auto"/>
              <w:jc w:val="left"/>
            </w:pPr>
            <w:r>
              <w:rPr>
                <w:rFonts w:ascii="Times New Roman" w:hAnsi="Times New Roman" w:eastAsia="Times New Roman" w:cs="Times New Roman"/>
                <w:b w:val="0"/>
                <w:i w:val="0"/>
                <w:color w:val="000000"/>
                <w:sz w:val="24"/>
              </w:rPr>
              <w:t>Cấp phép phần mềm dưới dạng dịch vụ, cấp phép nội dung số theo lượt sử dụng hoặc thuê bao</w:t>
            </w:r>
          </w:p>
        </w:tc>
      </w:tr>
      <w:tr>
        <w:tc>
          <w:tcPr>
            <w:tcW w:type="dxa" w:w="1928"/>
          </w:tcPr>
          <w:p>
            <w:pPr>
              <w:spacing w:line="276" w:lineRule="auto"/>
              <w:jc w:val="left"/>
            </w:pPr>
            <w:r>
              <w:rPr>
                <w:rFonts w:ascii="Times New Roman" w:hAnsi="Times New Roman" w:eastAsia="Times New Roman" w:cs="Times New Roman"/>
                <w:b w:val="0"/>
                <w:i w:val="0"/>
                <w:color w:val="000000"/>
                <w:sz w:val="24"/>
              </w:rPr>
              <w:t>(4) Góp vốn, thế chấp, huy động vốn bằng quyền</w:t>
            </w:r>
          </w:p>
        </w:tc>
        <w:tc>
          <w:tcPr>
            <w:tcW w:type="dxa" w:w="2608"/>
          </w:tcPr>
          <w:p>
            <w:pPr>
              <w:spacing w:line="276" w:lineRule="auto"/>
              <w:jc w:val="left"/>
            </w:pPr>
            <w:r>
              <w:rPr>
                <w:rFonts w:ascii="Times New Roman" w:hAnsi="Times New Roman" w:eastAsia="Times New Roman" w:cs="Times New Roman"/>
                <w:b w:val="0"/>
                <w:i w:val="0"/>
                <w:color w:val="000000"/>
                <w:sz w:val="24"/>
              </w:rPr>
              <w:t>Sử dụng quyền làm tài sản góp vốn, tài sản bảo đảm hoặc cơ sở thu hút đầu tư</w:t>
            </w:r>
          </w:p>
        </w:tc>
        <w:tc>
          <w:tcPr>
            <w:tcW w:type="dxa" w:w="2041"/>
          </w:tcPr>
          <w:p>
            <w:pPr>
              <w:spacing w:line="276" w:lineRule="auto"/>
              <w:jc w:val="left"/>
            </w:pPr>
            <w:r>
              <w:rPr>
                <w:rFonts w:ascii="Times New Roman" w:hAnsi="Times New Roman" w:eastAsia="Times New Roman" w:cs="Times New Roman"/>
                <w:b w:val="0"/>
                <w:i w:val="0"/>
                <w:color w:val="000000"/>
                <w:sz w:val="24"/>
              </w:rPr>
              <w:t>Điều 8a Luật SHTT [9]; [5], [22]</w:t>
            </w:r>
          </w:p>
        </w:tc>
        <w:tc>
          <w:tcPr>
            <w:tcW w:type="dxa" w:w="2494"/>
          </w:tcPr>
          <w:p>
            <w:pPr>
              <w:spacing w:line="276" w:lineRule="auto"/>
              <w:jc w:val="left"/>
            </w:pPr>
            <w:r>
              <w:rPr>
                <w:rFonts w:ascii="Times New Roman" w:hAnsi="Times New Roman" w:eastAsia="Times New Roman" w:cs="Times New Roman"/>
                <w:b w:val="0"/>
                <w:i w:val="0"/>
                <w:color w:val="000000"/>
                <w:sz w:val="24"/>
              </w:rPr>
              <w:t>Định giá dựa trên dữ liệu, gọi vốn của doanh nghiệp khởi nghiệp công nghệ số dựa trên danh mục quyền</w:t>
            </w:r>
          </w:p>
        </w:tc>
      </w:tr>
      <w:tr>
        <w:tc>
          <w:tcPr>
            <w:tcW w:type="dxa" w:w="1928"/>
          </w:tcPr>
          <w:p>
            <w:pPr>
              <w:spacing w:line="276" w:lineRule="auto"/>
              <w:jc w:val="left"/>
            </w:pPr>
            <w:r>
              <w:rPr>
                <w:rFonts w:ascii="Times New Roman" w:hAnsi="Times New Roman" w:eastAsia="Times New Roman" w:cs="Times New Roman"/>
                <w:b w:val="0"/>
                <w:i w:val="0"/>
                <w:color w:val="000000"/>
                <w:sz w:val="24"/>
              </w:rPr>
              <w:t>(5) Thương mại hóa kết quả nghiên cứu hình thành quyền</w:t>
            </w:r>
          </w:p>
        </w:tc>
        <w:tc>
          <w:tcPr>
            <w:tcW w:type="dxa" w:w="2608"/>
          </w:tcPr>
          <w:p>
            <w:pPr>
              <w:spacing w:line="276" w:lineRule="auto"/>
              <w:jc w:val="left"/>
            </w:pPr>
            <w:r>
              <w:rPr>
                <w:rFonts w:ascii="Times New Roman" w:hAnsi="Times New Roman" w:eastAsia="Times New Roman" w:cs="Times New Roman"/>
                <w:b w:val="0"/>
                <w:i w:val="0"/>
                <w:color w:val="000000"/>
                <w:sz w:val="24"/>
              </w:rPr>
              <w:t>Chuyển giao, liên doanh, thành lập doanh nghiệp từ kết quả nghiên cứu có quyền SHTT</w:t>
            </w:r>
          </w:p>
        </w:tc>
        <w:tc>
          <w:tcPr>
            <w:tcW w:type="dxa" w:w="2041"/>
          </w:tcPr>
          <w:p>
            <w:pPr>
              <w:spacing w:line="276" w:lineRule="auto"/>
              <w:jc w:val="left"/>
            </w:pPr>
            <w:r>
              <w:rPr>
                <w:rFonts w:ascii="Times New Roman" w:hAnsi="Times New Roman" w:eastAsia="Times New Roman" w:cs="Times New Roman"/>
                <w:b w:val="0"/>
                <w:i w:val="0"/>
                <w:color w:val="000000"/>
                <w:sz w:val="24"/>
              </w:rPr>
              <w:t>Điều 27 Luật Khoa học, công nghệ và đổi mới sáng tạo [8]; [10], [12]</w:t>
            </w:r>
          </w:p>
        </w:tc>
        <w:tc>
          <w:tcPr>
            <w:tcW w:type="dxa" w:w="2494"/>
          </w:tcPr>
          <w:p>
            <w:pPr>
              <w:spacing w:line="276" w:lineRule="auto"/>
              <w:jc w:val="left"/>
            </w:pPr>
            <w:r>
              <w:rPr>
                <w:rFonts w:ascii="Times New Roman" w:hAnsi="Times New Roman" w:eastAsia="Times New Roman" w:cs="Times New Roman"/>
                <w:b w:val="0"/>
                <w:i w:val="0"/>
                <w:color w:val="000000"/>
                <w:sz w:val="24"/>
              </w:rPr>
              <w:t>Kết nối cung cầu công nghệ qua sàn giao dịch trực tuyến, doanh nghiệp khởi nguồn trong lĩnh vực công nghệ số</w:t>
            </w:r>
          </w:p>
        </w:tc>
      </w:tr>
      <w:tr>
        <w:tc>
          <w:tcPr>
            <w:tcW w:type="dxa" w:w="1928"/>
          </w:tcPr>
          <w:p>
            <w:pPr>
              <w:spacing w:line="276" w:lineRule="auto"/>
              <w:jc w:val="left"/>
            </w:pPr>
            <w:r>
              <w:rPr>
                <w:rFonts w:ascii="Times New Roman" w:hAnsi="Times New Roman" w:eastAsia="Times New Roman" w:cs="Times New Roman"/>
                <w:b w:val="0"/>
                <w:i w:val="0"/>
                <w:color w:val="000000"/>
                <w:sz w:val="24"/>
              </w:rPr>
              <w:t>(6) Khai thác chiến lược và khai thác thông tin</w:t>
            </w:r>
          </w:p>
        </w:tc>
        <w:tc>
          <w:tcPr>
            <w:tcW w:type="dxa" w:w="2608"/>
          </w:tcPr>
          <w:p>
            <w:pPr>
              <w:spacing w:line="276" w:lineRule="auto"/>
              <w:jc w:val="left"/>
            </w:pPr>
            <w:r>
              <w:rPr>
                <w:rFonts w:ascii="Times New Roman" w:hAnsi="Times New Roman" w:eastAsia="Times New Roman" w:cs="Times New Roman"/>
                <w:b w:val="0"/>
                <w:i w:val="0"/>
                <w:color w:val="000000"/>
                <w:sz w:val="24"/>
              </w:rPr>
              <w:t>Sử dụng quyền trong đàm phán, li-xăng chéo; khai thác thông tin sáng chế để đổi mới công nghệ</w:t>
            </w:r>
          </w:p>
        </w:tc>
        <w:tc>
          <w:tcPr>
            <w:tcW w:type="dxa" w:w="2041"/>
          </w:tcPr>
          <w:p>
            <w:pPr>
              <w:spacing w:line="276" w:lineRule="auto"/>
              <w:jc w:val="left"/>
            </w:pPr>
            <w:r>
              <w:rPr>
                <w:rFonts w:ascii="Times New Roman" w:hAnsi="Times New Roman" w:eastAsia="Times New Roman" w:cs="Times New Roman"/>
                <w:b w:val="0"/>
                <w:i w:val="0"/>
                <w:color w:val="000000"/>
                <w:sz w:val="24"/>
              </w:rPr>
              <w:t>[3], [22], [23]</w:t>
            </w:r>
          </w:p>
        </w:tc>
        <w:tc>
          <w:tcPr>
            <w:tcW w:type="dxa" w:w="2494"/>
          </w:tcPr>
          <w:p>
            <w:pPr>
              <w:spacing w:line="276" w:lineRule="auto"/>
              <w:jc w:val="left"/>
            </w:pPr>
            <w:r>
              <w:rPr>
                <w:rFonts w:ascii="Times New Roman" w:hAnsi="Times New Roman" w:eastAsia="Times New Roman" w:cs="Times New Roman"/>
                <w:b w:val="0"/>
                <w:i w:val="0"/>
                <w:color w:val="000000"/>
                <w:sz w:val="24"/>
              </w:rPr>
              <w:t>Phân tích cơ sở dữ liệu sáng chế bằng công cụ số để định hướng nghiên cứu, tìm đối tác</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tổng hợp từ Luật SHTT, Luật Khoa học, công nghệ và đổi mới sáng tạo và các công trình đã dẫn</w:t>
      </w:r>
    </w:p>
    <w:p>
      <w:pPr>
        <w:keepNext w:val="0"/>
        <w:spacing w:before="0" w:after="0" w:line="360" w:lineRule="auto"/>
        <w:ind w:firstLine="720"/>
        <w:jc w:val="both"/>
      </w:pPr>
      <w:r>
        <w:rPr>
          <w:rFonts w:ascii="Times New Roman" w:hAnsi="Times New Roman" w:eastAsia="Times New Roman" w:cs="Times New Roman"/>
          <w:b w:val="0"/>
          <w:i w:val="0"/>
          <w:color w:val="000000"/>
          <w:sz w:val="26"/>
        </w:rPr>
        <w:t>Các hình thức trên không tách biệt hoàn toàn. Một doanh nghiệp có thể vừa trực tiếp sử dụng sáng chế, vừa li-xăng cho đối tác ở thị trường khác, vừa dùng danh mục sáng chế để gọi vốn. Kamiyama, Sheehan và Martinez (2006) cũng nhấn mạnh tính tích lũy của các mục đích sử dụng quyền [22]. Định giá và hạch toán quyền SHTT không phải là một hình thức khai thác riêng, mà là điều kiện của các hình thức (2), (3), (4) và (5); vì vậy luận án xem xét định giá với tư cách là một nội dung hỗ trợ của QLNN.</w:t>
      </w:r>
    </w:p>
    <w:p>
      <w:pPr>
        <w:pStyle w:val="Heading4"/>
      </w:pPr>
      <w:r>
        <w:rPr>
          <w:rFonts w:ascii="Times New Roman" w:hAnsi="Times New Roman" w:eastAsia="Times New Roman" w:cs="Times New Roman"/>
          <w:b/>
          <w:i/>
          <w:color w:val="000000"/>
          <w:sz w:val="26"/>
        </w:rPr>
        <w:t>2.1.3.3. Chỉ tiêu phản ánh kết quả khai thác quyền sở hữu trí tuệ</w:t>
      </w:r>
    </w:p>
    <w:p>
      <w:pPr>
        <w:keepNext w:val="0"/>
        <w:spacing w:before="0" w:after="0" w:line="360" w:lineRule="auto"/>
        <w:ind w:firstLine="720"/>
        <w:jc w:val="both"/>
      </w:pPr>
      <w:r>
        <w:rPr>
          <w:rFonts w:ascii="Times New Roman" w:hAnsi="Times New Roman" w:eastAsia="Times New Roman" w:cs="Times New Roman"/>
          <w:b w:val="0"/>
          <w:i w:val="0"/>
          <w:color w:val="000000"/>
          <w:sz w:val="26"/>
        </w:rPr>
        <w:t>Kết quả khai thác quyền SHTT khó đo lường trực tiếp, vì phần lớn giá trị được tạo ra trong nội bộ doanh nghiệp và nhiều giao dịch không được công bố. Do đó, luận án sử dụng một hệ thống chỉ tiêu kết hợp nhiều nguồn, gồm chỉ tiêu về quy mô giao dịch, chỉ tiêu về giá trị, chỉ tiêu về tài chính hóa, chỉ tiêu về thương mại hóa kết quả nghiên cứu và chỉ tiêu đánh giá của chủ thể (Bảng 2.2).</w:t>
      </w:r>
    </w:p>
    <w:p>
      <w:pPr>
        <w:pStyle w:val="Chuthichhinhbang"/>
        <w:keepNext/>
        <w:spacing w:before="120"/>
      </w:pPr>
      <w:r>
        <w:rPr>
          <w:rFonts w:ascii="Times New Roman" w:hAnsi="Times New Roman" w:eastAsia="Times New Roman" w:cs="Times New Roman"/>
          <w:b/>
          <w:i w:val="0"/>
          <w:color w:val="000000"/>
          <w:sz w:val="26"/>
        </w:rPr>
        <w:t>Bảng 2.2. Hệ thống chỉ tiêu phản ánh kết quả khai thác quyền SHTT sử dụng trong luận án</w:t>
      </w:r>
    </w:p>
    <w:tbl>
      <w:tblPr>
        <w:tblStyle w:val="TableGrid"/>
        <w:tblW w:type="auto" w:w="0"/>
        <w:jc w:val="center"/>
        <w:tblLayout w:type="fixed"/>
        <w:tblLook w:firstColumn="1" w:firstRow="1" w:lastColumn="0" w:lastRow="0" w:noHBand="0" w:noVBand="1" w:val="04A0"/>
      </w:tblPr>
      <w:tblGrid>
        <w:gridCol w:w="1928"/>
        <w:gridCol w:w="3402"/>
        <w:gridCol w:w="3742"/>
      </w:tblGrid>
      <w:tr>
        <w:trPr>
          <w:tblHeader w:val="true"/>
        </w:trPr>
        <w:tc>
          <w:tcPr>
            <w:tcW w:type="dxa" w:w="1928"/>
          </w:tcPr>
          <w:p>
            <w:pPr>
              <w:spacing w:line="276" w:lineRule="auto"/>
              <w:jc w:val="center"/>
            </w:pPr>
            <w:r>
              <w:rPr>
                <w:rFonts w:ascii="Times New Roman" w:hAnsi="Times New Roman" w:eastAsia="Times New Roman" w:cs="Times New Roman"/>
                <w:b/>
                <w:i w:val="0"/>
                <w:color w:val="000000"/>
                <w:sz w:val="24"/>
              </w:rPr>
              <w:t>Nhóm chỉ tiêu</w:t>
            </w:r>
          </w:p>
        </w:tc>
        <w:tc>
          <w:tcPr>
            <w:tcW w:type="dxa" w:w="3402"/>
          </w:tcPr>
          <w:p>
            <w:pPr>
              <w:spacing w:line="276" w:lineRule="auto"/>
              <w:jc w:val="center"/>
            </w:pPr>
            <w:r>
              <w:rPr>
                <w:rFonts w:ascii="Times New Roman" w:hAnsi="Times New Roman" w:eastAsia="Times New Roman" w:cs="Times New Roman"/>
                <w:b/>
                <w:i w:val="0"/>
                <w:color w:val="000000"/>
                <w:sz w:val="24"/>
              </w:rPr>
              <w:t>Chỉ tiêu</w:t>
            </w:r>
          </w:p>
        </w:tc>
        <w:tc>
          <w:tcPr>
            <w:tcW w:type="dxa" w:w="3742"/>
          </w:tcPr>
          <w:p>
            <w:pPr>
              <w:spacing w:line="276" w:lineRule="auto"/>
              <w:jc w:val="center"/>
            </w:pPr>
            <w:r>
              <w:rPr>
                <w:rFonts w:ascii="Times New Roman" w:hAnsi="Times New Roman" w:eastAsia="Times New Roman" w:cs="Times New Roman"/>
                <w:b/>
                <w:i w:val="0"/>
                <w:color w:val="000000"/>
                <w:sz w:val="24"/>
              </w:rPr>
              <w:t>Nguồn dữ liệu</w:t>
            </w:r>
          </w:p>
        </w:tc>
      </w:tr>
      <w:tr>
        <w:tc>
          <w:tcPr>
            <w:tcW w:type="dxa" w:w="1928"/>
          </w:tcPr>
          <w:p>
            <w:pPr>
              <w:spacing w:line="276" w:lineRule="auto"/>
              <w:jc w:val="left"/>
            </w:pPr>
            <w:r>
              <w:rPr>
                <w:rFonts w:ascii="Times New Roman" w:hAnsi="Times New Roman" w:eastAsia="Times New Roman" w:cs="Times New Roman"/>
                <w:b w:val="0"/>
                <w:i w:val="0"/>
                <w:color w:val="000000"/>
                <w:sz w:val="24"/>
              </w:rPr>
              <w:t>Quy mô giao dịch</w:t>
            </w:r>
          </w:p>
        </w:tc>
        <w:tc>
          <w:tcPr>
            <w:tcW w:type="dxa" w:w="3402"/>
          </w:tcPr>
          <w:p>
            <w:pPr>
              <w:spacing w:line="276" w:lineRule="auto"/>
              <w:jc w:val="left"/>
            </w:pPr>
            <w:r>
              <w:rPr>
                <w:rFonts w:ascii="Times New Roman" w:hAnsi="Times New Roman" w:eastAsia="Times New Roman" w:cs="Times New Roman"/>
                <w:b w:val="0"/>
                <w:i w:val="0"/>
                <w:color w:val="000000"/>
                <w:sz w:val="24"/>
              </w:rPr>
              <w:t>Số đơn đăng ký và số hợp đồng chuyển nhượng quyền sở hữu, hợp đồng chuyển quyền sử dụng đối tượng sở hữu công nghiệp được đăng ký, theo chủ thể và theo đối tượng</w:t>
            </w:r>
          </w:p>
        </w:tc>
        <w:tc>
          <w:tcPr>
            <w:tcW w:type="dxa" w:w="3742"/>
          </w:tcPr>
          <w:p>
            <w:pPr>
              <w:spacing w:line="276" w:lineRule="auto"/>
              <w:jc w:val="left"/>
            </w:pPr>
            <w:r>
              <w:rPr>
                <w:rFonts w:ascii="Times New Roman" w:hAnsi="Times New Roman" w:eastAsia="Times New Roman" w:cs="Times New Roman"/>
                <w:b w:val="0"/>
                <w:i w:val="0"/>
                <w:color w:val="000000"/>
                <w:sz w:val="24"/>
              </w:rPr>
              <w:t>Báo cáo thường niên của Cục SHTT [1]</w:t>
            </w:r>
          </w:p>
        </w:tc>
      </w:tr>
      <w:tr>
        <w:tc>
          <w:tcPr>
            <w:tcW w:type="dxa" w:w="1928"/>
          </w:tcPr>
          <w:p>
            <w:pPr>
              <w:spacing w:line="276" w:lineRule="auto"/>
              <w:jc w:val="left"/>
            </w:pPr>
            <w:r>
              <w:rPr>
                <w:rFonts w:ascii="Times New Roman" w:hAnsi="Times New Roman" w:eastAsia="Times New Roman" w:cs="Times New Roman"/>
                <w:b w:val="0"/>
                <w:i w:val="0"/>
                <w:color w:val="000000"/>
                <w:sz w:val="24"/>
              </w:rPr>
              <w:t>Giá trị giao dịch</w:t>
            </w:r>
          </w:p>
        </w:tc>
        <w:tc>
          <w:tcPr>
            <w:tcW w:type="dxa" w:w="3402"/>
          </w:tcPr>
          <w:p>
            <w:pPr>
              <w:spacing w:line="276" w:lineRule="auto"/>
              <w:jc w:val="left"/>
            </w:pPr>
            <w:r>
              <w:rPr>
                <w:rFonts w:ascii="Times New Roman" w:hAnsi="Times New Roman" w:eastAsia="Times New Roman" w:cs="Times New Roman"/>
                <w:b w:val="0"/>
                <w:i w:val="0"/>
                <w:color w:val="000000"/>
                <w:sz w:val="24"/>
              </w:rPr>
              <w:t>Thu từ phí sử dụng quyền SHTT và chi trả phí sử dụng quyền SHTT tính theo tỷ lệ phần trăm tổng thương mại</w:t>
            </w:r>
          </w:p>
        </w:tc>
        <w:tc>
          <w:tcPr>
            <w:tcW w:type="dxa" w:w="3742"/>
          </w:tcPr>
          <w:p>
            <w:pPr>
              <w:spacing w:line="276" w:lineRule="auto"/>
              <w:jc w:val="left"/>
            </w:pPr>
            <w:r>
              <w:rPr>
                <w:rFonts w:ascii="Times New Roman" w:hAnsi="Times New Roman" w:eastAsia="Times New Roman" w:cs="Times New Roman"/>
                <w:b w:val="0"/>
                <w:i w:val="0"/>
                <w:color w:val="000000"/>
                <w:sz w:val="24"/>
              </w:rPr>
              <w:t>Chỉ số Đổi mới sáng tạo toàn cầu (GII), chỉ số 6.3.1 và 5.3.1 [29]</w:t>
            </w:r>
          </w:p>
        </w:tc>
      </w:tr>
      <w:tr>
        <w:tc>
          <w:tcPr>
            <w:tcW w:type="dxa" w:w="1928"/>
          </w:tcPr>
          <w:p>
            <w:pPr>
              <w:spacing w:line="276" w:lineRule="auto"/>
              <w:jc w:val="left"/>
            </w:pPr>
            <w:r>
              <w:rPr>
                <w:rFonts w:ascii="Times New Roman" w:hAnsi="Times New Roman" w:eastAsia="Times New Roman" w:cs="Times New Roman"/>
                <w:b w:val="0"/>
                <w:i w:val="0"/>
                <w:color w:val="000000"/>
                <w:sz w:val="24"/>
              </w:rPr>
              <w:t>Tài chính hóa</w:t>
            </w:r>
          </w:p>
        </w:tc>
        <w:tc>
          <w:tcPr>
            <w:tcW w:type="dxa" w:w="3402"/>
          </w:tcPr>
          <w:p>
            <w:pPr>
              <w:spacing w:line="276" w:lineRule="auto"/>
              <w:jc w:val="left"/>
            </w:pPr>
            <w:r>
              <w:rPr>
                <w:rFonts w:ascii="Times New Roman" w:hAnsi="Times New Roman" w:eastAsia="Times New Roman" w:cs="Times New Roman"/>
                <w:b w:val="0"/>
                <w:i w:val="0"/>
                <w:color w:val="000000"/>
                <w:sz w:val="24"/>
              </w:rPr>
              <w:t>Số trường hợp và giá trị góp vốn, thế chấp vay vốn bằng quyền SHTT</w:t>
            </w:r>
          </w:p>
        </w:tc>
        <w:tc>
          <w:tcPr>
            <w:tcW w:type="dxa" w:w="3742"/>
          </w:tcPr>
          <w:p>
            <w:pPr>
              <w:spacing w:line="276" w:lineRule="auto"/>
              <w:jc w:val="left"/>
            </w:pPr>
            <w:r>
              <w:rPr>
                <w:rFonts w:ascii="Times New Roman" w:hAnsi="Times New Roman" w:eastAsia="Times New Roman" w:cs="Times New Roman"/>
                <w:b w:val="0"/>
                <w:i w:val="0"/>
                <w:color w:val="000000"/>
                <w:sz w:val="24"/>
              </w:rPr>
              <w:t>Số liệu của cơ quan quản lý (khi được công bố); khảo sát của luận án</w:t>
            </w:r>
          </w:p>
        </w:tc>
      </w:tr>
      <w:tr>
        <w:tc>
          <w:tcPr>
            <w:tcW w:type="dxa" w:w="1928"/>
          </w:tcPr>
          <w:p>
            <w:pPr>
              <w:spacing w:line="276" w:lineRule="auto"/>
              <w:jc w:val="left"/>
            </w:pPr>
            <w:r>
              <w:rPr>
                <w:rFonts w:ascii="Times New Roman" w:hAnsi="Times New Roman" w:eastAsia="Times New Roman" w:cs="Times New Roman"/>
                <w:b w:val="0"/>
                <w:i w:val="0"/>
                <w:color w:val="000000"/>
                <w:sz w:val="24"/>
              </w:rPr>
              <w:t>Thương mại hóa kết quả nghiên cứu</w:t>
            </w:r>
          </w:p>
        </w:tc>
        <w:tc>
          <w:tcPr>
            <w:tcW w:type="dxa" w:w="3402"/>
          </w:tcPr>
          <w:p>
            <w:pPr>
              <w:spacing w:line="276" w:lineRule="auto"/>
              <w:jc w:val="left"/>
            </w:pPr>
            <w:r>
              <w:rPr>
                <w:rFonts w:ascii="Times New Roman" w:hAnsi="Times New Roman" w:eastAsia="Times New Roman" w:cs="Times New Roman"/>
                <w:b w:val="0"/>
                <w:i w:val="0"/>
                <w:color w:val="000000"/>
                <w:sz w:val="24"/>
              </w:rPr>
              <w:t>Số kết quả nghiên cứu được thương mại hóa, hình thức và hiệu quả thương mại hóa</w:t>
            </w:r>
          </w:p>
        </w:tc>
        <w:tc>
          <w:tcPr>
            <w:tcW w:type="dxa" w:w="3742"/>
          </w:tcPr>
          <w:p>
            <w:pPr>
              <w:spacing w:line="276" w:lineRule="auto"/>
              <w:jc w:val="left"/>
            </w:pPr>
            <w:r>
              <w:rPr>
                <w:rFonts w:ascii="Times New Roman" w:hAnsi="Times New Roman" w:eastAsia="Times New Roman" w:cs="Times New Roman"/>
                <w:b w:val="0"/>
                <w:i w:val="0"/>
                <w:color w:val="000000"/>
                <w:sz w:val="24"/>
              </w:rPr>
              <w:t>Báo cáo của tổ chức chủ trì theo Điều 27 Luật Khoa học, công nghệ và đổi mới sáng tạo [8]; khảo sát của luận án</w:t>
            </w:r>
          </w:p>
        </w:tc>
      </w:tr>
      <w:tr>
        <w:tc>
          <w:tcPr>
            <w:tcW w:type="dxa" w:w="1928"/>
          </w:tcPr>
          <w:p>
            <w:pPr>
              <w:spacing w:line="276" w:lineRule="auto"/>
              <w:jc w:val="left"/>
            </w:pPr>
            <w:r>
              <w:rPr>
                <w:rFonts w:ascii="Times New Roman" w:hAnsi="Times New Roman" w:eastAsia="Times New Roman" w:cs="Times New Roman"/>
                <w:b w:val="0"/>
                <w:i w:val="0"/>
                <w:color w:val="000000"/>
                <w:sz w:val="24"/>
              </w:rPr>
              <w:t>Đánh giá của chủ thể</w:t>
            </w:r>
          </w:p>
        </w:tc>
        <w:tc>
          <w:tcPr>
            <w:tcW w:type="dxa" w:w="3402"/>
          </w:tcPr>
          <w:p>
            <w:pPr>
              <w:spacing w:line="276" w:lineRule="auto"/>
              <w:jc w:val="left"/>
            </w:pPr>
            <w:r>
              <w:rPr>
                <w:rFonts w:ascii="Times New Roman" w:hAnsi="Times New Roman" w:eastAsia="Times New Roman" w:cs="Times New Roman"/>
                <w:b w:val="0"/>
                <w:i w:val="0"/>
                <w:color w:val="000000"/>
                <w:sz w:val="24"/>
              </w:rPr>
              <w:t>Mức độ thực hiện các hình thức khai thác; mức độ thuận lợi khi tiếp cận dịch vụ, thông tin, nguồn vốn phục vụ khai thác</w:t>
            </w:r>
          </w:p>
        </w:tc>
        <w:tc>
          <w:tcPr>
            <w:tcW w:type="dxa" w:w="3742"/>
          </w:tcPr>
          <w:p>
            <w:pPr>
              <w:spacing w:line="276" w:lineRule="auto"/>
              <w:jc w:val="left"/>
            </w:pPr>
            <w:r>
              <w:rPr>
                <w:rFonts w:ascii="Times New Roman" w:hAnsi="Times New Roman" w:eastAsia="Times New Roman" w:cs="Times New Roman"/>
                <w:b w:val="0"/>
                <w:i w:val="0"/>
                <w:color w:val="000000"/>
                <w:sz w:val="24"/>
              </w:rPr>
              <w:t>Khảo sát bốn nhóm đối tượng và phỏng vấn sâu của luận án</w:t>
            </w:r>
          </w:p>
        </w:tc>
      </w:tr>
    </w:tbl>
    <w:p>
      <w:pPr>
        <w:keepNext w:val="0"/>
        <w:spacing w:before="0" w:after="120" w:line="360" w:lineRule="auto"/>
        <w:ind w:firstLine="0"/>
        <w:jc w:val="right"/>
      </w:pPr>
      <w:r>
        <w:rPr>
          <w:rFonts w:ascii="Times New Roman" w:hAnsi="Times New Roman" w:eastAsia="Times New Roman" w:cs="Times New Roman"/>
          <w:b w:val="0"/>
          <w:i/>
          <w:color w:val="000000"/>
          <w:sz w:val="24"/>
        </w:rPr>
        <w:t>Nguồn: Nghiên cứu sinh đề xuất</w:t>
      </w:r>
    </w:p>
    <w:p>
      <w:pPr>
        <w:keepNext w:val="0"/>
        <w:spacing w:before="0" w:after="0" w:line="360" w:lineRule="auto"/>
        <w:ind w:firstLine="720"/>
        <w:jc w:val="both"/>
      </w:pPr>
      <w:r>
        <w:rPr>
          <w:rFonts w:ascii="Times New Roman" w:hAnsi="Times New Roman" w:eastAsia="Times New Roman" w:cs="Times New Roman"/>
          <w:b w:val="0"/>
          <w:i w:val="0"/>
          <w:color w:val="000000"/>
          <w:sz w:val="26"/>
        </w:rPr>
        <w:t>Mỗi nhóm chỉ tiêu có giới hạn riêng. Số liệu đăng ký hợp đồng của Cục SHTT có tính hệ thống và cho phép so sánh theo thời gian, song chỉ phản ánh phần giao dịch được đăng ký và chủ yếu đối với đối tượng sở hữu công nghiệp; các giao dịch cấp phép quyền tác giả và giao dịch trên nền tảng số có thể chưa được phản ánh đầy đủ. Chỉ tiêu của GII phản ánh dòng thu, chi phí sử dụng quyền SHTT qua biên giới, phù hợp để so sánh quốc tế nhưng không phản ánh giao dịch trong nước. Số liệu về tài chính hóa hiện chưa được thống kê thành hệ thống; cơ sở dữ liệu về giá giao dịch quyền SHTT theo Điều 11b Luật SHTT [9] khi được xây dựng sẽ là nguồn bổ sung quan trọng. Vì những giới hạn này, luận án sử dụng số liệu thứ cấp để phản ánh xu hướng và sử dụng khảo sát để bổ sung đánh giá của các chủ thể tham gia khai thác, thay vì xây dựng một chỉ số tổng hợp.</w:t>
      </w:r>
    </w:p>
    <w:p>
      <w:pPr>
        <w:keepNext w:val="0"/>
        <w:spacing w:before="0" w:after="0" w:line="360" w:lineRule="auto"/>
        <w:ind w:firstLine="720"/>
        <w:jc w:val="both"/>
      </w:pPr>
      <w:r>
        <w:rPr>
          <w:rFonts w:ascii="Times New Roman" w:hAnsi="Times New Roman" w:eastAsia="Times New Roman" w:cs="Times New Roman"/>
          <w:b w:val="0"/>
          <w:i w:val="0"/>
          <w:color w:val="000000"/>
          <w:sz w:val="26"/>
        </w:rPr>
        <w:t>Việc làm rõ khái niệm, đặc điểm, hình thức và chỉ tiêu của khai thác quyền SHTT trong nền kinh tế số tạo cơ sở để luận án xem xét các lý thuyết giải thích sự cần thiết của QLNN đối với hoạt động này tại mục 2.2, trước khi xác định khái niệm, đặc điểm và nội dung QLNN tại các mục tiếp theo.</w:t>
      </w:r>
    </w:p>
    <w:p>
      <w:pPr>
        <w:sectPr>
          <w:headerReference w:type="default" r:id="rId9"/>
          <w:pgSz w:w="11906" w:h="16838"/>
          <w:pgMar w:top="1984" w:right="1134" w:bottom="1701" w:left="1984" w:header="720" w:footer="720" w:gutter="0"/>
          <w:cols w:space="720"/>
          <w:docGrid w:linePitch="360"/>
          <w:pgNumType w:fmt="decimal" w:start="1"/>
        </w:sectPr>
      </w:pPr>
    </w:p>
    <w:p>
      <w:pPr>
        <w:pStyle w:val="Heading1"/>
      </w:pPr>
      <w:r>
        <w:rPr>
          <w:rFonts w:ascii="Times New Roman" w:hAnsi="Times New Roman" w:eastAsia="Times New Roman" w:cs="Times New Roman"/>
          <w:b/>
          <w:i w:val="0"/>
          <w:color w:val="000000"/>
          <w:sz w:val="28"/>
        </w:rPr>
        <w:t>TÀI LIỆU THAM KHẢO MỤC 2.1</w:t>
      </w:r>
    </w:p>
    <w:p>
      <w:pPr>
        <w:keepNext/>
        <w:spacing w:before="120" w:after="0" w:line="360" w:lineRule="auto"/>
        <w:ind w:firstLine="0"/>
        <w:jc w:val="both"/>
      </w:pPr>
      <w:r>
        <w:rPr>
          <w:rFonts w:ascii="Times New Roman" w:hAnsi="Times New Roman" w:eastAsia="Times New Roman" w:cs="Times New Roman"/>
          <w:b/>
          <w:i w:val="0"/>
          <w:color w:val="000000"/>
          <w:sz w:val="26"/>
        </w:rPr>
        <w:t>Tiếng Việt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 Cục Sở hữu trí tuệ (2025), </w:t>
      </w:r>
      <w:r>
        <w:rPr>
          <w:rFonts w:ascii="Times New Roman" w:hAnsi="Times New Roman" w:eastAsia="Times New Roman" w:cs="Times New Roman"/>
          <w:b w:val="0"/>
          <w:i/>
          <w:color w:val="000000"/>
          <w:sz w:val="26"/>
        </w:rPr>
        <w:t>Báo cáo thường niên hoạt động sở hữu trí tuệ 2024</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 Cục Thống kê (2026), </w:t>
      </w:r>
      <w:r>
        <w:rPr>
          <w:rFonts w:ascii="Times New Roman" w:hAnsi="Times New Roman" w:eastAsia="Times New Roman" w:cs="Times New Roman"/>
          <w:b w:val="0"/>
          <w:i/>
          <w:color w:val="000000"/>
          <w:sz w:val="26"/>
        </w:rPr>
        <w:t>Thông cáo báo chí về tỷ trọng giá trị tăng thêm của kinh tế số trong GDP, GRDP giai đoạn 2021-2025</w:t>
      </w:r>
      <w:r>
        <w:rPr>
          <w:rFonts w:ascii="Times New Roman" w:hAnsi="Times New Roman" w:eastAsia="Times New Roman" w:cs="Times New Roman"/>
          <w:b w:val="0"/>
          <w:i w:val="0"/>
          <w:color w:val="000000"/>
          <w:sz w:val="26"/>
        </w:rPr>
        <w:t>, ngày 05/01/2026,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 Phạm Ngọc Pha (2025), “Mô hình khai thác sáng chế hỗ trợ doanh nghiệp nâng cao trình độ và năng lực công nghệ”,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(2), 15-18.</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[4] Hoàng Lan Phương (2019), “Pháp luật về chuyển quyền sử dụng nhãn hiệu: Những bất cập cần khắc phục”,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61(10), 29-33.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[5] Phạm Hồng Quất, Lương Văn Thường, Nguyễn Minh Ngọc, Lê Ngọc Mỹ (2021), “Khai thác tài sản trí tuệ thúc đẩy phát triển hệ sinh thái khởi nghiệp đổi mới sáng tạo và hệ thống đổi mới sáng tạo ở Việt Nam”, </w:t>
      </w:r>
      <w:r>
        <w:rPr>
          <w:rFonts w:ascii="Times New Roman" w:hAnsi="Times New Roman" w:eastAsia="Times New Roman" w:cs="Times New Roman"/>
          <w:b w:val="0"/>
          <w:i/>
          <w:color w:val="000000"/>
          <w:sz w:val="26"/>
        </w:rPr>
        <w:t>Tạp chí Chính sách và Quản lý Khoa học và Công nghệ</w:t>
      </w:r>
      <w:r>
        <w:rPr>
          <w:rFonts w:ascii="Times New Roman" w:hAnsi="Times New Roman" w:eastAsia="Times New Roman" w:cs="Times New Roman"/>
          <w:b w:val="0"/>
          <w:i w:val="0"/>
          <w:color w:val="000000"/>
          <w:sz w:val="26"/>
        </w:rPr>
        <w:t>, 10(4), 60-73.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[6] Quốc hội (2005), </w:t>
      </w:r>
      <w:r>
        <w:rPr>
          <w:rFonts w:ascii="Times New Roman" w:hAnsi="Times New Roman" w:eastAsia="Times New Roman" w:cs="Times New Roman"/>
          <w:b w:val="0"/>
          <w:i/>
          <w:color w:val="000000"/>
          <w:sz w:val="26"/>
        </w:rPr>
        <w:t>Luật Sở hữu trí tuệ số 50/2005/QH11</w:t>
      </w:r>
      <w:r>
        <w:rPr>
          <w:rFonts w:ascii="Times New Roman" w:hAnsi="Times New Roman" w:eastAsia="Times New Roman" w:cs="Times New Roman"/>
          <w:b w:val="0"/>
          <w:i w:val="0"/>
          <w:color w:val="000000"/>
          <w:sz w:val="26"/>
        </w:rPr>
        <w:t>, được sửa đổi, bổ sung năm 2009, 2019, 2022 và 2025.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[7] Quốc hội (2025), </w:t>
      </w:r>
      <w:r>
        <w:rPr>
          <w:rFonts w:ascii="Times New Roman" w:hAnsi="Times New Roman" w:eastAsia="Times New Roman" w:cs="Times New Roman"/>
          <w:b w:val="0"/>
          <w:i/>
          <w:color w:val="000000"/>
          <w:sz w:val="26"/>
        </w:rPr>
        <w:t>Luật Công nghiệp công nghệ số số 71/2025/QH15 ngày 14/6/2025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[8] Quốc hội (2025), </w:t>
      </w:r>
      <w:r>
        <w:rPr>
          <w:rFonts w:ascii="Times New Roman" w:hAnsi="Times New Roman" w:eastAsia="Times New Roman" w:cs="Times New Roman"/>
          <w:b w:val="0"/>
          <w:i/>
          <w:color w:val="000000"/>
          <w:sz w:val="26"/>
        </w:rPr>
        <w:t>Luật Khoa học, công nghệ và đổi mới sáng tạo số 93/2025/QH15 ngày 27/6/2025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[9] Quốc hội (2025), </w:t>
      </w:r>
      <w:r>
        <w:rPr>
          <w:rFonts w:ascii="Times New Roman" w:hAnsi="Times New Roman" w:eastAsia="Times New Roman" w:cs="Times New Roman"/>
          <w:b w:val="0"/>
          <w:i/>
          <w:color w:val="000000"/>
          <w:sz w:val="26"/>
        </w:rPr>
        <w:t>Luật sửa đổi, bổ sung một số điều của Luật Sở hữu trí tuệ số 131/2025/QH15 ngày 10/12/2025</w:t>
      </w:r>
      <w:r>
        <w:rPr>
          <w:rFonts w:ascii="Times New Roman" w:hAnsi="Times New Roman" w:eastAsia="Times New Roman" w:cs="Times New Roman"/>
          <w:b w:val="0"/>
          <w:i w:val="0"/>
          <w:color w:val="000000"/>
          <w:sz w:val="26"/>
        </w:rPr>
        <w:t>.</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[10] Lê Thị Thanh Tâm, Hoàng Thị Hải Yến (2025), “Thương mại hóa sáng chế thông qua hoạt động chuyển giao công nghệ theo pháp luật Việt Nam”, </w:t>
      </w:r>
      <w:r>
        <w:rPr>
          <w:rFonts w:ascii="Times New Roman" w:hAnsi="Times New Roman" w:eastAsia="Times New Roman" w:cs="Times New Roman"/>
          <w:b w:val="0"/>
          <w:i/>
          <w:color w:val="000000"/>
          <w:sz w:val="26"/>
        </w:rPr>
        <w:t>Tạp chí Khoa học Đại học Huế: Khoa học Xã hội và Nhân văn</w:t>
      </w:r>
      <w:r>
        <w:rPr>
          <w:rFonts w:ascii="Times New Roman" w:hAnsi="Times New Roman" w:eastAsia="Times New Roman" w:cs="Times New Roman"/>
          <w:b w:val="0"/>
          <w:i w:val="0"/>
          <w:color w:val="000000"/>
          <w:sz w:val="26"/>
        </w:rPr>
        <w:t>, 134(6D), 35-46.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[11] Thủ tướng Chính phủ (2022), </w:t>
      </w:r>
      <w:r>
        <w:rPr>
          <w:rFonts w:ascii="Times New Roman" w:hAnsi="Times New Roman" w:eastAsia="Times New Roman" w:cs="Times New Roman"/>
          <w:b w:val="0"/>
          <w:i/>
          <w:color w:val="000000"/>
          <w:sz w:val="26"/>
        </w:rPr>
        <w:t>Quyết định số 411/QĐ-TTg ngày 31/3/2022 phê duyệt Chiến lược quốc gia phát triển kinh tế số và xã hội số đến năm 2025, định hướng đến năm 2030</w:t>
      </w:r>
      <w:r>
        <w:rPr>
          <w:rFonts w:ascii="Times New Roman" w:hAnsi="Times New Roman" w:eastAsia="Times New Roman" w:cs="Times New Roman"/>
          <w:b w:val="0"/>
          <w:i w:val="0"/>
          <w:color w:val="000000"/>
          <w:sz w:val="26"/>
        </w:rPr>
        <w:t>, Hà Nội.</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[12] Nguyễn Hữu Xuyên (2018), “Những nút thắt trong khai thác, thương mại hóa sáng chế”, </w:t>
      </w:r>
      <w:r>
        <w:rPr>
          <w:rFonts w:ascii="Times New Roman" w:hAnsi="Times New Roman" w:eastAsia="Times New Roman" w:cs="Times New Roman"/>
          <w:b w:val="0"/>
          <w:i/>
          <w:color w:val="000000"/>
          <w:sz w:val="26"/>
        </w:rPr>
        <w:t>Tạp chí Khoa học và Công nghệ Việt Nam</w:t>
      </w:r>
      <w:r>
        <w:rPr>
          <w:rFonts w:ascii="Times New Roman" w:hAnsi="Times New Roman" w:eastAsia="Times New Roman" w:cs="Times New Roman"/>
          <w:b w:val="0"/>
          <w:i w:val="0"/>
          <w:color w:val="000000"/>
          <w:sz w:val="26"/>
        </w:rPr>
        <w:t>, (9), 23-25.</w:t>
      </w:r>
    </w:p>
    <w:p>
      <w:pPr>
        <w:keepNext/>
        <w:spacing w:before="120" w:after="0" w:line="360" w:lineRule="auto"/>
        <w:ind w:firstLine="0"/>
        <w:jc w:val="both"/>
      </w:pPr>
      <w:r>
        <w:rPr>
          <w:rFonts w:ascii="Times New Roman" w:hAnsi="Times New Roman" w:eastAsia="Times New Roman" w:cs="Times New Roman"/>
          <w:b/>
          <w:i w:val="0"/>
          <w:color w:val="000000"/>
          <w:sz w:val="26"/>
        </w:rPr>
        <w:t>Tiếng Anh</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[13] Arora A., Fosfuri A., Gambardella A. (2001), “Markets for technology and their implications for corporate strategy”, </w:t>
      </w:r>
      <w:r>
        <w:rPr>
          <w:rFonts w:ascii="Times New Roman" w:hAnsi="Times New Roman" w:eastAsia="Times New Roman" w:cs="Times New Roman"/>
          <w:b w:val="0"/>
          <w:i/>
          <w:color w:val="000000"/>
          <w:sz w:val="26"/>
        </w:rPr>
        <w:t>Industrial and Corporate Change</w:t>
      </w:r>
      <w:r>
        <w:rPr>
          <w:rFonts w:ascii="Times New Roman" w:hAnsi="Times New Roman" w:eastAsia="Times New Roman" w:cs="Times New Roman"/>
          <w:b w:val="0"/>
          <w:i w:val="0"/>
          <w:color w:val="000000"/>
          <w:sz w:val="26"/>
        </w:rPr>
        <w:t>, 10(2), 419-451.</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[14] Arrow K.J. (1962), “Economic welfare and the allocation of resources for invention”, in National Bureau of Economic Research, </w:t>
      </w:r>
      <w:r>
        <w:rPr>
          <w:rFonts w:ascii="Times New Roman" w:hAnsi="Times New Roman" w:eastAsia="Times New Roman" w:cs="Times New Roman"/>
          <w:b w:val="0"/>
          <w:i/>
          <w:color w:val="000000"/>
          <w:sz w:val="26"/>
        </w:rPr>
        <w:t>The Rate and Direction of Inventive Activity: Economic and Social Factors</w:t>
      </w:r>
      <w:r>
        <w:rPr>
          <w:rFonts w:ascii="Times New Roman" w:hAnsi="Times New Roman" w:eastAsia="Times New Roman" w:cs="Times New Roman"/>
          <w:b w:val="0"/>
          <w:i w:val="0"/>
          <w:color w:val="000000"/>
          <w:sz w:val="26"/>
        </w:rPr>
        <w:t>, Princeton University Press, Princeton, 609-626.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[15] Bukht R., Heeks R. (2017), </w:t>
      </w:r>
      <w:r>
        <w:rPr>
          <w:rFonts w:ascii="Times New Roman" w:hAnsi="Times New Roman" w:eastAsia="Times New Roman" w:cs="Times New Roman"/>
          <w:b w:val="0"/>
          <w:i/>
          <w:color w:val="000000"/>
          <w:sz w:val="26"/>
        </w:rPr>
        <w:t>Defining, Conceptualising and Measuring the Digital Economy</w:t>
      </w:r>
      <w:r>
        <w:rPr>
          <w:rFonts w:ascii="Times New Roman" w:hAnsi="Times New Roman" w:eastAsia="Times New Roman" w:cs="Times New Roman"/>
          <w:b w:val="0"/>
          <w:i w:val="0"/>
          <w:color w:val="000000"/>
          <w:sz w:val="26"/>
        </w:rPr>
        <w:t>, Development Informatics Working Paper No. 68, Centre for Development Informatics, University of Manchester, Manchester.</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[16] Fisher W.W. (2001), “Theories of intellectual property”, in S.R. Munzer (ed.), </w:t>
      </w:r>
      <w:r>
        <w:rPr>
          <w:rFonts w:ascii="Times New Roman" w:hAnsi="Times New Roman" w:eastAsia="Times New Roman" w:cs="Times New Roman"/>
          <w:b w:val="0"/>
          <w:i/>
          <w:color w:val="000000"/>
          <w:sz w:val="26"/>
        </w:rPr>
        <w:t>New Essays in the Legal and Political Theory of Property</w:t>
      </w:r>
      <w:r>
        <w:rPr>
          <w:rFonts w:ascii="Times New Roman" w:hAnsi="Times New Roman" w:eastAsia="Times New Roman" w:cs="Times New Roman"/>
          <w:b w:val="0"/>
          <w:i w:val="0"/>
          <w:color w:val="000000"/>
          <w:sz w:val="26"/>
        </w:rPr>
        <w:t>, Cambridge University Press, Cambridge, 168-199.</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[17] Foster C. (2024), “Intellectual property rights and control in the digital economy: Examining the expansion of M-Pesa”, </w:t>
      </w:r>
      <w:r>
        <w:rPr>
          <w:rFonts w:ascii="Times New Roman" w:hAnsi="Times New Roman" w:eastAsia="Times New Roman" w:cs="Times New Roman"/>
          <w:b w:val="0"/>
          <w:i/>
          <w:color w:val="000000"/>
          <w:sz w:val="26"/>
        </w:rPr>
        <w:t>The Information Society</w:t>
      </w:r>
      <w:r>
        <w:rPr>
          <w:rFonts w:ascii="Times New Roman" w:hAnsi="Times New Roman" w:eastAsia="Times New Roman" w:cs="Times New Roman"/>
          <w:b w:val="0"/>
          <w:i w:val="0"/>
          <w:color w:val="000000"/>
          <w:sz w:val="26"/>
        </w:rPr>
        <w:t>, 40(1), 1-17.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[18] Fu X., Zhang J., Ai C., Fu X.M. (2026), “Digitalisation of international trade in intellectual properties: An approach based on the utility theory of technology value”, </w:t>
      </w:r>
      <w:r>
        <w:rPr>
          <w:rFonts w:ascii="Times New Roman" w:hAnsi="Times New Roman" w:eastAsia="Times New Roman" w:cs="Times New Roman"/>
          <w:b w:val="0"/>
          <w:i/>
          <w:color w:val="000000"/>
          <w:sz w:val="26"/>
        </w:rPr>
        <w:t>The World Economy</w:t>
      </w:r>
      <w:r>
        <w:rPr>
          <w:rFonts w:ascii="Times New Roman" w:hAnsi="Times New Roman" w:eastAsia="Times New Roman" w:cs="Times New Roman"/>
          <w:b w:val="0"/>
          <w:i w:val="0"/>
          <w:color w:val="000000"/>
          <w:sz w:val="26"/>
        </w:rPr>
        <w:t>, 49, 852-866.</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[19] Gans J.S., Hsu D.H., Stern S. (2008), “The impact of uncertain intellectual property rights on the market for ideas: Evidence from patent grant delays”, </w:t>
      </w:r>
      <w:r>
        <w:rPr>
          <w:rFonts w:ascii="Times New Roman" w:hAnsi="Times New Roman" w:eastAsia="Times New Roman" w:cs="Times New Roman"/>
          <w:b w:val="0"/>
          <w:i/>
          <w:color w:val="000000"/>
          <w:sz w:val="26"/>
        </w:rPr>
        <w:t>Management Science</w:t>
      </w:r>
      <w:r>
        <w:rPr>
          <w:rFonts w:ascii="Times New Roman" w:hAnsi="Times New Roman" w:eastAsia="Times New Roman" w:cs="Times New Roman"/>
          <w:b w:val="0"/>
          <w:i w:val="0"/>
          <w:color w:val="000000"/>
          <w:sz w:val="26"/>
        </w:rPr>
        <w:t>, 54(5), 982-997.</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[20] Goldfarb A., Tucker C. (2019), “Digital economics”, </w:t>
      </w:r>
      <w:r>
        <w:rPr>
          <w:rFonts w:ascii="Times New Roman" w:hAnsi="Times New Roman" w:eastAsia="Times New Roman" w:cs="Times New Roman"/>
          <w:b w:val="0"/>
          <w:i/>
          <w:color w:val="000000"/>
          <w:sz w:val="26"/>
        </w:rPr>
        <w:t>Journal of Economic Literature</w:t>
      </w:r>
      <w:r>
        <w:rPr>
          <w:rFonts w:ascii="Times New Roman" w:hAnsi="Times New Roman" w:eastAsia="Times New Roman" w:cs="Times New Roman"/>
          <w:b w:val="0"/>
          <w:i w:val="0"/>
          <w:color w:val="000000"/>
          <w:sz w:val="26"/>
        </w:rPr>
        <w:t>, 57(1), 3-43.</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[21] Haskel J., Westlake S. (2018), </w:t>
      </w:r>
      <w:r>
        <w:rPr>
          <w:rFonts w:ascii="Times New Roman" w:hAnsi="Times New Roman" w:eastAsia="Times New Roman" w:cs="Times New Roman"/>
          <w:b w:val="0"/>
          <w:i/>
          <w:color w:val="000000"/>
          <w:sz w:val="26"/>
        </w:rPr>
        <w:t>Capitalism without Capital: The Rise of the Intangible Economy</w:t>
      </w:r>
      <w:r>
        <w:rPr>
          <w:rFonts w:ascii="Times New Roman" w:hAnsi="Times New Roman" w:eastAsia="Times New Roman" w:cs="Times New Roman"/>
          <w:b w:val="0"/>
          <w:i w:val="0"/>
          <w:color w:val="000000"/>
          <w:sz w:val="26"/>
        </w:rPr>
        <w:t>, Princeton University Press, Princeton.</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[22] Kamiyama S., Sheehan J., Martinez C. (2006), </w:t>
      </w:r>
      <w:r>
        <w:rPr>
          <w:rFonts w:ascii="Times New Roman" w:hAnsi="Times New Roman" w:eastAsia="Times New Roman" w:cs="Times New Roman"/>
          <w:b w:val="0"/>
          <w:i/>
          <w:color w:val="000000"/>
          <w:sz w:val="26"/>
        </w:rPr>
        <w:t>Valuation and Exploitation of Intellectual Property</w:t>
      </w:r>
      <w:r>
        <w:rPr>
          <w:rFonts w:ascii="Times New Roman" w:hAnsi="Times New Roman" w:eastAsia="Times New Roman" w:cs="Times New Roman"/>
          <w:b w:val="0"/>
          <w:i w:val="0"/>
          <w:color w:val="000000"/>
          <w:sz w:val="26"/>
        </w:rPr>
        <w:t>, OECD Science, Technology and Industry Working Papers 2006/05, OECD Publishing, Paris.</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[23] Liu Haibo, Liu Liang (2016), “知识产权商用与创新驱动发展” [Thương mại hóa quyền sở hữu trí tuệ và phát triển dựa trên đổi mới sáng tạo], </w:t>
      </w:r>
      <w:r>
        <w:rPr>
          <w:rFonts w:ascii="Times New Roman" w:hAnsi="Times New Roman" w:eastAsia="Times New Roman" w:cs="Times New Roman"/>
          <w:b w:val="0"/>
          <w:i/>
          <w:color w:val="000000"/>
          <w:sz w:val="26"/>
        </w:rPr>
        <w:t>Bulletin of Chinese Academy of Sciences</w:t>
      </w:r>
      <w:r>
        <w:rPr>
          <w:rFonts w:ascii="Times New Roman" w:hAnsi="Times New Roman" w:eastAsia="Times New Roman" w:cs="Times New Roman"/>
          <w:b w:val="0"/>
          <w:i w:val="0"/>
          <w:color w:val="000000"/>
          <w:sz w:val="26"/>
        </w:rPr>
        <w:t>, 31(9), 1026-1035.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[24] Tapscott D. (1996), </w:t>
      </w:r>
      <w:r>
        <w:rPr>
          <w:rFonts w:ascii="Times New Roman" w:hAnsi="Times New Roman" w:eastAsia="Times New Roman" w:cs="Times New Roman"/>
          <w:b w:val="0"/>
          <w:i/>
          <w:color w:val="000000"/>
          <w:sz w:val="26"/>
        </w:rPr>
        <w:t>The Digital Economy: Promise and Peril in the Age of Networked Intelligence</w:t>
      </w:r>
      <w:r>
        <w:rPr>
          <w:rFonts w:ascii="Times New Roman" w:hAnsi="Times New Roman" w:eastAsia="Times New Roman" w:cs="Times New Roman"/>
          <w:b w:val="0"/>
          <w:i w:val="0"/>
          <w:color w:val="000000"/>
          <w:sz w:val="26"/>
        </w:rPr>
        <w:t>, McGraw-Hill, New York.</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[25] Teece D.J. (1986), “Profiting from technological innovation: Implications for integration, collaboration, licensing and public policy”, </w:t>
      </w:r>
      <w:r>
        <w:rPr>
          <w:rFonts w:ascii="Times New Roman" w:hAnsi="Times New Roman" w:eastAsia="Times New Roman" w:cs="Times New Roman"/>
          <w:b w:val="0"/>
          <w:i/>
          <w:color w:val="000000"/>
          <w:sz w:val="26"/>
        </w:rPr>
        <w:t>Research Policy</w:t>
      </w:r>
      <w:r>
        <w:rPr>
          <w:rFonts w:ascii="Times New Roman" w:hAnsi="Times New Roman" w:eastAsia="Times New Roman" w:cs="Times New Roman"/>
          <w:b w:val="0"/>
          <w:i w:val="0"/>
          <w:color w:val="000000"/>
          <w:sz w:val="26"/>
        </w:rPr>
        <w:t>, 15(6), 285-305.</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[26] UNCTAD (2019), </w:t>
      </w:r>
      <w:r>
        <w:rPr>
          <w:rFonts w:ascii="Times New Roman" w:hAnsi="Times New Roman" w:eastAsia="Times New Roman" w:cs="Times New Roman"/>
          <w:b w:val="0"/>
          <w:i/>
          <w:color w:val="000000"/>
          <w:sz w:val="26"/>
        </w:rPr>
        <w:t>Digital Economy Report 2019: Value Creation and Capture: Implications for Developing Countries</w:t>
      </w:r>
      <w:r>
        <w:rPr>
          <w:rFonts w:ascii="Times New Roman" w:hAnsi="Times New Roman" w:eastAsia="Times New Roman" w:cs="Times New Roman"/>
          <w:b w:val="0"/>
          <w:i w:val="0"/>
          <w:color w:val="000000"/>
          <w:sz w:val="26"/>
        </w:rPr>
        <w:t>, United Nations, New York and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[27] World Intellectual Property Organization (2020), </w:t>
      </w:r>
      <w:r>
        <w:rPr>
          <w:rFonts w:ascii="Times New Roman" w:hAnsi="Times New Roman" w:eastAsia="Times New Roman" w:cs="Times New Roman"/>
          <w:b w:val="0"/>
          <w:i/>
          <w:color w:val="000000"/>
          <w:sz w:val="26"/>
        </w:rPr>
        <w:t>What is Intellectual Property?</w:t>
      </w:r>
      <w:r>
        <w:rPr>
          <w:rFonts w:ascii="Times New Roman" w:hAnsi="Times New Roman" w:eastAsia="Times New Roman" w:cs="Times New Roman"/>
          <w:b w:val="0"/>
          <w:i w:val="0"/>
          <w:color w:val="000000"/>
          <w:sz w:val="26"/>
        </w:rPr>
        <w:t>, WIPO Publication No. 450E/20,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[28] World Intellectual Property Organization, Luiss Business School (2024), </w:t>
      </w:r>
      <w:r>
        <w:rPr>
          <w:rFonts w:ascii="Times New Roman" w:hAnsi="Times New Roman" w:eastAsia="Times New Roman" w:cs="Times New Roman"/>
          <w:b w:val="0"/>
          <w:i/>
          <w:color w:val="000000"/>
          <w:sz w:val="26"/>
        </w:rPr>
        <w:t>World Intangible Investment Highlights</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[29] World Intellectual Property Organization (2025), </w:t>
      </w:r>
      <w:r>
        <w:rPr>
          <w:rFonts w:ascii="Times New Roman" w:hAnsi="Times New Roman" w:eastAsia="Times New Roman" w:cs="Times New Roman"/>
          <w:b w:val="0"/>
          <w:i/>
          <w:color w:val="000000"/>
          <w:sz w:val="26"/>
        </w:rPr>
        <w:t>Global Innovation Index 2025: Innovation at a Crossroads</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[30] World Intellectual Property Organization (2026), </w:t>
      </w:r>
      <w:r>
        <w:rPr>
          <w:rFonts w:ascii="Times New Roman" w:hAnsi="Times New Roman" w:eastAsia="Times New Roman" w:cs="Times New Roman"/>
          <w:b w:val="0"/>
          <w:i/>
          <w:color w:val="000000"/>
          <w:sz w:val="26"/>
        </w:rPr>
        <w:t>World Intellectual Property Report 2026: Technology on the Move</w:t>
      </w:r>
      <w:r>
        <w:rPr>
          <w:rFonts w:ascii="Times New Roman" w:hAnsi="Times New Roman" w:eastAsia="Times New Roman" w:cs="Times New Roman"/>
          <w:b w:val="0"/>
          <w:i w:val="0"/>
          <w:color w:val="000000"/>
          <w:sz w:val="26"/>
        </w:rPr>
        <w:t>, WIPO, Geneva.</w:t>
      </w:r>
    </w:p>
    <w:p>
      <w:pPr>
        <w:keepNext w:val="0"/>
        <w:spacing w:before="0" w:after="40" w:line="312" w:lineRule="auto"/>
        <w:ind w:left="567" w:hanging="567"/>
        <w:jc w:val="both"/>
      </w:pPr>
      <w:r>
        <w:rPr>
          <w:rFonts w:ascii="Times New Roman" w:hAnsi="Times New Roman" w:eastAsia="Times New Roman" w:cs="Times New Roman"/>
          <w:b w:val="0"/>
          <w:i w:val="0"/>
          <w:color w:val="000000"/>
          <w:sz w:val="26"/>
        </w:rPr>
        <w:t xml:space="preserve">[31] World Trade Organization (1994), </w:t>
      </w:r>
      <w:r>
        <w:rPr>
          <w:rFonts w:ascii="Times New Roman" w:hAnsi="Times New Roman" w:eastAsia="Times New Roman" w:cs="Times New Roman"/>
          <w:b w:val="0"/>
          <w:i/>
          <w:color w:val="000000"/>
          <w:sz w:val="26"/>
        </w:rPr>
        <w:t>Agreement on Trade-Related Aspects of Intellectual Property Rights</w:t>
      </w:r>
      <w:r>
        <w:rPr>
          <w:rFonts w:ascii="Times New Roman" w:hAnsi="Times New Roman" w:eastAsia="Times New Roman" w:cs="Times New Roman"/>
          <w:b w:val="0"/>
          <w:i w:val="0"/>
          <w:color w:val="000000"/>
          <w:sz w:val="26"/>
        </w:rPr>
        <w:t xml:space="preserve"> (as amended by the 2005 Protocol Amending the TRIPS Agreement), Annex 1C, Marrakesh Agreement Establishing the World Trade Organization, WTO, Geneva.</w:t>
      </w:r>
    </w:p>
    <w:sectPr w:rsidR="00FC693F" w:rsidRPr="0006063C" w:rsidSect="00034616">
      <w:headerReference w:type="default" r:id="rId10"/>
      <w:pgSz w:w="11906" w:h="16838"/>
      <w:pgMar w:top="1984" w:right="1134" w:bottom="1701" w:left="1984" w:header="720" w:footer="720"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color w:val="000000"/>
        <w:sz w:val="26"/>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ind w:firstLine="0"/>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both"/>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both"/>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ind w:firstLine="0"/>
      <w:jc w:val="both"/>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bang">
    <w:name w:val="Chu thich hinh bang"/>
    <w:basedOn w:val="Normal"/>
    <w:pPr>
      <w:jc w:val="center"/>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