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0"/>
        <w:ind w:firstLine="0"/>
        <w:jc w:val="center"/>
        <w:widowControl/>
      </w:pPr>
      <w:r>
        <w:rPr>
          <w:rFonts w:ascii="Times New Roman" w:hAnsi="Times New Roman" w:eastAsia="Times New Roman"/>
          <w:b/>
          <w:i w:val="0"/>
          <w:sz w:val="32"/>
        </w:rPr>
        <w:t>ĐỀ CƯƠNG LUẬN ÁN TIẾN SĨ</w:t>
      </w:r>
    </w:p>
    <w:p>
      <w:pPr>
        <w:spacing w:before="0" w:after="360"/>
        <w:ind w:firstLine="0"/>
        <w:jc w:val="center"/>
        <w:widowControl/>
      </w:pPr>
      <w:r>
        <w:rPr>
          <w:rFonts w:ascii="Times New Roman" w:hAnsi="Times New Roman" w:eastAsia="Times New Roman"/>
          <w:b/>
          <w:i w:val="0"/>
          <w:sz w:val="30"/>
        </w:rPr>
        <w:t>NGÀNH QUẢN LÝ KINH TẾ</w:t>
      </w:r>
    </w:p>
    <w:p>
      <w:pPr>
        <w:spacing w:before="120" w:after="0"/>
        <w:ind w:firstLine="0"/>
        <w:jc w:val="center"/>
        <w:widowControl/>
      </w:pPr>
      <w:r>
        <w:rPr>
          <w:rFonts w:ascii="Times New Roman" w:hAnsi="Times New Roman" w:eastAsia="Times New Roman"/>
          <w:b/>
          <w:i w:val="0"/>
          <w:sz w:val="28"/>
        </w:rPr>
        <w:t>TÊN ĐỀ TÀI:</w:t>
      </w:r>
    </w:p>
    <w:p>
      <w:pPr>
        <w:spacing w:before="0" w:after="0"/>
        <w:ind w:firstLine="0"/>
        <w:jc w:val="center"/>
        <w:widowControl/>
      </w:pPr>
      <w:r>
        <w:rPr>
          <w:rFonts w:ascii="Times New Roman" w:hAnsi="Times New Roman" w:eastAsia="Times New Roman"/>
          <w:b/>
          <w:i w:val="0"/>
          <w:sz w:val="30"/>
        </w:rPr>
        <w:t>QUẢN LÝ NHÀ NƯỚC VỀ QUYỀN SỞ HỮU TRÍ TUỆ</w:t>
      </w:r>
    </w:p>
    <w:p>
      <w:pPr>
        <w:spacing w:before="0" w:after="240"/>
        <w:ind w:firstLine="0"/>
        <w:jc w:val="center"/>
        <w:widowControl/>
      </w:pPr>
      <w:r>
        <w:rPr>
          <w:rFonts w:ascii="Times New Roman" w:hAnsi="Times New Roman" w:eastAsia="Times New Roman"/>
          <w:b/>
          <w:i w:val="0"/>
          <w:sz w:val="30"/>
        </w:rPr>
        <w:t>TRONG NỀN KINH TẾ SỐ Ở VIỆT NAM</w:t>
      </w:r>
    </w:p>
    <w:p>
      <w:pPr>
        <w:spacing w:before="360" w:after="0"/>
        <w:ind w:firstLine="0"/>
        <w:jc w:val="center"/>
        <w:widowControl/>
      </w:pPr>
      <w:r>
        <w:rPr>
          <w:rFonts w:ascii="Times New Roman" w:hAnsi="Times New Roman" w:eastAsia="Times New Roman"/>
          <w:b/>
          <w:i w:val="0"/>
          <w:sz w:val="26"/>
        </w:rPr>
        <w:t>HÀ NỘI, 2026</w:t>
      </w:r>
    </w:p>
    <w:p>
      <w:pPr>
        <w:widowControl/>
      </w:pPr>
      <w:r>
        <w:br w:type="page"/>
      </w:r>
    </w:p>
    <w:p>
      <w:pPr>
        <w:pStyle w:val="Heading1"/>
        <w:ind w:firstLine="0"/>
        <w:jc w:val="center"/>
        <w:keepNext/>
        <w:widowControl/>
      </w:pPr>
      <w:r>
        <w:rPr>
          <w:rFonts w:ascii="Times New Roman" w:hAnsi="Times New Roman" w:eastAsia="Times New Roman"/>
          <w:b/>
          <w:i w:val="0"/>
          <w:sz w:val="28"/>
        </w:rPr>
        <w:t>PHẦN MỞ ĐẦU</w:t>
      </w:r>
    </w:p>
    <w:p>
      <w:pPr>
        <w:pStyle w:val="Heading2"/>
        <w:ind w:firstLine="0"/>
        <w:jc w:val="left"/>
        <w:keepNext/>
        <w:widowControl/>
      </w:pPr>
      <w:r>
        <w:rPr>
          <w:rFonts w:ascii="Times New Roman" w:hAnsi="Times New Roman" w:eastAsia="Times New Roman"/>
          <w:b/>
          <w:i w:val="0"/>
          <w:sz w:val="26"/>
        </w:rPr>
        <w:t>1. Tính cấp thiết của đề tài</w:t>
      </w:r>
    </w:p>
    <w:p>
      <w:pPr>
        <w:ind w:firstLine="720"/>
        <w:jc w:val="both"/>
        <w:widowControl/>
      </w:pPr>
      <w:r>
        <w:rPr>
          <w:rFonts w:ascii="Times New Roman" w:hAnsi="Times New Roman"/>
          <w:b/>
          <w:sz w:val="26"/>
        </w:rPr>
        <w:t xml:space="preserve">Về phương diện lý luận, </w:t>
      </w:r>
      <w:r>
        <w:rPr>
          <w:rFonts w:ascii="Times New Roman" w:hAnsi="Times New Roman"/>
          <w:sz w:val="26"/>
        </w:rPr>
        <w:t>quyền sở hữu trí tuệ là một thiết chế kinh tế được hình thành nhằm xử lý khó khăn trong việc thu hồi lợi ích từ hoạt động sáng tạo. Tri thức và kết quả nghiên cứu có tính không cạnh tranh tương đối, khả năng lan tỏa cao và khó loại trừ hoàn toàn khỏi quá trình sử dụng. Nếu thiếu cơ chế xác lập và bảo vệ quyền phù hợp, chủ thể đầu tư có thể không thu hồi được chi phí nghiên cứu, thử nghiệm và phát triển sản phẩm. Tuy nhiên, bảo hộ quyền không phải là mục tiêu tự thân; chính sách sở hữu trí tuệ phải đồng thời duy trì động lực đầu tư, bảo đảm khả năng tiếp cận tri thức và không cản trở đổi mới tiếp nối [1], [2].</w:t>
      </w:r>
    </w:p>
    <w:p>
      <w:pPr>
        <w:ind w:firstLine="720"/>
        <w:jc w:val="both"/>
        <w:widowControl/>
      </w:pPr>
      <w:r>
        <w:rPr>
          <w:rFonts w:ascii="Times New Roman" w:hAnsi="Times New Roman"/>
          <w:sz w:val="26"/>
        </w:rPr>
        <w:t>Sự phát triển của nền kinh tế số làm thay đổi cả đối tượng được bảo hộ, phương thức sáng tạo và cách thức khai thác tài sản trí tuệ. Phần mềm, dữ liệu, nội dung số, nền tảng và các giải pháp có sử dụng trí tuệ nhân tạo ngày càng gắn với hoạt động sản xuất, kinh doanh. WIPO Working Paper No. 77 cho thấy vấn đề chính sách không chỉ nằm ở việc sản phẩm có sự tham gia của trí tuệ nhân tạo có đủ điều kiện bảo hộ hay không, mà còn liên quan đến chi phí đầu tư, khả năng thu hồi lợi ích, quyền tiếp cận dữ liệu, chi phí giao dịch, trách nhiệm pháp lý và sự phân bổ động lực giữa các giai đoạn của quá trình đổi mới [2]. Điều đó đòi hỏi quản lý nhà nước về quyền sở hữu trí tuệ phải được xem xét trong mối quan hệ với toàn bộ hệ sinh thái đổi mới, thay vì chỉ giới hạn ở hoạt động ban hành pháp luật và xác lập quyền.</w:t>
      </w:r>
    </w:p>
    <w:p>
      <w:pPr>
        <w:ind w:firstLine="720"/>
        <w:jc w:val="both"/>
        <w:widowControl/>
      </w:pPr>
      <w:r>
        <w:rPr>
          <w:rFonts w:ascii="Times New Roman" w:hAnsi="Times New Roman"/>
          <w:sz w:val="26"/>
        </w:rPr>
        <w:t>Bằng chứng thực nghiệm cũng đặt ra yêu cầu làm rõ cơ chế tác động của chính sách. Nghiên cứu của WIPO về chương trình Hinari cho thấy việc giảm chi phí tiếp cận tài liệu khoa học làm tăng số lượng công bố và hoạt động thử nghiệm lâm sàng tại các tổ chức nghiên cứu ở các nước đang phát triển. Tuy nhiên, sau khi kiểm soát thiên lệch lựa chọn, nghiên cứu không tìm thấy bằng chứng tích cực đáng tin cậy đối với mức độ nghiên cứu của các tổ chức này được trích dẫn trong tài liệu sáng chế [3]. Kết quả đó cho thấy tiếp cận là điều kiện quan trọng nhưng chưa đủ; cần phân biệt giữa khả năng tiếp cận, hành vi sử dụng và kết quả đổi mới, đồng thời xem xét năng lực của chủ thể tiếp nhận chính sách.</w:t>
      </w:r>
    </w:p>
    <w:p>
      <w:pPr>
        <w:ind w:firstLine="720"/>
        <w:jc w:val="both"/>
        <w:widowControl/>
      </w:pPr>
      <w:r>
        <w:rPr>
          <w:rFonts w:ascii="Times New Roman" w:hAnsi="Times New Roman"/>
          <w:b/>
          <w:sz w:val="26"/>
        </w:rPr>
        <w:t xml:space="preserve">Về khoảng trống nghiên cứu trong nước, </w:t>
      </w:r>
      <w:r>
        <w:rPr>
          <w:rFonts w:ascii="Times New Roman" w:hAnsi="Times New Roman"/>
          <w:sz w:val="26"/>
        </w:rPr>
        <w:t>các công trình tiêu biểu hiện mới tiếp cận từng lát cắt của vấn đề. Nguyễn Thị Tố Uyên và Nguyễn Hữu Việt phân tích việc thực hiện chính sách phát triển tài sản trí tuệ tại địa phương, tập trung vào kết quả hỗ trợ và yêu cầu phát triển tài sản sau bảo hộ [14]. Trần Tiến Đạt nghiên cứu hiệu quả thực thi quyền sở hữu trí tuệ và các yêu cầu hoàn thiện cơ chế bảo vệ quyền [15]. Trong khi đó, Đỗ Thị Ý Nhi và Khương Thị Huế kiểm định các yếu tố ảnh hưởng đến đổi mới sáng tạo của doanh nghiệp nhỏ và vừa, trong đó có hỗ trợ của Chính phủ, hệ sinh thái và năng lực quản trị tri thức, nhưng không tách riêng vai trò của quản lý nhà nước về quyền sở hữu trí tuệ [16]. Như vậy, các nghiên cứu trong nước đã cung cấp cơ sở quan trọng về chính sách, thực thi quyền và các yếu tố thúc đẩy đổi mới, song chưa giải thích đầy đủ mối quan hệ giữa chất lượng quản lý nhà nước về quyền sở hữu trí tuệ, mức độ doanh nghiệp tiếp cận và sử dụng hệ thống sở hữu trí tuệ và kết quả đổi mới sáng tạo trong điều kiện kinh tế số.</w:t>
      </w:r>
    </w:p>
    <w:p>
      <w:pPr>
        <w:ind w:firstLine="720"/>
        <w:jc w:val="both"/>
        <w:widowControl/>
      </w:pPr>
      <w:r>
        <w:rPr>
          <w:rFonts w:ascii="Times New Roman" w:hAnsi="Times New Roman"/>
          <w:sz w:val="26"/>
        </w:rPr>
        <w:t>Khoảng trống lý luận của đề tài vì vậy không nằm ở việc tiếp tục khẳng định vai trò chung của sở hữu trí tuệ, mà ở việc xây dựng một khung phân tích có thể kết nối hoạt động quản lý nhà nước với hành vi và kết quả của doanh nghiệp. Theo cách tiếp cận thể chế và hệ thống đổi mới quốc gia, tác động của chính sách phụ thuộc vào chất lượng thực thi, mức độ phối hợp giữa các chủ thể và khả năng doanh nghiệp sử dụng được các thiết chế mà Nhà nước tạo lập [9], [10]. Đây là cơ sở để luận án lựa chọn mức độ tiếp cận và sử dụng hệ thống sở hữu trí tuệ làm mắt xích cần kiểm định trong mối quan hệ giữa chất lượng quản lý nhà nước và kết quả đổi mới sáng tạo.</w:t>
      </w:r>
    </w:p>
    <w:p>
      <w:pPr>
        <w:ind w:firstLine="720"/>
        <w:jc w:val="both"/>
        <w:widowControl/>
      </w:pPr>
      <w:r>
        <w:rPr>
          <w:rFonts w:ascii="Times New Roman" w:hAnsi="Times New Roman"/>
          <w:b/>
          <w:sz w:val="26"/>
        </w:rPr>
        <w:t xml:space="preserve">Về phương diện thực tiễn, </w:t>
      </w:r>
      <w:r>
        <w:rPr>
          <w:rFonts w:ascii="Times New Roman" w:hAnsi="Times New Roman"/>
          <w:sz w:val="26"/>
        </w:rPr>
        <w:t>Việt Nam đã từng bước hoàn thiện khuôn khổ pháp luật và chính sách về sở hữu trí tuệ, chuyển đổi số và đổi mới sáng tạo. Luật số 07/2022/QH15 sửa đổi, bổ sung một số điều của Luật Sở hữu trí tuệ tạo cơ sở pháp lý mới cho hoạt động xác lập, khai thác và bảo vệ quyền [4]. Chiến lược Sở hữu trí tuệ đến năm 2030, Chương trình Chuyển đổi số quốc gia, Chiến lược quốc gia phát triển kinh tế số và xã hội số và Chương trình phát triển tài sản trí tuệ đến năm 2030 đều đặt ra yêu cầu nâng cao hiệu quả quản lý, số hóa dịch vụ công, phát triển tài sản trí tuệ và hỗ trợ đổi mới sáng tạo [5]-[7], [17]. Nghị quyết số 57-NQ/TW ngày 22/12/2024 tiếp tục xác định khoa học, công nghệ, đổi mới sáng tạo và chuyển đổi số là động lực phát triển chủ yếu, đồng thời yêu cầu tháo gỡ các điểm nghẽn về thể chế và hạ tầng [8].</w:t>
      </w:r>
    </w:p>
    <w:p>
      <w:pPr>
        <w:ind w:firstLine="720"/>
        <w:jc w:val="both"/>
        <w:widowControl/>
      </w:pPr>
      <w:r>
        <w:rPr>
          <w:rFonts w:ascii="Times New Roman" w:hAnsi="Times New Roman"/>
          <w:sz w:val="26"/>
        </w:rPr>
        <w:t>Kết quả thực hiện cho thấy nhu cầu sử dụng hệ thống sở hữu trí tuệ ngày càng tăng, nhưng áp lực đối với hoạt động quản lý cũng lớn hơn. Năm 2024, Cục Sở hữu trí tuệ tiếp nhận gần 153.000 đơn sở hữu công nghiệp, trong đó có trên 89.000 đơn đăng ký xác lập quyền; xử lý gần 143.300 đơn và cấp hơn 53.600 văn bằng bảo hộ. Mặc dù kết quả xử lý đơn đã cải thiện, cơ quan quản lý vẫn xác định các nhiệm vụ trọng tâm gồm xử lý lượng đơn tồn đọng, cải cách thủ tục hành chính, chuyển đổi số toàn diện, hoàn thiện tổ chức bộ máy và phát triển hệ sinh thái tài sản trí tuệ gắn với đổi mới sáng tạo và chuyển giao công nghệ [18]. Các số liệu và nhiệm vụ này cho thấy yêu cầu thực tiễn không chỉ là tăng số lượng quyền được xác lập mà còn phải nâng cao chất lượng và khả năng đáp ứng của hệ thống quản lý.</w:t>
      </w:r>
    </w:p>
    <w:p>
      <w:pPr>
        <w:ind w:firstLine="720"/>
        <w:jc w:val="both"/>
        <w:widowControl/>
      </w:pPr>
      <w:r>
        <w:rPr>
          <w:rFonts w:ascii="Times New Roman" w:hAnsi="Times New Roman"/>
          <w:sz w:val="26"/>
        </w:rPr>
        <w:t>Thực tiễn quản lý tại trung ương và địa phương còn đặt ra nhiều vấn đề về tốc độ xử lý đơn, phối hợp giữa các cơ quan thực thi, chất lượng hỗ trợ doanh nghiệp, hiệu quả quản lý tài sản trí tuệ sau bảo hộ và khả năng thích ứng với các đối tượng mới do công nghệ số và trí tuệ nhân tạo tạo ra. Hội nghị Quản lý nhà nước về sở hữu trí tuệ năm 2024 đã xác định nhu cầu tăng cường đào tạo chuyên môn, chia sẻ thông tin trong hệ thống thực thi, phối hợp giữa chủ thể quyền với cơ quan quản lý, nâng cao hiệu quả xử lý đơn và thúc đẩy khai thác tài sản trí tuệ sau bảo hộ [19]. Những vấn đề này cho thấy vẫn tồn tại khoảng cách giữa định hướng chính sách, năng lực tổ chức thực hiện và mức độ doanh nghiệp thực sự tiếp cận, sử dụng hệ thống sở hữu trí tuệ.</w:t>
      </w:r>
    </w:p>
    <w:p>
      <w:pPr>
        <w:ind w:firstLine="720"/>
        <w:jc w:val="both"/>
        <w:widowControl/>
      </w:pPr>
      <w:r>
        <w:rPr>
          <w:rFonts w:ascii="Times New Roman" w:hAnsi="Times New Roman"/>
          <w:sz w:val="26"/>
        </w:rPr>
        <w:t>Từ yêu cầu lý luận và thực tiễn nêu trên, nghiên cứu sinh lựa chọn đề tài “Quản lý nhà nước về quyền sở hữu trí tuệ trong nền kinh tế số ở Việt Nam”. Luận án không chỉ đánh giá thực trạng quản lý nhà nước theo các nội dung và tiêu chí quản lý, mà còn phân tích mối quan hệ giữa chất lượng quản lý nhà nước theo đánh giá của doanh nghiệp, mức độ doanh nghiệp tiếp cận và sử dụng hệ thống sở hữu trí tuệ và kết quả đổi mới sáng tạo. Hướng nghiên cứu này phù hợp với chuyên ngành Quản lý kinh tế vì tập trung làm rõ khả năng chính sách và hoạt động quản lý làm thay đổi hành vi, kết quả kinh tế của chủ thể chịu tác động, qua đó cung cấp căn cứ cho việc đề xuất giải pháp hoàn thiện đến năm 2035.</w:t>
      </w:r>
    </w:p>
    <w:p>
      <w:pPr>
        <w:pStyle w:val="Heading2"/>
        <w:ind w:firstLine="0"/>
        <w:jc w:val="left"/>
        <w:keepNext/>
        <w:widowControl/>
      </w:pPr>
      <w:r>
        <w:rPr>
          <w:rFonts w:ascii="Times New Roman" w:hAnsi="Times New Roman" w:eastAsia="Times New Roman"/>
          <w:b/>
          <w:i w:val="0"/>
          <w:sz w:val="26"/>
        </w:rPr>
        <w:t>2. Mục đích và nhiệm vụ nghiên cứu</w:t>
      </w:r>
    </w:p>
    <w:p>
      <w:pPr>
        <w:pStyle w:val="Heading3"/>
        <w:ind w:firstLine="0"/>
        <w:jc w:val="left"/>
        <w:keepNext/>
        <w:widowControl/>
      </w:pPr>
      <w:r>
        <w:rPr>
          <w:rFonts w:ascii="Times New Roman" w:hAnsi="Times New Roman" w:eastAsia="Times New Roman"/>
          <w:b/>
          <w:i w:val="0"/>
          <w:sz w:val="26"/>
        </w:rPr>
        <w:t>2.1. Mục đích nghiên cứu</w:t>
      </w:r>
    </w:p>
    <w:p>
      <w:pPr>
        <w:ind w:firstLine="720"/>
        <w:jc w:val="both"/>
        <w:widowControl/>
      </w:pPr>
      <w:r>
        <w:rPr>
          <w:rFonts w:ascii="Times New Roman" w:hAnsi="Times New Roman" w:eastAsia="Times New Roman"/>
          <w:b w:val="0"/>
          <w:i w:val="0"/>
          <w:sz w:val="26"/>
        </w:rPr>
        <w:t>Mục đích của luận án là làm rõ cơ sở lý luận và thực tiễn của quản lý nhà nước về quyền sở hữu trí tuệ trong nền kinh tế số; đánh giá thực trạng ở Việt Nam giai đoạn 2019-2025; phân tích mối quan hệ giữa chất lượng quản lý nhà nước theo đánh giá của doanh nghiệp, mức độ tiếp cận và sử dụng hệ thống sở hữu trí tuệ và kết quả đổi mới sáng tạo; từ đó đề xuất quan điểm, định hướng và giải pháp hoàn thiện đến năm 2035.</w:t>
      </w:r>
    </w:p>
    <w:p>
      <w:pPr>
        <w:pStyle w:val="Heading3"/>
        <w:ind w:firstLine="0"/>
        <w:jc w:val="left"/>
        <w:keepNext/>
        <w:widowControl/>
      </w:pPr>
      <w:r>
        <w:rPr>
          <w:rFonts w:ascii="Times New Roman" w:hAnsi="Times New Roman" w:eastAsia="Times New Roman"/>
          <w:b/>
          <w:i w:val="0"/>
          <w:sz w:val="26"/>
        </w:rPr>
        <w:t>2.2. Nhiệm vụ nghiên cứu</w:t>
      </w:r>
    </w:p>
    <w:p>
      <w:pPr>
        <w:ind w:left="397" w:hanging="227"/>
        <w:jc w:val="both"/>
        <w:widowControl/>
      </w:pPr>
      <w:r>
        <w:rPr>
          <w:rFonts w:ascii="Times New Roman" w:hAnsi="Times New Roman" w:eastAsia="Times New Roman"/>
          <w:b w:val="0"/>
          <w:i w:val="0"/>
          <w:sz w:val="26"/>
        </w:rPr>
        <w:t>- Thứ nhất, hệ thống hóa cơ sở lý luận, nội dung và tiêu chí đánh giá quản lý nhà nước về quyền sở hữu trí tuệ trong nền kinh tế số; làm rõ cơ chế liên kết giữa chất lượng quản lý nhà nước, mức độ doanh nghiệp tiếp cận và sử dụng hệ thống sở hữu trí tuệ và kết quả đổi mới sáng tạo.</w:t>
      </w:r>
    </w:p>
    <w:p>
      <w:pPr>
        <w:ind w:left="397" w:hanging="227"/>
        <w:jc w:val="both"/>
        <w:widowControl/>
      </w:pPr>
      <w:r>
        <w:rPr>
          <w:rFonts w:ascii="Times New Roman" w:hAnsi="Times New Roman" w:eastAsia="Times New Roman"/>
          <w:b w:val="0"/>
          <w:i w:val="0"/>
          <w:sz w:val="26"/>
        </w:rPr>
        <w:t>- Thứ hai, phân tích kinh nghiệm quốc tế về quản lý nhà nước đối với quyền sở hữu trí tuệ trong nền kinh tế số và rút ra những bài học có thể tham khảo cho Việt Nam.</w:t>
      </w:r>
    </w:p>
    <w:p>
      <w:pPr>
        <w:ind w:left="397" w:hanging="227"/>
        <w:jc w:val="both"/>
        <w:widowControl/>
      </w:pPr>
      <w:r>
        <w:rPr>
          <w:rFonts w:ascii="Times New Roman" w:hAnsi="Times New Roman" w:eastAsia="Times New Roman"/>
          <w:b w:val="0"/>
          <w:i w:val="0"/>
          <w:sz w:val="26"/>
        </w:rPr>
        <w:t>- Thứ ba, phân tích, đánh giá thực trạng quản lý nhà nước về quyền sở hữu trí tuệ ở Việt Nam giai đoạn 2019-2025 theo bốn nội dung quản lý và các tiêu chí đánh giá; đồng thời kiểm định các mối quan hệ trong khung phân tích từ dữ liệu khảo sát doanh nghiệp.</w:t>
      </w:r>
    </w:p>
    <w:p>
      <w:pPr>
        <w:ind w:left="397" w:hanging="227"/>
        <w:jc w:val="both"/>
        <w:widowControl/>
      </w:pPr>
      <w:r>
        <w:rPr>
          <w:rFonts w:ascii="Times New Roman" w:hAnsi="Times New Roman" w:eastAsia="Times New Roman"/>
          <w:b w:val="0"/>
          <w:i w:val="0"/>
          <w:sz w:val="26"/>
        </w:rPr>
        <w:t>- Thứ tư, đề xuất quan điểm, định hướng và hệ thống giải pháp hoàn thiện quản lý nhà nước về quyền sở hữu trí tuệ trong nền kinh tế số ở Việt Nam đến năm 2035.</w:t>
      </w:r>
    </w:p>
    <w:p>
      <w:pPr>
        <w:pStyle w:val="Heading2"/>
        <w:ind w:firstLine="0"/>
        <w:jc w:val="left"/>
        <w:keepNext/>
        <w:widowControl/>
      </w:pPr>
      <w:r>
        <w:rPr>
          <w:rFonts w:ascii="Times New Roman" w:hAnsi="Times New Roman" w:eastAsia="Times New Roman"/>
          <w:b/>
          <w:i w:val="0"/>
          <w:sz w:val="26"/>
        </w:rPr>
        <w:t>3. Câu hỏi nghiên cứu</w:t>
      </w:r>
    </w:p>
    <w:p>
      <w:pPr>
        <w:ind w:firstLine="0"/>
        <w:jc w:val="both"/>
        <w:widowControl/>
      </w:pPr>
      <w:r>
        <w:rPr>
          <w:rFonts w:ascii="Times New Roman" w:hAnsi="Times New Roman" w:eastAsia="Times New Roman"/>
          <w:b w:val="0"/>
          <w:i w:val="0"/>
          <w:sz w:val="26"/>
        </w:rPr>
        <w:t>Để thực hiện mục tiêu nghiên cứu, luận án tập trung giải quyết bốn câu hỏi sau:</w:t>
      </w:r>
    </w:p>
    <w:p>
      <w:pPr>
        <w:ind w:left="397" w:hanging="227"/>
        <w:jc w:val="both"/>
        <w:widowControl/>
      </w:pPr>
      <w:r>
        <w:rPr>
          <w:rFonts w:ascii="Times New Roman" w:hAnsi="Times New Roman" w:eastAsia="Times New Roman"/>
          <w:b w:val="0"/>
          <w:i w:val="0"/>
          <w:sz w:val="26"/>
        </w:rPr>
        <w:t>- Câu hỏi 1: Quản lý nhà nước về quyền sở hữu trí tuệ trong nền kinh tế số gồm những nội dung nào và được đánh giá theo những tiêu chí nào?</w:t>
      </w:r>
    </w:p>
    <w:p>
      <w:pPr>
        <w:ind w:left="397" w:hanging="227"/>
        <w:jc w:val="both"/>
        <w:widowControl/>
      </w:pPr>
      <w:r>
        <w:rPr>
          <w:rFonts w:ascii="Times New Roman" w:hAnsi="Times New Roman" w:eastAsia="Times New Roman"/>
          <w:b w:val="0"/>
          <w:i w:val="0"/>
          <w:sz w:val="26"/>
        </w:rPr>
        <w:t>- Câu hỏi 2: Thực trạng quản lý nhà nước về quyền sở hữu trí tuệ trong nền kinh tế số ở Việt Nam giai đoạn 2019-2025 như thế nào; những kết quả, hạn chế và nguyên nhân chủ yếu là gì?</w:t>
      </w:r>
    </w:p>
    <w:p>
      <w:pPr>
        <w:ind w:left="397" w:hanging="227"/>
        <w:jc w:val="both"/>
        <w:widowControl/>
      </w:pPr>
      <w:r>
        <w:rPr>
          <w:rFonts w:ascii="Times New Roman" w:hAnsi="Times New Roman" w:eastAsia="Times New Roman"/>
          <w:b w:val="0"/>
          <w:i w:val="0"/>
          <w:sz w:val="26"/>
        </w:rPr>
        <w:t>- Câu hỏi 3: Chất lượng quản lý nhà nước về quyền sở hữu trí tuệ theo đánh giá của doanh nghiệp tác động như thế nào đến mức độ tiếp cận và sử dụng hệ thống sở hữu trí tuệ và kết quả đổi mới sáng tạo; mức độ tiếp cận và sử dụng có đóng vai trò trung gian hay không?</w:t>
      </w:r>
    </w:p>
    <w:p>
      <w:pPr>
        <w:ind w:left="397" w:hanging="227"/>
        <w:jc w:val="both"/>
        <w:widowControl/>
      </w:pPr>
      <w:r>
        <w:rPr>
          <w:rFonts w:ascii="Times New Roman" w:hAnsi="Times New Roman" w:eastAsia="Times New Roman"/>
          <w:b w:val="0"/>
          <w:i w:val="0"/>
          <w:sz w:val="26"/>
        </w:rPr>
        <w:t>- Câu hỏi 4: Cần thực hiện những giải pháp nào để hoàn thiện quản lý nhà nước về quyền sở hữu trí tuệ trong nền kinh tế số ở Việt Nam đến năm 2035?</w:t>
      </w:r>
    </w:p>
    <w:p>
      <w:pPr>
        <w:pStyle w:val="Heading2"/>
        <w:ind w:firstLine="0"/>
        <w:jc w:val="left"/>
        <w:keepNext/>
        <w:widowControl/>
      </w:pPr>
      <w:r>
        <w:rPr>
          <w:rFonts w:ascii="Times New Roman" w:hAnsi="Times New Roman" w:eastAsia="Times New Roman"/>
          <w:b/>
          <w:i w:val="0"/>
          <w:sz w:val="26"/>
        </w:rPr>
        <w:t>4. Đối tượng và phạm vi nghiên cứu</w:t>
      </w:r>
    </w:p>
    <w:p>
      <w:pPr>
        <w:pStyle w:val="Heading3"/>
        <w:ind w:firstLine="0"/>
        <w:jc w:val="left"/>
        <w:keepNext/>
        <w:widowControl/>
      </w:pPr>
      <w:r>
        <w:rPr>
          <w:rFonts w:ascii="Times New Roman" w:hAnsi="Times New Roman" w:eastAsia="Times New Roman"/>
          <w:b/>
          <w:i w:val="0"/>
          <w:sz w:val="26"/>
        </w:rPr>
        <w:t>4.1. Đối tượng nghiên cứu và đối tượng khảo sát</w:t>
      </w:r>
    </w:p>
    <w:p>
      <w:pPr>
        <w:ind w:firstLine="720"/>
        <w:jc w:val="both"/>
        <w:widowControl/>
      </w:pPr>
      <w:r>
        <w:rPr>
          <w:rFonts w:ascii="Times New Roman" w:hAnsi="Times New Roman" w:eastAsia="Times New Roman"/>
          <w:b w:val="0"/>
          <w:i w:val="0"/>
          <w:sz w:val="26"/>
        </w:rPr>
        <w:t>Đối tượng nghiên cứu của luận án là quản lý nhà nước về quyền sở hữu trí tuệ trong nền kinh tế số ở Việt Nam.</w:t>
      </w:r>
    </w:p>
    <w:p>
      <w:pPr>
        <w:ind w:firstLine="0"/>
        <w:jc w:val="both"/>
        <w:widowControl/>
      </w:pPr>
      <w:r>
        <w:rPr>
          <w:rFonts w:ascii="Times New Roman" w:hAnsi="Times New Roman" w:eastAsia="Times New Roman"/>
          <w:b w:val="0"/>
          <w:i w:val="0"/>
          <w:sz w:val="26"/>
        </w:rPr>
        <w:t>Đối tượng khảo sát được thiết kế phù hợp với hai hợp phần nghiên cứu:</w:t>
      </w:r>
    </w:p>
    <w:p>
      <w:pPr>
        <w:ind w:left="397" w:hanging="227"/>
        <w:jc w:val="both"/>
        <w:widowControl/>
      </w:pPr>
      <w:r>
        <w:rPr>
          <w:rFonts w:ascii="Times New Roman" w:hAnsi="Times New Roman" w:eastAsia="Times New Roman"/>
          <w:b w:val="0"/>
          <w:i w:val="0"/>
          <w:sz w:val="26"/>
        </w:rPr>
        <w:t>- Đối tượng phục vụ nghiên cứu định lượng là các doanh nghiệp hoạt động trong những ngành có mức độ số hóa và sử dụng tài sản trí tuệ tương đối cao tại Việt Nam. Mẫu khảo sát bao gồm cả doanh nghiệp đã và chưa sử dụng hệ thống sở hữu trí tuệ, đã và chưa thực hiện đổi mới sáng tạo trong thời kỳ nghiên cứu. Đơn vị phân tích là doanh nghiệp; người trả lời là lãnh đạo hoặc nhân sự am hiểu hoạt động sở hữu trí tuệ, công nghệ, nghiên cứu và phát triển hoặc đổi mới sáng tạo của doanh nghiệp.</w:t>
      </w:r>
    </w:p>
    <w:p>
      <w:pPr>
        <w:ind w:left="397" w:hanging="227"/>
        <w:jc w:val="both"/>
        <w:widowControl/>
      </w:pPr>
      <w:r>
        <w:rPr>
          <w:rFonts w:ascii="Times New Roman" w:hAnsi="Times New Roman" w:eastAsia="Times New Roman"/>
          <w:b w:val="0"/>
          <w:i w:val="0"/>
          <w:sz w:val="26"/>
        </w:rPr>
        <w:t>- Đối tượng phục vụ nghiên cứu định tính là cán bộ quản lý nhà nước về sở hữu trí tuệ ở trung ương và địa phương, chuyên gia pháp lý và kinh tế, đại diện tổ chức đại diện sở hữu công nghiệp, viện nghiên cứu, trường đại học, tổ chức trung gian và một số doanh nghiệp có kinh nghiệm khác nhau trong bảo hộ, khai thác và thực thi quyền.</w:t>
      </w:r>
    </w:p>
    <w:p>
      <w:pPr>
        <w:pStyle w:val="Heading3"/>
        <w:ind w:firstLine="0"/>
        <w:jc w:val="left"/>
        <w:keepNext/>
        <w:widowControl/>
      </w:pPr>
      <w:r>
        <w:rPr>
          <w:rFonts w:ascii="Times New Roman" w:hAnsi="Times New Roman" w:eastAsia="Times New Roman"/>
          <w:b/>
          <w:i w:val="0"/>
          <w:sz w:val="26"/>
        </w:rPr>
        <w:t>4.2. Phạm vi nghiên cứu</w:t>
      </w:r>
    </w:p>
    <w:p>
      <w:pPr>
        <w:ind w:left="397" w:hanging="227"/>
        <w:jc w:val="both"/>
        <w:widowControl/>
      </w:pPr>
      <w:r>
        <w:rPr>
          <w:rFonts w:ascii="Times New Roman" w:hAnsi="Times New Roman" w:eastAsia="Times New Roman"/>
          <w:b w:val="0"/>
          <w:i w:val="0"/>
          <w:sz w:val="26"/>
        </w:rPr>
        <w:t>- Về nội dung: Luận án nghiên cứu bốn nội dung quản lý nhà nước chủ yếu gồm: (1) xây dựng chiến lược, chính sách và pháp luật; (2) tổ chức bộ máy và phối hợp quản lý; (3) tổ chức thực hiện và hỗ trợ xác lập, khai thác, chuyển giao, thương mại hóa quyền; (4) kiểm tra, giám sát, thực thi và xử lý vi phạm. Chuyển đổi số, nhân lực, tài chính và hạ tầng dữ liệu được xem xét như các điều kiện bảo đảm hoạt động quản lý. Luận án tập trung vào sáng chế liên quan đến công nghệ số, nhãn hiệu sử dụng trong kinh doanh số, quyền tác giả đối với phần mềm và nội dung số; bí mật kinh doanh, dữ liệu và sản phẩm có sự tham gia của trí tuệ nhân tạo được xem xét như những vấn đề mới đặt ra đối với quản lý nhà nước.</w:t>
      </w:r>
    </w:p>
    <w:p>
      <w:pPr>
        <w:ind w:left="397" w:hanging="227"/>
        <w:jc w:val="both"/>
        <w:widowControl/>
      </w:pPr>
      <w:r>
        <w:rPr>
          <w:rFonts w:ascii="Times New Roman" w:hAnsi="Times New Roman" w:eastAsia="Times New Roman"/>
          <w:b w:val="0"/>
          <w:i w:val="0"/>
          <w:sz w:val="26"/>
        </w:rPr>
        <w:t>- Về thời gian: Dữ liệu thứ cấp được sử dụng để phân tích thực trạng quản lý nhà nước trong giai đoạn 2019-2025. Dữ liệu sơ cấp được thu thập trong thời gian thực hiện luận án; kết quả đổi mới sáng tạo của doanh nghiệp được khảo sát trong ba năm gần nhất trước thời điểm điều tra. Quan điểm, định hướng và giải pháp được đề xuất đến năm 2035.</w:t>
      </w:r>
    </w:p>
    <w:p>
      <w:pPr>
        <w:ind w:left="397" w:hanging="227"/>
        <w:jc w:val="both"/>
        <w:widowControl/>
      </w:pPr>
      <w:r>
        <w:rPr>
          <w:rFonts w:ascii="Times New Roman" w:hAnsi="Times New Roman" w:eastAsia="Times New Roman"/>
          <w:b w:val="0"/>
          <w:i w:val="0"/>
          <w:sz w:val="26"/>
        </w:rPr>
        <w:t>- Về không gian: Nghiên cứu thực tiễn được thực hiện trên phạm vi Việt Nam; kinh nghiệm quốc tế được lựa chọn từ một số quốc gia và khu vực tiêu biểu có hệ thống sở hữu trí tuệ phát triển và có chính sách hỗ trợ đổi mới trong môi trường số.</w:t>
      </w:r>
    </w:p>
    <w:p>
      <w:pPr>
        <w:pStyle w:val="Heading2"/>
        <w:ind w:firstLine="0"/>
        <w:jc w:val="left"/>
        <w:keepNext/>
        <w:widowControl/>
      </w:pPr>
      <w:r>
        <w:rPr>
          <w:rFonts w:ascii="Times New Roman" w:hAnsi="Times New Roman" w:eastAsia="Times New Roman"/>
          <w:b/>
          <w:i w:val="0"/>
          <w:sz w:val="26"/>
        </w:rPr>
        <w:t>5. Cơ sở phương pháp luận và phương pháp nghiên cứu</w:t>
      </w:r>
    </w:p>
    <w:p>
      <w:pPr>
        <w:ind w:firstLine="720"/>
        <w:jc w:val="both"/>
        <w:widowControl/>
      </w:pPr>
      <w:r>
        <w:rPr>
          <w:rFonts w:ascii="Times New Roman" w:hAnsi="Times New Roman" w:eastAsia="Times New Roman"/>
          <w:b w:val="0"/>
          <w:i w:val="0"/>
          <w:sz w:val="26"/>
        </w:rPr>
        <w:t>Luận án vận dụng phương pháp luận duy vật biện chứng và duy vật lịch sử; đồng thời sử dụng cách tiếp cận thể chế, tiếp cận hệ thống và tiếp cận hệ thống đổi mới quốc gia để phân tích mối quan hệ giữa hoạt động quản lý nhà nước, hành vi của doanh nghiệp và kết quả đổi mới sáng tạo [9], [10].</w:t>
      </w:r>
    </w:p>
    <w:p>
      <w:pPr>
        <w:ind w:firstLine="0"/>
        <w:jc w:val="both"/>
        <w:widowControl/>
      </w:pPr>
      <w:r>
        <w:rPr>
          <w:rFonts w:ascii="Times New Roman" w:hAnsi="Times New Roman" w:eastAsia="Times New Roman"/>
          <w:b w:val="0"/>
          <w:i w:val="0"/>
          <w:sz w:val="26"/>
        </w:rPr>
        <w:t>Luận án sử dụng phương pháp nghiên cứu hỗn hợp, kết hợp nghiên cứu định tính và nghiên cứu định lượng. Hợp phần định tính được sử dụng để xây dựng cơ sở lý luận, phân tích thực trạng, nhận diện hạn chế và nguyên nhân, hoàn thiện thang đo và giải thích kết quả. Hợp phần định lượng được sử dụng để kiểm định các mối quan hệ trong khung phân tích.</w:t>
      </w:r>
    </w:p>
    <w:p>
      <w:pPr>
        <w:ind w:left="397" w:hanging="227"/>
        <w:jc w:val="both"/>
        <w:widowControl/>
      </w:pPr>
      <w:r>
        <w:rPr>
          <w:rFonts w:ascii="Times New Roman" w:hAnsi="Times New Roman" w:eastAsia="Times New Roman"/>
          <w:b w:val="0"/>
          <w:i w:val="0"/>
          <w:sz w:val="26"/>
        </w:rPr>
        <w:t>- Phương pháp tổng hợp và phân tích tài liệu: Được sử dụng để hệ thống hóa các nghiên cứu trong và ngoài nước, phân tích văn bản pháp luật, chiến lược, chương trình, báo cáo quản lý và dữ liệu thứ cấp liên quan đến sở hữu trí tuệ, kinh tế số và đổi mới sáng tạo.</w:t>
      </w:r>
    </w:p>
    <w:p>
      <w:pPr>
        <w:ind w:left="397" w:hanging="227"/>
        <w:jc w:val="both"/>
        <w:widowControl/>
      </w:pPr>
      <w:r>
        <w:rPr>
          <w:rFonts w:ascii="Times New Roman" w:hAnsi="Times New Roman" w:eastAsia="Times New Roman"/>
          <w:b w:val="0"/>
          <w:i w:val="0"/>
          <w:sz w:val="26"/>
        </w:rPr>
        <w:t>- Phương pháp so sánh: Được sử dụng để đối chiếu kinh nghiệm quản lý nhà nước về quyền sở hữu trí tuệ trong môi trường số của một số quốc gia và khu vực; việc so sánh tập trung vào cơ chế chính sách, tổ chức thực hiện, dịch vụ hỗ trợ, dữ liệu và thực thi quyền.</w:t>
      </w:r>
    </w:p>
    <w:p>
      <w:pPr>
        <w:ind w:left="397" w:hanging="227"/>
        <w:jc w:val="both"/>
        <w:widowControl/>
      </w:pPr>
      <w:r>
        <w:rPr>
          <w:rFonts w:ascii="Times New Roman" w:hAnsi="Times New Roman" w:eastAsia="Times New Roman"/>
          <w:b w:val="0"/>
          <w:i w:val="0"/>
          <w:sz w:val="26"/>
        </w:rPr>
        <w:t>- Phương pháp phỏng vấn sâu: Dự kiến thực hiện với khoảng 20-25 cán bộ quản lý, chuyên gia, đại diện tổ chức cung cấp dịch vụ sở hữu trí tuệ, tổ chức trung gian và doanh nghiệp. Phỏng vấn bán cấu trúc được sử dụng để làm rõ nội dung quản lý, rào cản của doanh nghiệp, tính phù hợp của thang đo và điều kiện thực hiện giải pháp.</w:t>
      </w:r>
    </w:p>
    <w:p>
      <w:pPr>
        <w:ind w:left="397" w:hanging="227"/>
        <w:jc w:val="both"/>
        <w:widowControl/>
      </w:pPr>
      <w:r>
        <w:rPr>
          <w:rFonts w:ascii="Times New Roman" w:hAnsi="Times New Roman" w:eastAsia="Times New Roman"/>
          <w:b w:val="0"/>
          <w:i w:val="0"/>
          <w:sz w:val="26"/>
        </w:rPr>
        <w:t>- Phương pháp khảo sát doanh nghiệp: Dự kiến thu thập khoảng 300-350 phiếu hợp lệ từ các doanh nghiệp thuộc những ngành có mức độ số hóa và sử dụng tài sản trí tuệ tương đối cao. Bảng hỏi sử dụng thang Likert 5 mức; các chỉ báo về kết quả đổi mới được xây dựng có tham khảo Oslo Manual 2018 [11].</w:t>
      </w:r>
    </w:p>
    <w:p>
      <w:pPr>
        <w:ind w:left="397" w:hanging="227"/>
        <w:jc w:val="both"/>
        <w:widowControl/>
      </w:pPr>
      <w:r>
        <w:rPr>
          <w:rFonts w:ascii="Times New Roman" w:hAnsi="Times New Roman" w:eastAsia="Times New Roman"/>
          <w:b w:val="0"/>
          <w:i w:val="0"/>
          <w:sz w:val="26"/>
        </w:rPr>
        <w:t>- Phương pháp phân tích định lượng: Dữ liệu được xử lý bằng thống kê mô tả, kiểm định độ tin cậy của thang đo, phân tích nhân tố khám phá, phân tích tương quan và hồi quy đa biến [12]. Vai trò trung gian của mức độ tiếp cận và sử dụng hệ thống sở hữu trí tuệ được kiểm định bằng bootstrap [13]. Các yếu tố kiểm soát dự kiến gồm quy mô, tuổi doanh nghiệp, ngành, hình thức sở hữu, hoạt động nghiên cứu và phát triển, mức độ số hóa, xuất khẩu và tình trạng sở hữu quyền sở hữu trí tuệ.</w:t>
      </w:r>
    </w:p>
    <w:p>
      <w:pPr>
        <w:ind w:left="397" w:hanging="227"/>
        <w:jc w:val="both"/>
        <w:widowControl/>
      </w:pPr>
      <w:r>
        <w:rPr>
          <w:rFonts w:ascii="Times New Roman" w:hAnsi="Times New Roman" w:eastAsia="Times New Roman"/>
          <w:b w:val="0"/>
          <w:i w:val="0"/>
          <w:sz w:val="26"/>
        </w:rPr>
        <w:t>- Phương pháp tổng hợp và đối chiếu kết quả: Kết quả định tính, định lượng và dữ liệu thứ cấp được đối chiếu để đánh giá thực trạng, giải thích cơ chế tác động và xây dựng giải pháp. Do dữ liệu khảo sát chủ yếu là dữ liệu cắt ngang, kết quả được diễn giải thận trọng như bằng chứng về mối quan hệ phù hợp với cơ chế lý thuyết, không đồng nhất với bằng chứng nhân quả tuyệt đối.</w:t>
      </w:r>
    </w:p>
    <w:p>
      <w:pPr>
        <w:pStyle w:val="Heading2"/>
        <w:ind w:firstLine="0"/>
        <w:jc w:val="left"/>
        <w:keepNext/>
        <w:widowControl/>
      </w:pPr>
      <w:r>
        <w:rPr>
          <w:rFonts w:ascii="Times New Roman" w:hAnsi="Times New Roman" w:eastAsia="Times New Roman"/>
          <w:b/>
          <w:i w:val="0"/>
          <w:sz w:val="26"/>
        </w:rPr>
        <w:t>6. Những đóng góp mới của luận án</w:t>
      </w:r>
    </w:p>
    <w:p>
      <w:pPr>
        <w:ind w:firstLine="720"/>
        <w:jc w:val="both"/>
        <w:widowControl/>
      </w:pPr>
      <w:r>
        <w:rPr>
          <w:rFonts w:ascii="Times New Roman" w:hAnsi="Times New Roman" w:eastAsia="Times New Roman"/>
          <w:b w:val="0"/>
          <w:i w:val="0"/>
          <w:sz w:val="26"/>
        </w:rPr>
        <w:t>Thứ nhất, luận án dự kiến cụ thể hóa hệ thống tiêu chí đánh giá quản lý nhà nước về quyền sở hữu trí tuệ trong điều kiện kinh tế số, trong đó nhấn mạnh khả năng thích ứng của chính sách, tính minh bạch, chất lượng dịch vụ và khả năng hỗ trợ doanh nghiệp tiếp cận, sử dụng hệ thống sở hữu trí tuệ.</w:t>
      </w:r>
    </w:p>
    <w:p>
      <w:pPr>
        <w:ind w:firstLine="720"/>
        <w:jc w:val="both"/>
        <w:widowControl/>
      </w:pPr>
      <w:r>
        <w:rPr>
          <w:rFonts w:ascii="Times New Roman" w:hAnsi="Times New Roman" w:eastAsia="Times New Roman"/>
          <w:b w:val="0"/>
          <w:i w:val="0"/>
          <w:sz w:val="26"/>
        </w:rPr>
        <w:t>Thứ hai, luận án dự kiến xây dựng và kiểm định khung phân tích về mối quan hệ giữa chất lượng quản lý nhà nước theo đánh giá của doanh nghiệp, mức độ doanh nghiệp tiếp cận và sử dụng hệ thống sở hữu trí tuệ và kết quả đổi mới sáng tạo; đồng thời làm rõ vai trò trung gian của mức độ tiếp cận và sử dụng.</w:t>
      </w:r>
    </w:p>
    <w:p>
      <w:pPr>
        <w:ind w:firstLine="720"/>
        <w:jc w:val="both"/>
        <w:widowControl/>
      </w:pPr>
      <w:r>
        <w:rPr>
          <w:rFonts w:ascii="Times New Roman" w:hAnsi="Times New Roman" w:eastAsia="Times New Roman"/>
          <w:b w:val="0"/>
          <w:i w:val="0"/>
          <w:sz w:val="26"/>
        </w:rPr>
        <w:t>Thứ ba, luận án dự kiến xác định những nội dung quản lý có liên hệ đáng kể với hành vi sử dụng hệ thống sở hữu trí tuệ và kết quả đổi mới của doanh nghiệp, qua đó cung cấp căn cứ cho việc lựa chọn thứ tự ưu tiên giải pháp đến năm 2035.</w:t>
      </w:r>
    </w:p>
    <w:p>
      <w:pPr>
        <w:pStyle w:val="Heading2"/>
        <w:ind w:firstLine="0"/>
        <w:jc w:val="left"/>
        <w:keepNext/>
        <w:widowControl/>
      </w:pPr>
      <w:r>
        <w:rPr>
          <w:rFonts w:ascii="Times New Roman" w:hAnsi="Times New Roman" w:eastAsia="Times New Roman"/>
          <w:b/>
          <w:i w:val="0"/>
          <w:sz w:val="26"/>
        </w:rPr>
        <w:t>7. Dự kiến kết cấu của luận án</w:t>
      </w:r>
    </w:p>
    <w:p>
      <w:pPr>
        <w:ind w:firstLine="0"/>
        <w:jc w:val="both"/>
        <w:widowControl/>
      </w:pPr>
      <w:r>
        <w:rPr>
          <w:rFonts w:ascii="Times New Roman" w:hAnsi="Times New Roman" w:eastAsia="Times New Roman"/>
          <w:b w:val="0"/>
          <w:i w:val="0"/>
          <w:sz w:val="26"/>
        </w:rPr>
        <w:t>Ngoài phần mở đầu, kết luận, danh mục từ viết tắt, tài liệu tham khảo và phụ lục, nội dung chính của luận án được kết cấu thành bốn chương:</w:t>
      </w:r>
    </w:p>
    <w:p>
      <w:pPr>
        <w:ind w:left="397" w:hanging="227"/>
        <w:jc w:val="both"/>
        <w:widowControl/>
      </w:pPr>
      <w:r>
        <w:rPr>
          <w:rFonts w:ascii="Times New Roman" w:hAnsi="Times New Roman"/>
          <w:sz w:val="26"/>
        </w:rPr>
        <w:t>- Chương 1. Tổng quan tình hình nghiên cứu.</w:t>
      </w:r>
    </w:p>
    <w:p>
      <w:pPr>
        <w:ind w:left="397" w:hanging="227"/>
        <w:jc w:val="both"/>
        <w:widowControl/>
      </w:pPr>
      <w:r>
        <w:rPr>
          <w:rFonts w:ascii="Times New Roman" w:hAnsi="Times New Roman" w:eastAsia="Times New Roman"/>
          <w:b w:val="0"/>
          <w:i w:val="0"/>
          <w:sz w:val="26"/>
        </w:rPr>
        <w:t>- Chương 2. Cơ sở lý luận và kinh nghiệm thực tiễn về quản lý nhà nước đối với quyền sở hữu trí tuệ trong nền kinh tế số.</w:t>
      </w:r>
    </w:p>
    <w:p>
      <w:pPr>
        <w:ind w:left="397" w:hanging="227"/>
        <w:jc w:val="both"/>
        <w:widowControl/>
      </w:pPr>
      <w:r>
        <w:rPr>
          <w:rFonts w:ascii="Times New Roman" w:hAnsi="Times New Roman" w:eastAsia="Times New Roman"/>
          <w:b w:val="0"/>
          <w:i w:val="0"/>
          <w:sz w:val="26"/>
        </w:rPr>
        <w:t>- Chương 3. Thực trạng quản lý nhà nước về quyền sở hữu trí tuệ và kết quả nghiên cứu thực nghiệm ở Việt Nam.</w:t>
      </w:r>
    </w:p>
    <w:p>
      <w:pPr>
        <w:ind w:left="397" w:hanging="227"/>
        <w:jc w:val="both"/>
        <w:widowControl/>
      </w:pPr>
      <w:r>
        <w:rPr>
          <w:rFonts w:ascii="Times New Roman" w:hAnsi="Times New Roman" w:eastAsia="Times New Roman"/>
          <w:b w:val="0"/>
          <w:i w:val="0"/>
          <w:sz w:val="26"/>
        </w:rPr>
        <w:t>- Chương 4. Quan điểm, định hướng và giải pháp hoàn thiện quản lý nhà nước về quyền sở hữu trí tuệ trong nền kinh tế số ở Việt Nam đến năm 2035.</w:t>
      </w:r>
    </w:p>
    <w:p>
      <w:pPr>
        <w:widowControl/>
      </w:pPr>
      <w:r>
        <w:br w:type="page"/>
      </w:r>
    </w:p>
    <w:p>
      <w:pPr>
        <w:pStyle w:val="Heading1"/>
        <w:ind w:firstLine="0"/>
        <w:jc w:val="center"/>
        <w:keepNext/>
        <w:widowControl/>
      </w:pPr>
      <w:r>
        <w:rPr>
          <w:rFonts w:ascii="Times New Roman" w:hAnsi="Times New Roman" w:eastAsia="Times New Roman"/>
          <w:b/>
          <w:i w:val="0"/>
          <w:sz w:val="28"/>
        </w:rPr>
        <w:t>DỰ KIẾN KHUNG NỘI DUNG CHI TIẾT CỦA LUẬN ÁN</w:t>
      </w:r>
    </w:p>
    <w:p>
      <w:pPr>
        <w:pStyle w:val="Heading1"/>
        <w:ind w:firstLine="0"/>
        <w:jc w:val="center"/>
        <w:keepNext/>
        <w:widowControl/>
      </w:pPr>
      <w:r>
        <w:rPr>
          <w:rFonts w:ascii="Times New Roman" w:hAnsi="Times New Roman"/>
          <w:b/>
          <w:sz w:val="28"/>
        </w:rPr>
        <w:t>CHƯƠNG 1. TỔNG QUAN TÌNH HÌNH NGHIÊN CỨU</w:t>
      </w:r>
    </w:p>
    <w:p>
      <w:pPr>
        <w:pStyle w:val="Heading2"/>
        <w:ind w:firstLine="0"/>
        <w:jc w:val="left"/>
        <w:keepNext/>
        <w:widowControl/>
      </w:pPr>
      <w:r>
        <w:rPr>
          <w:rFonts w:ascii="Times New Roman" w:hAnsi="Times New Roman"/>
          <w:b/>
          <w:sz w:val="26"/>
        </w:rPr>
        <w:t>1.1. Tổng hợp các công trình nghiên cứu có liên quan</w:t>
      </w:r>
    </w:p>
    <w:p>
      <w:pPr>
        <w:pStyle w:val="Heading3"/>
        <w:ind w:firstLine="0"/>
        <w:jc w:val="left"/>
        <w:keepNext/>
        <w:widowControl/>
      </w:pPr>
      <w:r>
        <w:rPr>
          <w:rFonts w:ascii="Times New Roman" w:hAnsi="Times New Roman"/>
          <w:b/>
          <w:sz w:val="26"/>
        </w:rPr>
        <w:t>1.1.1. Các nghiên cứu lý luận về quản lý nhà nước đối với quyền sở hữu trí tuệ trong nền kinh tế số</w:t>
      </w:r>
    </w:p>
    <w:p>
      <w:pPr>
        <w:pStyle w:val="Heading3"/>
        <w:ind w:firstLine="0"/>
        <w:jc w:val="left"/>
        <w:keepNext/>
        <w:widowControl/>
      </w:pPr>
      <w:r>
        <w:rPr>
          <w:rFonts w:ascii="Times New Roman" w:hAnsi="Times New Roman"/>
          <w:b/>
          <w:sz w:val="26"/>
        </w:rPr>
        <w:t>1.1.2. Các nghiên cứu về pháp luật, chính sách và quản lý nhà nước về quyền sở hữu trí tuệ ở Việt Nam</w:t>
      </w:r>
    </w:p>
    <w:p>
      <w:pPr>
        <w:pStyle w:val="Heading3"/>
        <w:ind w:firstLine="0"/>
        <w:jc w:val="left"/>
        <w:keepNext/>
        <w:widowControl/>
      </w:pPr>
      <w:r>
        <w:rPr>
          <w:rFonts w:ascii="Times New Roman" w:hAnsi="Times New Roman"/>
          <w:b/>
          <w:sz w:val="26"/>
        </w:rPr>
        <w:t>1.1.3. Các nghiên cứu về sở hữu trí tuệ, tiếp cận hệ thống sở hữu trí tuệ và đổi mới sáng tạo của doanh nghiệp</w:t>
      </w:r>
    </w:p>
    <w:p>
      <w:pPr>
        <w:pStyle w:val="Heading2"/>
        <w:ind w:firstLine="0"/>
        <w:jc w:val="left"/>
        <w:keepNext/>
        <w:widowControl/>
      </w:pPr>
      <w:r>
        <w:rPr>
          <w:rFonts w:ascii="Times New Roman" w:hAnsi="Times New Roman"/>
          <w:b/>
          <w:sz w:val="26"/>
        </w:rPr>
        <w:t>1.2. Khoảng trống nghiên cứu</w:t>
      </w:r>
    </w:p>
    <w:p>
      <w:pPr>
        <w:pStyle w:val="Heading3"/>
        <w:ind w:firstLine="0"/>
        <w:jc w:val="left"/>
        <w:keepNext/>
        <w:widowControl/>
      </w:pPr>
      <w:r>
        <w:rPr>
          <w:rFonts w:ascii="Times New Roman" w:hAnsi="Times New Roman"/>
          <w:b/>
          <w:sz w:val="26"/>
        </w:rPr>
        <w:t>1.2.1. Khoảng trống trong các nghiên cứu nước ngoài</w:t>
      </w:r>
    </w:p>
    <w:p>
      <w:pPr>
        <w:pStyle w:val="Heading3"/>
        <w:ind w:firstLine="0"/>
        <w:jc w:val="left"/>
        <w:keepNext/>
        <w:widowControl/>
      </w:pPr>
      <w:r>
        <w:rPr>
          <w:rFonts w:ascii="Times New Roman" w:hAnsi="Times New Roman"/>
          <w:b/>
          <w:sz w:val="26"/>
        </w:rPr>
        <w:t>1.2.2. Khoảng trống trong các nghiên cứu trong nước</w:t>
      </w:r>
    </w:p>
    <w:p>
      <w:pPr>
        <w:pStyle w:val="Heading2"/>
        <w:ind w:firstLine="0"/>
        <w:jc w:val="left"/>
        <w:keepNext/>
        <w:widowControl/>
      </w:pPr>
      <w:r>
        <w:rPr>
          <w:rFonts w:ascii="Times New Roman" w:hAnsi="Times New Roman"/>
          <w:b/>
          <w:sz w:val="26"/>
        </w:rPr>
        <w:t>1.3. Những giá trị luận án kế thừa và hướng nghiên cứu của luận án</w:t>
      </w:r>
    </w:p>
    <w:p>
      <w:pPr>
        <w:pStyle w:val="Heading3"/>
        <w:ind w:firstLine="0"/>
        <w:jc w:val="left"/>
        <w:keepNext/>
        <w:widowControl/>
      </w:pPr>
      <w:r>
        <w:rPr>
          <w:rFonts w:ascii="Times New Roman" w:hAnsi="Times New Roman"/>
          <w:b/>
          <w:sz w:val="26"/>
        </w:rPr>
        <w:t>1.3.1. Những giá trị luận án kế thừa</w:t>
      </w:r>
    </w:p>
    <w:p>
      <w:pPr>
        <w:pStyle w:val="Heading3"/>
        <w:ind w:firstLine="0"/>
        <w:jc w:val="left"/>
        <w:keepNext/>
        <w:widowControl/>
      </w:pPr>
      <w:r>
        <w:rPr>
          <w:rFonts w:ascii="Times New Roman" w:hAnsi="Times New Roman"/>
          <w:b/>
          <w:sz w:val="26"/>
        </w:rPr>
        <w:t>1.3.2. Hướng nghiên cứu của luận án</w:t>
      </w:r>
    </w:p>
    <w:p>
      <w:pPr>
        <w:pStyle w:val="Heading2"/>
        <w:ind w:firstLine="0"/>
        <w:jc w:val="left"/>
        <w:keepNext/>
        <w:widowControl/>
      </w:pPr>
      <w:r>
        <w:rPr>
          <w:rFonts w:ascii="Times New Roman" w:hAnsi="Times New Roman"/>
          <w:b/>
          <w:sz w:val="26"/>
        </w:rPr>
        <w:t>KẾT LUẬN CHƯƠNG 1</w:t>
      </w:r>
    </w:p>
    <w:p>
      <w:pPr>
        <w:pStyle w:val="Heading1"/>
        <w:ind w:firstLine="0"/>
        <w:jc w:val="center"/>
        <w:keepNext/>
        <w:widowControl/>
      </w:pPr>
      <w:r>
        <w:rPr>
          <w:rFonts w:ascii="Times New Roman" w:hAnsi="Times New Roman" w:eastAsia="Times New Roman"/>
          <w:b/>
          <w:i w:val="0"/>
          <w:sz w:val="28"/>
        </w:rPr>
        <w:t>CHƯƠNG 2. CƠ SỞ LÝ LUẬN VÀ KINH NGHIỆM THỰC TIỄN VỀ QUẢN LÝ NHÀ NƯỚC VỀ QUYỀN SỞ HỮU TRÍ TUỆ TRONG NỀN KINH TẾ SỐ</w:t>
      </w:r>
    </w:p>
    <w:p>
      <w:pPr>
        <w:pStyle w:val="Heading2"/>
        <w:ind w:firstLine="0"/>
        <w:jc w:val="left"/>
        <w:keepNext/>
        <w:widowControl/>
      </w:pPr>
      <w:r>
        <w:rPr>
          <w:rFonts w:ascii="Times New Roman" w:hAnsi="Times New Roman" w:eastAsia="Times New Roman"/>
          <w:b/>
          <w:i w:val="0"/>
          <w:sz w:val="26"/>
        </w:rPr>
        <w:t>2.1. Các khái niệm cơ bản liên quan đến đề tài</w:t>
      </w:r>
    </w:p>
    <w:p>
      <w:pPr>
        <w:pStyle w:val="Heading3"/>
        <w:ind w:firstLine="0"/>
        <w:jc w:val="left"/>
        <w:keepNext/>
        <w:widowControl/>
      </w:pPr>
      <w:r>
        <w:rPr>
          <w:rFonts w:ascii="Times New Roman" w:hAnsi="Times New Roman" w:eastAsia="Times New Roman"/>
          <w:b/>
          <w:i w:val="0"/>
          <w:sz w:val="26"/>
        </w:rPr>
        <w:t>2.1.1. Khái niệm quyền sở hữu trí tuệ và các đối tượng quyền sở hữu trí tuệ trong nền kinh tế số</w:t>
      </w:r>
    </w:p>
    <w:p>
      <w:pPr>
        <w:pStyle w:val="Heading3"/>
        <w:ind w:firstLine="0"/>
        <w:jc w:val="left"/>
        <w:keepNext/>
        <w:widowControl/>
      </w:pPr>
      <w:r>
        <w:rPr>
          <w:rFonts w:ascii="Times New Roman" w:hAnsi="Times New Roman" w:eastAsia="Times New Roman"/>
          <w:b/>
          <w:i w:val="0"/>
          <w:sz w:val="26"/>
        </w:rPr>
        <w:t>2.1.2. Khái niệm kinh tế số và kết quả đổi mới sáng tạo của doanh nghiệp</w:t>
      </w:r>
    </w:p>
    <w:p>
      <w:pPr>
        <w:pStyle w:val="Heading3"/>
        <w:ind w:firstLine="0"/>
        <w:jc w:val="left"/>
        <w:keepNext/>
        <w:widowControl/>
      </w:pPr>
      <w:r>
        <w:rPr>
          <w:rFonts w:ascii="Times New Roman" w:hAnsi="Times New Roman" w:eastAsia="Times New Roman"/>
          <w:b/>
          <w:i w:val="0"/>
          <w:sz w:val="26"/>
        </w:rPr>
        <w:t>2.1.3. Khái niệm quản lý nhà nước về quyền sở hữu trí tuệ trong nền kinh tế số</w:t>
      </w:r>
    </w:p>
    <w:p>
      <w:pPr>
        <w:pStyle w:val="Heading3"/>
        <w:ind w:firstLine="0"/>
        <w:jc w:val="left"/>
        <w:keepNext/>
        <w:widowControl/>
      </w:pPr>
      <w:r>
        <w:rPr>
          <w:rFonts w:ascii="Times New Roman" w:hAnsi="Times New Roman" w:eastAsia="Times New Roman"/>
          <w:b/>
          <w:i w:val="0"/>
          <w:sz w:val="26"/>
        </w:rPr>
        <w:t>2.1.4. Khái niệm mức độ tiếp cận và sử dụng hệ thống sở hữu trí tuệ của doanh nghiệp</w:t>
      </w:r>
    </w:p>
    <w:p>
      <w:pPr>
        <w:pStyle w:val="Heading2"/>
        <w:ind w:firstLine="0"/>
        <w:jc w:val="left"/>
        <w:keepNext/>
        <w:widowControl/>
      </w:pPr>
      <w:r>
        <w:rPr>
          <w:rFonts w:ascii="Times New Roman" w:hAnsi="Times New Roman" w:eastAsia="Times New Roman"/>
          <w:b/>
          <w:i w:val="0"/>
          <w:sz w:val="26"/>
        </w:rPr>
        <w:t>2.2. Các lý thuyết nền tảng của quản lý nhà nước về quyền sở hữu trí tuệ</w:t>
      </w:r>
    </w:p>
    <w:p>
      <w:pPr>
        <w:pStyle w:val="Heading3"/>
        <w:ind w:firstLine="0"/>
        <w:jc w:val="left"/>
        <w:keepNext/>
        <w:widowControl/>
      </w:pPr>
      <w:r>
        <w:rPr>
          <w:rFonts w:ascii="Times New Roman" w:hAnsi="Times New Roman" w:eastAsia="Times New Roman"/>
          <w:b/>
          <w:i w:val="0"/>
          <w:sz w:val="26"/>
        </w:rPr>
        <w:t>2.2.1. Lý thuyết thất bại của thị trường</w:t>
      </w:r>
    </w:p>
    <w:p>
      <w:pPr>
        <w:pStyle w:val="Heading3"/>
        <w:ind w:firstLine="0"/>
        <w:jc w:val="left"/>
        <w:keepNext/>
        <w:widowControl/>
      </w:pPr>
      <w:r>
        <w:rPr>
          <w:rFonts w:ascii="Times New Roman" w:hAnsi="Times New Roman" w:eastAsia="Times New Roman"/>
          <w:b/>
          <w:i w:val="0"/>
          <w:sz w:val="26"/>
        </w:rPr>
        <w:t>2.2.2. Lý thuyết quyền tài sản</w:t>
      </w:r>
    </w:p>
    <w:p>
      <w:pPr>
        <w:pStyle w:val="Heading3"/>
        <w:ind w:firstLine="0"/>
        <w:jc w:val="left"/>
        <w:keepNext/>
        <w:widowControl/>
      </w:pPr>
      <w:r>
        <w:rPr>
          <w:rFonts w:ascii="Times New Roman" w:hAnsi="Times New Roman" w:eastAsia="Times New Roman"/>
          <w:b/>
          <w:i w:val="0"/>
          <w:sz w:val="26"/>
        </w:rPr>
        <w:t>2.2.3. Lý thuyết thể chế</w:t>
      </w:r>
    </w:p>
    <w:p>
      <w:pPr>
        <w:pStyle w:val="Heading3"/>
        <w:ind w:firstLine="0"/>
        <w:jc w:val="left"/>
        <w:keepNext/>
        <w:widowControl/>
      </w:pPr>
      <w:r>
        <w:rPr>
          <w:rFonts w:ascii="Times New Roman" w:hAnsi="Times New Roman" w:eastAsia="Times New Roman"/>
          <w:b/>
          <w:i w:val="0"/>
          <w:sz w:val="26"/>
        </w:rPr>
        <w:t>2.2.4. Lý thuyết hệ thống đổi mới quốc gia</w:t>
      </w:r>
    </w:p>
    <w:p>
      <w:pPr>
        <w:pStyle w:val="Heading2"/>
        <w:ind w:firstLine="0"/>
        <w:jc w:val="left"/>
        <w:keepNext/>
        <w:widowControl/>
      </w:pPr>
      <w:r>
        <w:rPr>
          <w:rFonts w:ascii="Times New Roman" w:hAnsi="Times New Roman" w:eastAsia="Times New Roman"/>
          <w:b/>
          <w:i w:val="0"/>
          <w:sz w:val="26"/>
        </w:rPr>
        <w:t>2.3. Đặc điểm và vai trò của quản lý nhà nước về quyền sở hữu trí tuệ trong nền kinh tế số</w:t>
      </w:r>
    </w:p>
    <w:p>
      <w:pPr>
        <w:pStyle w:val="Heading3"/>
        <w:ind w:firstLine="0"/>
        <w:jc w:val="left"/>
        <w:keepNext/>
        <w:widowControl/>
      </w:pPr>
      <w:r>
        <w:rPr>
          <w:rFonts w:ascii="Times New Roman" w:hAnsi="Times New Roman" w:eastAsia="Times New Roman"/>
          <w:b/>
          <w:i w:val="0"/>
          <w:sz w:val="26"/>
        </w:rPr>
        <w:t>2.3.1. Đặc điểm của quản lý nhà nước về quyền sở hữu trí tuệ trong môi trường số</w:t>
      </w:r>
    </w:p>
    <w:p>
      <w:pPr>
        <w:pStyle w:val="Heading3"/>
        <w:ind w:firstLine="0"/>
        <w:jc w:val="left"/>
        <w:keepNext/>
        <w:widowControl/>
      </w:pPr>
      <w:r>
        <w:rPr>
          <w:rFonts w:ascii="Times New Roman" w:hAnsi="Times New Roman" w:eastAsia="Times New Roman"/>
          <w:b/>
          <w:i w:val="0"/>
          <w:sz w:val="26"/>
        </w:rPr>
        <w:t>2.3.2. Vai trò của quản lý nhà nước về quyền sở hữu trí tuệ đối với nền kinh tế và doanh nghiệp</w:t>
      </w:r>
    </w:p>
    <w:p>
      <w:pPr>
        <w:pStyle w:val="Heading2"/>
        <w:ind w:firstLine="0"/>
        <w:jc w:val="left"/>
        <w:keepNext/>
        <w:widowControl/>
      </w:pPr>
      <w:r>
        <w:rPr>
          <w:rFonts w:ascii="Times New Roman" w:hAnsi="Times New Roman" w:eastAsia="Times New Roman"/>
          <w:b/>
          <w:i w:val="0"/>
          <w:sz w:val="26"/>
        </w:rPr>
        <w:t>2.4. Nội dung và tiêu chí đánh giá quản lý nhà nước về quyền sở hữu trí tuệ trong nền kinh tế số</w:t>
      </w:r>
    </w:p>
    <w:p>
      <w:pPr>
        <w:pStyle w:val="Heading3"/>
        <w:ind w:firstLine="0"/>
        <w:jc w:val="left"/>
        <w:keepNext/>
        <w:widowControl/>
      </w:pPr>
      <w:r>
        <w:rPr>
          <w:rFonts w:ascii="Times New Roman" w:hAnsi="Times New Roman" w:eastAsia="Times New Roman"/>
          <w:b/>
          <w:i w:val="0"/>
          <w:sz w:val="26"/>
        </w:rPr>
        <w:t>2.4.1. Xây dựng chiến lược, chính sách và pháp luật về quyền sở hữu trí tuệ</w:t>
      </w:r>
    </w:p>
    <w:p>
      <w:pPr>
        <w:pStyle w:val="Heading3"/>
        <w:ind w:firstLine="0"/>
        <w:jc w:val="left"/>
        <w:keepNext/>
        <w:widowControl/>
      </w:pPr>
      <w:r>
        <w:rPr>
          <w:rFonts w:ascii="Times New Roman" w:hAnsi="Times New Roman" w:eastAsia="Times New Roman"/>
          <w:b/>
          <w:i w:val="0"/>
          <w:sz w:val="26"/>
        </w:rPr>
        <w:t>2.4.2. Tổ chức bộ máy và cơ chế phối hợp liên ngành trong quản lý nhà nước về quyền sở hữu trí tuệ</w:t>
      </w:r>
    </w:p>
    <w:p>
      <w:pPr>
        <w:pStyle w:val="Heading3"/>
        <w:ind w:firstLine="0"/>
        <w:jc w:val="left"/>
        <w:keepNext/>
        <w:widowControl/>
      </w:pPr>
      <w:r>
        <w:rPr>
          <w:rFonts w:ascii="Times New Roman" w:hAnsi="Times New Roman" w:eastAsia="Times New Roman"/>
          <w:b/>
          <w:i w:val="0"/>
          <w:sz w:val="26"/>
        </w:rPr>
        <w:t>2.4.3. Tổ chức thực hiện và hỗ trợ xác lập, khai thác, chuyển giao, thương mại hóa quyền sở hữu trí tuệ</w:t>
      </w:r>
    </w:p>
    <w:p>
      <w:pPr>
        <w:pStyle w:val="Heading3"/>
        <w:ind w:firstLine="0"/>
        <w:jc w:val="left"/>
        <w:keepNext/>
        <w:widowControl/>
      </w:pPr>
      <w:r>
        <w:rPr>
          <w:rFonts w:ascii="Times New Roman" w:hAnsi="Times New Roman" w:eastAsia="Times New Roman"/>
          <w:b/>
          <w:i w:val="0"/>
          <w:sz w:val="26"/>
        </w:rPr>
        <w:t>2.4.4. Kiểm tra, giám sát, thực thi và xử lý vi phạm quyền sở hữu trí tuệ trên môi trường số</w:t>
      </w:r>
    </w:p>
    <w:p>
      <w:pPr>
        <w:pStyle w:val="Heading3"/>
        <w:ind w:firstLine="0"/>
        <w:jc w:val="left"/>
        <w:keepNext/>
        <w:widowControl/>
      </w:pPr>
      <w:r>
        <w:rPr>
          <w:rFonts w:ascii="Times New Roman" w:hAnsi="Times New Roman" w:eastAsia="Times New Roman"/>
          <w:b/>
          <w:i w:val="0"/>
          <w:sz w:val="26"/>
        </w:rPr>
        <w:t>2.4.5. Tiêu chí đánh giá quản lý nhà nước về quyền sở hữu trí tuệ trong nền kinh tế số</w:t>
      </w:r>
    </w:p>
    <w:p>
      <w:pPr>
        <w:pStyle w:val="Heading2"/>
        <w:ind w:firstLine="0"/>
        <w:jc w:val="left"/>
        <w:keepNext/>
        <w:widowControl/>
      </w:pPr>
      <w:r>
        <w:rPr>
          <w:rFonts w:ascii="Times New Roman" w:hAnsi="Times New Roman" w:eastAsia="Times New Roman"/>
          <w:b/>
          <w:i w:val="0"/>
          <w:sz w:val="26"/>
        </w:rPr>
        <w:t>2.5. Các yếu tố ảnh hưởng đến quản lý nhà nước về quyền sở hữu trí tuệ trong nền kinh tế số</w:t>
      </w:r>
    </w:p>
    <w:p>
      <w:pPr>
        <w:pStyle w:val="Heading3"/>
        <w:ind w:firstLine="0"/>
        <w:jc w:val="left"/>
        <w:keepNext/>
        <w:widowControl/>
      </w:pPr>
      <w:r>
        <w:rPr>
          <w:rFonts w:ascii="Times New Roman" w:hAnsi="Times New Roman" w:eastAsia="Times New Roman"/>
          <w:b/>
          <w:i w:val="0"/>
          <w:sz w:val="26"/>
        </w:rPr>
        <w:t>2.5.1. Nhóm các yếu tố thuộc môi trường vĩ mô</w:t>
      </w:r>
    </w:p>
    <w:p>
      <w:pPr>
        <w:pStyle w:val="Heading3"/>
        <w:ind w:firstLine="0"/>
        <w:jc w:val="left"/>
        <w:keepNext/>
        <w:widowControl/>
      </w:pPr>
      <w:r>
        <w:rPr>
          <w:rFonts w:ascii="Times New Roman" w:hAnsi="Times New Roman" w:eastAsia="Times New Roman"/>
          <w:b/>
          <w:i w:val="0"/>
          <w:sz w:val="26"/>
        </w:rPr>
        <w:t>2.5.2. Nhóm các yếu tố thuộc điều kiện bảo đảm</w:t>
      </w:r>
    </w:p>
    <w:p>
      <w:pPr>
        <w:pStyle w:val="Heading2"/>
        <w:ind w:firstLine="0"/>
        <w:jc w:val="left"/>
        <w:keepNext/>
        <w:widowControl/>
      </w:pPr>
      <w:r>
        <w:rPr>
          <w:rFonts w:ascii="Times New Roman" w:hAnsi="Times New Roman" w:eastAsia="Times New Roman"/>
          <w:b/>
          <w:i w:val="0"/>
          <w:sz w:val="26"/>
        </w:rPr>
        <w:t>2.6. Mối quan hệ giữa quản lý nhà nước về quyền sở hữu trí tuệ, mức độ tiếp cận và sử dụng hệ thống sở hữu trí tuệ và kết quả đổi mới sáng tạo của doanh nghiệp</w:t>
      </w:r>
    </w:p>
    <w:p>
      <w:pPr>
        <w:pStyle w:val="Heading3"/>
        <w:ind w:firstLine="0"/>
        <w:jc w:val="left"/>
        <w:keepNext/>
        <w:widowControl/>
      </w:pPr>
      <w:r>
        <w:rPr>
          <w:rFonts w:ascii="Times New Roman" w:hAnsi="Times New Roman" w:eastAsia="Times New Roman"/>
          <w:b/>
          <w:i w:val="0"/>
          <w:sz w:val="26"/>
        </w:rPr>
        <w:t>2.6.1. Mối quan hệ giữa chất lượng quản lý nhà nước và mức độ tiếp cận và sử dụng hệ thống sở hữu trí tuệ</w:t>
      </w:r>
    </w:p>
    <w:p>
      <w:pPr>
        <w:pStyle w:val="Heading3"/>
        <w:ind w:firstLine="0"/>
        <w:jc w:val="left"/>
        <w:keepNext/>
        <w:widowControl/>
      </w:pPr>
      <w:r>
        <w:rPr>
          <w:rFonts w:ascii="Times New Roman" w:hAnsi="Times New Roman" w:eastAsia="Times New Roman"/>
          <w:b/>
          <w:i w:val="0"/>
          <w:sz w:val="26"/>
        </w:rPr>
        <w:t>2.6.2. Mối quan hệ giữa chất lượng quản lý nhà nước và kết quả đổi mới sáng tạo của doanh nghiệp</w:t>
      </w:r>
    </w:p>
    <w:p>
      <w:pPr>
        <w:pStyle w:val="Heading3"/>
        <w:ind w:firstLine="0"/>
        <w:jc w:val="left"/>
        <w:keepNext/>
        <w:widowControl/>
      </w:pPr>
      <w:r>
        <w:rPr>
          <w:rFonts w:ascii="Times New Roman" w:hAnsi="Times New Roman" w:eastAsia="Times New Roman"/>
          <w:b/>
          <w:i w:val="0"/>
          <w:sz w:val="26"/>
        </w:rPr>
        <w:t>2.6.3. Mối quan hệ giữa mức độ tiếp cận và sử dụng hệ thống sở hữu trí tuệ và kết quả đổi mới sáng tạo</w:t>
      </w:r>
    </w:p>
    <w:p>
      <w:pPr>
        <w:pStyle w:val="Heading3"/>
        <w:ind w:firstLine="0"/>
        <w:jc w:val="left"/>
        <w:keepNext/>
        <w:widowControl/>
      </w:pPr>
      <w:r>
        <w:rPr>
          <w:rFonts w:ascii="Times New Roman" w:hAnsi="Times New Roman" w:eastAsia="Times New Roman"/>
          <w:b/>
          <w:i w:val="0"/>
          <w:sz w:val="26"/>
        </w:rPr>
        <w:t>2.6.4. Vai trò trung gian của mức độ tiếp cận và sử dụng hệ thống sở hữu trí tuệ</w:t>
      </w:r>
    </w:p>
    <w:p>
      <w:pPr>
        <w:pStyle w:val="Heading2"/>
        <w:ind w:firstLine="0"/>
        <w:jc w:val="left"/>
        <w:keepNext/>
        <w:widowControl/>
      </w:pPr>
      <w:r>
        <w:rPr>
          <w:rFonts w:ascii="Times New Roman" w:hAnsi="Times New Roman" w:eastAsia="Times New Roman"/>
          <w:b/>
          <w:i w:val="0"/>
          <w:sz w:val="26"/>
        </w:rPr>
        <w:t>2.7. Kinh nghiệm quản lý nhà nước về quyền sở hữu trí tuệ trong kinh tế số của một số quốc gia và bài học cho Việt Nam</w:t>
      </w:r>
    </w:p>
    <w:p>
      <w:pPr>
        <w:pStyle w:val="Heading3"/>
        <w:ind w:firstLine="0"/>
        <w:jc w:val="left"/>
        <w:keepNext/>
        <w:widowControl/>
      </w:pPr>
      <w:r>
        <w:rPr>
          <w:rFonts w:ascii="Times New Roman" w:hAnsi="Times New Roman" w:eastAsia="Times New Roman"/>
          <w:b/>
          <w:i w:val="0"/>
          <w:sz w:val="26"/>
        </w:rPr>
        <w:t>2.7.1. Kinh nghiệm của một số quốc gia tiêu biểu</w:t>
      </w:r>
    </w:p>
    <w:p>
      <w:pPr>
        <w:pStyle w:val="Heading3"/>
        <w:ind w:firstLine="0"/>
        <w:jc w:val="left"/>
        <w:keepNext/>
        <w:widowControl/>
      </w:pPr>
      <w:r>
        <w:rPr>
          <w:rFonts w:ascii="Times New Roman" w:hAnsi="Times New Roman" w:eastAsia="Times New Roman"/>
          <w:b/>
          <w:i w:val="0"/>
          <w:sz w:val="26"/>
        </w:rPr>
        <w:t>2.7.2. Bài học kinh nghiệm rút ra cho Việt Nam</w:t>
      </w:r>
    </w:p>
    <w:p>
      <w:pPr>
        <w:pStyle w:val="Heading2"/>
        <w:ind w:firstLine="0"/>
        <w:jc w:val="left"/>
        <w:keepNext/>
        <w:widowControl/>
      </w:pPr>
      <w:r>
        <w:rPr>
          <w:rFonts w:ascii="Times New Roman" w:hAnsi="Times New Roman" w:eastAsia="Times New Roman"/>
          <w:b/>
          <w:i w:val="0"/>
          <w:sz w:val="26"/>
        </w:rPr>
        <w:t>2.8. Khung phân tích, mô hình và các giả thuyết nghiên cứu</w:t>
      </w:r>
    </w:p>
    <w:p>
      <w:pPr>
        <w:pStyle w:val="Heading1"/>
        <w:ind w:firstLine="0"/>
        <w:jc w:val="center"/>
        <w:keepNext/>
        <w:widowControl/>
      </w:pPr>
      <w:r>
        <w:rPr>
          <w:rFonts w:ascii="Times New Roman" w:hAnsi="Times New Roman" w:eastAsia="Times New Roman"/>
          <w:b/>
          <w:i w:val="0"/>
          <w:sz w:val="28"/>
        </w:rPr>
        <w:t>CHƯƠNG 3. THỰC TRẠNG QUẢN LÝ NHÀ NƯỚC VỀ QUYỀN SỞ HỮU TRÍ TUỆ VÀ KẾT QUẢ NGHIÊN CỨU THỰC NGHIỆM Ở VIỆT NAM</w:t>
      </w:r>
    </w:p>
    <w:p>
      <w:pPr>
        <w:pStyle w:val="Heading2"/>
        <w:ind w:firstLine="0"/>
        <w:jc w:val="left"/>
        <w:keepNext/>
        <w:widowControl/>
      </w:pPr>
      <w:r>
        <w:rPr>
          <w:rFonts w:ascii="Times New Roman" w:hAnsi="Times New Roman" w:eastAsia="Times New Roman"/>
          <w:b/>
          <w:i w:val="0"/>
          <w:sz w:val="26"/>
        </w:rPr>
        <w:t>3.1. Bối cảnh nghiên cứu và yêu cầu đặt ra đối với quản lý nhà nước về quyền sở hữu trí tuệ ở Việt Nam</w:t>
      </w:r>
    </w:p>
    <w:p>
      <w:pPr>
        <w:pStyle w:val="Heading3"/>
        <w:ind w:firstLine="0"/>
        <w:jc w:val="left"/>
        <w:keepNext/>
        <w:widowControl/>
      </w:pPr>
      <w:r>
        <w:rPr>
          <w:rFonts w:ascii="Times New Roman" w:hAnsi="Times New Roman" w:eastAsia="Times New Roman"/>
          <w:b/>
          <w:i w:val="0"/>
          <w:sz w:val="26"/>
        </w:rPr>
        <w:t>3.1.1. Tổng quan bối cảnh phát triển kinh tế số và chuyển đổi số quốc gia ở Việt Nam</w:t>
      </w:r>
    </w:p>
    <w:p>
      <w:pPr>
        <w:pStyle w:val="Heading3"/>
        <w:ind w:firstLine="0"/>
        <w:jc w:val="left"/>
        <w:keepNext/>
        <w:widowControl/>
      </w:pPr>
      <w:r>
        <w:rPr>
          <w:rFonts w:ascii="Times New Roman" w:hAnsi="Times New Roman" w:eastAsia="Times New Roman"/>
          <w:b/>
          <w:i w:val="0"/>
          <w:sz w:val="26"/>
        </w:rPr>
        <w:t>3.1.2. Khái quát hoạt động đổi mới sáng tạo của doanh nghiệp trong nền kinh tế số</w:t>
      </w:r>
    </w:p>
    <w:p>
      <w:pPr>
        <w:pStyle w:val="Heading3"/>
        <w:ind w:firstLine="0"/>
        <w:jc w:val="left"/>
        <w:keepNext/>
        <w:widowControl/>
      </w:pPr>
      <w:r>
        <w:rPr>
          <w:rFonts w:ascii="Times New Roman" w:hAnsi="Times New Roman" w:eastAsia="Times New Roman"/>
          <w:b/>
          <w:i w:val="0"/>
          <w:sz w:val="26"/>
        </w:rPr>
        <w:t>3.1.3. Yêu cầu đặt ra đối với công tác quản lý nhà nước về quyền sở hữu trí tuệ</w:t>
      </w:r>
    </w:p>
    <w:p>
      <w:pPr>
        <w:pStyle w:val="Heading2"/>
        <w:ind w:firstLine="0"/>
        <w:jc w:val="left"/>
        <w:keepNext/>
        <w:widowControl/>
      </w:pPr>
      <w:r>
        <w:rPr>
          <w:rFonts w:ascii="Times New Roman" w:hAnsi="Times New Roman" w:eastAsia="Times New Roman"/>
          <w:b/>
          <w:i w:val="0"/>
          <w:sz w:val="26"/>
        </w:rPr>
        <w:t>3.2. Phân tích thực trạng quản lý nhà nước về quyền sở hữu trí tuệ ở Việt Nam giai đoạn 2019-2025 theo bốn nội dung quản lý</w:t>
      </w:r>
    </w:p>
    <w:p>
      <w:pPr>
        <w:pStyle w:val="Heading3"/>
        <w:ind w:firstLine="0"/>
        <w:jc w:val="left"/>
        <w:keepNext/>
        <w:widowControl/>
      </w:pPr>
      <w:r>
        <w:rPr>
          <w:rFonts w:ascii="Times New Roman" w:hAnsi="Times New Roman" w:eastAsia="Times New Roman"/>
          <w:b/>
          <w:i w:val="0"/>
          <w:sz w:val="26"/>
        </w:rPr>
        <w:t>3.2.1. Thực trạng xây dựng chiến lược, chính sách và pháp luật về quyền sở hữu trí tuệ</w:t>
      </w:r>
    </w:p>
    <w:p>
      <w:pPr>
        <w:pStyle w:val="Heading3"/>
        <w:ind w:firstLine="0"/>
        <w:jc w:val="left"/>
        <w:keepNext/>
        <w:widowControl/>
      </w:pPr>
      <w:r>
        <w:rPr>
          <w:rFonts w:ascii="Times New Roman" w:hAnsi="Times New Roman" w:eastAsia="Times New Roman"/>
          <w:b/>
          <w:i w:val="0"/>
          <w:sz w:val="26"/>
        </w:rPr>
        <w:t>3.2.2. Thực trạng tổ chức bộ máy và phối hợp quản lý nhà nước về quyền sở hữu trí tuệ</w:t>
      </w:r>
    </w:p>
    <w:p>
      <w:pPr>
        <w:pStyle w:val="Heading3"/>
        <w:ind w:firstLine="0"/>
        <w:jc w:val="left"/>
        <w:keepNext/>
        <w:widowControl/>
      </w:pPr>
      <w:r>
        <w:rPr>
          <w:rFonts w:ascii="Times New Roman" w:hAnsi="Times New Roman" w:eastAsia="Times New Roman"/>
          <w:b/>
          <w:i w:val="0"/>
          <w:sz w:val="26"/>
        </w:rPr>
        <w:t>3.2.3. Thực trạng tổ chức thực hiện và hỗ trợ xác lập, khai thác, chuyển giao, thương mại hóa quyền</w:t>
      </w:r>
    </w:p>
    <w:p>
      <w:pPr>
        <w:pStyle w:val="Heading3"/>
        <w:ind w:firstLine="0"/>
        <w:jc w:val="left"/>
        <w:keepNext/>
        <w:widowControl/>
      </w:pPr>
      <w:r>
        <w:rPr>
          <w:rFonts w:ascii="Times New Roman" w:hAnsi="Times New Roman" w:eastAsia="Times New Roman"/>
          <w:b/>
          <w:i w:val="0"/>
          <w:sz w:val="26"/>
        </w:rPr>
        <w:t>3.2.4. Thực trạng kiểm tra, giám sát, thực thi và xử lý vi phạm quyền sở hữu trí tuệ trên môi trường số</w:t>
      </w:r>
    </w:p>
    <w:p>
      <w:pPr>
        <w:pStyle w:val="Heading2"/>
        <w:ind w:firstLine="0"/>
        <w:jc w:val="left"/>
        <w:keepNext/>
        <w:widowControl/>
      </w:pPr>
      <w:r>
        <w:rPr>
          <w:rFonts w:ascii="Times New Roman" w:hAnsi="Times New Roman" w:eastAsia="Times New Roman"/>
          <w:b/>
          <w:i w:val="0"/>
          <w:sz w:val="26"/>
        </w:rPr>
        <w:t>3.3. Đánh giá quản lý nhà nước về quyền sở hữu trí tuệ theo các tiêu chí và các điều kiện bảo đảm</w:t>
      </w:r>
    </w:p>
    <w:p>
      <w:pPr>
        <w:pStyle w:val="Heading3"/>
        <w:ind w:firstLine="0"/>
        <w:jc w:val="left"/>
        <w:keepNext/>
        <w:widowControl/>
      </w:pPr>
      <w:r>
        <w:rPr>
          <w:rFonts w:ascii="Times New Roman" w:hAnsi="Times New Roman" w:eastAsia="Times New Roman"/>
          <w:b/>
          <w:i w:val="0"/>
          <w:sz w:val="26"/>
        </w:rPr>
        <w:t>3.3.1. Đánh giá quản lý nhà nước về quyền sở hữu trí tuệ theo các tiêu chí</w:t>
      </w:r>
    </w:p>
    <w:p>
      <w:pPr>
        <w:pStyle w:val="Heading3"/>
        <w:ind w:firstLine="0"/>
        <w:jc w:val="left"/>
        <w:keepNext/>
        <w:widowControl/>
      </w:pPr>
      <w:r>
        <w:rPr>
          <w:rFonts w:ascii="Times New Roman" w:hAnsi="Times New Roman" w:eastAsia="Times New Roman"/>
          <w:b/>
          <w:i w:val="0"/>
          <w:sz w:val="26"/>
        </w:rPr>
        <w:t>3.3.2. Thực trạng các điều kiện bảo đảm</w:t>
      </w:r>
    </w:p>
    <w:p>
      <w:pPr>
        <w:pStyle w:val="Heading2"/>
        <w:ind w:firstLine="0"/>
        <w:jc w:val="left"/>
        <w:keepNext/>
        <w:widowControl/>
      </w:pPr>
      <w:r>
        <w:rPr>
          <w:rFonts w:ascii="Times New Roman" w:hAnsi="Times New Roman" w:eastAsia="Times New Roman"/>
          <w:b/>
          <w:i w:val="0"/>
          <w:sz w:val="26"/>
        </w:rPr>
        <w:t>3.4. Kết quả nghiên cứu thực nghiệm từ khảo sát doanh nghiệp</w:t>
      </w:r>
    </w:p>
    <w:p>
      <w:pPr>
        <w:pStyle w:val="Heading3"/>
        <w:ind w:firstLine="0"/>
        <w:jc w:val="left"/>
        <w:keepNext/>
        <w:widowControl/>
      </w:pPr>
      <w:r>
        <w:rPr>
          <w:rFonts w:ascii="Times New Roman" w:hAnsi="Times New Roman" w:eastAsia="Times New Roman"/>
          <w:b/>
          <w:i w:val="0"/>
          <w:sz w:val="26"/>
        </w:rPr>
        <w:t>3.4.1. Đặc điểm mẫu khảo sát, kiểm định độ tin cậy và phân tích nhân tố khám phá</w:t>
      </w:r>
    </w:p>
    <w:p>
      <w:pPr>
        <w:pStyle w:val="Heading3"/>
        <w:ind w:firstLine="0"/>
        <w:jc w:val="left"/>
        <w:keepNext/>
        <w:widowControl/>
      </w:pPr>
      <w:r>
        <w:rPr>
          <w:rFonts w:ascii="Times New Roman" w:hAnsi="Times New Roman" w:eastAsia="Times New Roman"/>
          <w:b/>
          <w:i w:val="0"/>
          <w:sz w:val="26"/>
        </w:rPr>
        <w:t>3.4.2. Kết quả phân tích tương quan và hồi quy tuyến tính đa biến</w:t>
      </w:r>
    </w:p>
    <w:p>
      <w:pPr>
        <w:pStyle w:val="Heading3"/>
        <w:ind w:firstLine="0"/>
        <w:jc w:val="left"/>
        <w:keepNext/>
        <w:widowControl/>
      </w:pPr>
      <w:r>
        <w:rPr>
          <w:rFonts w:ascii="Times New Roman" w:hAnsi="Times New Roman" w:eastAsia="Times New Roman"/>
          <w:b/>
          <w:i w:val="0"/>
          <w:sz w:val="26"/>
        </w:rPr>
        <w:t>3.4.3. Kết quả kiểm định vai trò trung gian của mức độ tiếp cận và sử dụng hệ thống sở hữu trí tuệ</w:t>
      </w:r>
    </w:p>
    <w:p>
      <w:pPr>
        <w:pStyle w:val="Heading3"/>
        <w:ind w:firstLine="0"/>
        <w:jc w:val="left"/>
        <w:keepNext/>
        <w:widowControl/>
      </w:pPr>
      <w:r>
        <w:rPr>
          <w:rFonts w:ascii="Times New Roman" w:hAnsi="Times New Roman" w:eastAsia="Times New Roman"/>
          <w:b/>
          <w:i w:val="0"/>
          <w:sz w:val="26"/>
        </w:rPr>
        <w:t>3.4.4. Thảo luận kết quả nghiên cứu thực nghiệm và diễn giải định tính từ phỏng vấn chuyên gia</w:t>
      </w:r>
    </w:p>
    <w:p>
      <w:pPr>
        <w:pStyle w:val="Heading2"/>
        <w:ind w:firstLine="0"/>
        <w:jc w:val="left"/>
        <w:keepNext/>
        <w:widowControl/>
      </w:pPr>
      <w:r>
        <w:rPr>
          <w:rFonts w:ascii="Times New Roman" w:hAnsi="Times New Roman" w:eastAsia="Times New Roman"/>
          <w:b/>
          <w:i w:val="0"/>
          <w:sz w:val="26"/>
        </w:rPr>
        <w:t>3.5. Đánh giá chung thực trạng quản lý nhà nước về quyền sở hữu trí tuệ giai đoạn 2019-2025</w:t>
      </w:r>
    </w:p>
    <w:p>
      <w:pPr>
        <w:pStyle w:val="Heading3"/>
        <w:ind w:firstLine="0"/>
        <w:jc w:val="left"/>
        <w:keepNext/>
        <w:widowControl/>
      </w:pPr>
      <w:r>
        <w:rPr>
          <w:rFonts w:ascii="Times New Roman" w:hAnsi="Times New Roman" w:eastAsia="Times New Roman"/>
          <w:b/>
          <w:i w:val="0"/>
          <w:sz w:val="26"/>
        </w:rPr>
        <w:t>3.5.1. Những kết quả đạt được</w:t>
      </w:r>
    </w:p>
    <w:p>
      <w:pPr>
        <w:pStyle w:val="Heading3"/>
        <w:ind w:firstLine="0"/>
        <w:jc w:val="left"/>
        <w:keepNext/>
        <w:widowControl/>
      </w:pPr>
      <w:r>
        <w:rPr>
          <w:rFonts w:ascii="Times New Roman" w:hAnsi="Times New Roman" w:eastAsia="Times New Roman"/>
          <w:b/>
          <w:i w:val="0"/>
          <w:sz w:val="26"/>
        </w:rPr>
        <w:t>3.5.2. Những hạn chế và bất cập</w:t>
      </w:r>
    </w:p>
    <w:p>
      <w:pPr>
        <w:pStyle w:val="Heading3"/>
        <w:ind w:firstLine="0"/>
        <w:jc w:val="left"/>
        <w:keepNext/>
        <w:widowControl/>
      </w:pPr>
      <w:r>
        <w:rPr>
          <w:rFonts w:ascii="Times New Roman" w:hAnsi="Times New Roman" w:eastAsia="Times New Roman"/>
          <w:b/>
          <w:i w:val="0"/>
          <w:sz w:val="26"/>
        </w:rPr>
        <w:t>3.5.3. Nguyên nhân của những hạn chế</w:t>
      </w:r>
    </w:p>
    <w:p>
      <w:pPr>
        <w:pStyle w:val="Heading1"/>
        <w:ind w:firstLine="0"/>
        <w:jc w:val="center"/>
        <w:keepNext/>
        <w:widowControl/>
      </w:pPr>
      <w:r>
        <w:rPr>
          <w:rFonts w:ascii="Times New Roman" w:hAnsi="Times New Roman" w:eastAsia="Times New Roman"/>
          <w:b/>
          <w:i w:val="0"/>
          <w:sz w:val="28"/>
        </w:rPr>
        <w:t>CHƯƠNG 4. QUAN ĐIỂM, ĐỊNH HƯỚNG VÀ GIẢI PHÁP HOÀN THIỆN QUẢN LÝ NHÀ NƯỚC VỀ QUYỀN SỞ HỮU TRÍ TUỆ TRONG NỀN KINH TẾ SỐ Ở VIỆT NAM ĐẾN NĂM 2035</w:t>
      </w:r>
    </w:p>
    <w:p>
      <w:pPr>
        <w:pStyle w:val="Heading2"/>
        <w:ind w:firstLine="0"/>
        <w:jc w:val="left"/>
        <w:keepNext/>
        <w:widowControl/>
      </w:pPr>
      <w:r>
        <w:rPr>
          <w:rFonts w:ascii="Times New Roman" w:hAnsi="Times New Roman" w:eastAsia="Times New Roman"/>
          <w:b/>
          <w:i w:val="0"/>
          <w:sz w:val="26"/>
        </w:rPr>
        <w:t>4.1. Bối cảnh ảnh hưởng và dự báo xu hướng phát triển kinh tế số ở Việt Nam</w:t>
      </w:r>
    </w:p>
    <w:p>
      <w:pPr>
        <w:pStyle w:val="Heading3"/>
        <w:ind w:firstLine="0"/>
        <w:jc w:val="left"/>
        <w:keepNext/>
        <w:widowControl/>
      </w:pPr>
      <w:r>
        <w:rPr>
          <w:rFonts w:ascii="Times New Roman" w:hAnsi="Times New Roman" w:eastAsia="Times New Roman"/>
          <w:b/>
          <w:i w:val="0"/>
          <w:sz w:val="26"/>
        </w:rPr>
        <w:t>4.1.1. Xu hướng phát triển công nghệ và các vấn đề mới phát sinh đối với quản lý sở hữu trí tuệ</w:t>
      </w:r>
    </w:p>
    <w:p>
      <w:pPr>
        <w:pStyle w:val="Heading3"/>
        <w:ind w:firstLine="0"/>
        <w:jc w:val="left"/>
        <w:keepNext/>
        <w:widowControl/>
      </w:pPr>
      <w:r>
        <w:rPr>
          <w:rFonts w:ascii="Times New Roman" w:hAnsi="Times New Roman" w:eastAsia="Times New Roman"/>
          <w:b/>
          <w:i w:val="0"/>
          <w:sz w:val="26"/>
        </w:rPr>
        <w:t>4.1.2. Chủ trương, chiến lược của Đảng và Nhà nước về phát triển kinh tế số và đổi mới sáng tạo</w:t>
      </w:r>
    </w:p>
    <w:p>
      <w:pPr>
        <w:pStyle w:val="Heading2"/>
        <w:ind w:firstLine="0"/>
        <w:jc w:val="left"/>
        <w:keepNext/>
        <w:widowControl/>
      </w:pPr>
      <w:r>
        <w:rPr>
          <w:rFonts w:ascii="Times New Roman" w:hAnsi="Times New Roman" w:eastAsia="Times New Roman"/>
          <w:b/>
          <w:i w:val="0"/>
          <w:sz w:val="26"/>
        </w:rPr>
        <w:t>4.2. Quan điểm và định hướng hoàn thiện quản lý nhà nước về quyền sở hữu trí tuệ đến năm 2035</w:t>
      </w:r>
    </w:p>
    <w:p>
      <w:pPr>
        <w:pStyle w:val="Heading3"/>
        <w:ind w:firstLine="0"/>
        <w:jc w:val="left"/>
        <w:keepNext/>
        <w:widowControl/>
      </w:pPr>
      <w:r>
        <w:rPr>
          <w:rFonts w:ascii="Times New Roman" w:hAnsi="Times New Roman" w:eastAsia="Times New Roman"/>
          <w:b/>
          <w:i w:val="0"/>
          <w:sz w:val="26"/>
        </w:rPr>
        <w:t>4.2.1. Quan điểm chỉ đạo trong hoàn thiện quản lý nhà nước về quyền sở hữu trí tuệ</w:t>
      </w:r>
    </w:p>
    <w:p>
      <w:pPr>
        <w:pStyle w:val="Heading3"/>
        <w:ind w:firstLine="0"/>
        <w:jc w:val="left"/>
        <w:keepNext/>
        <w:widowControl/>
      </w:pPr>
      <w:r>
        <w:rPr>
          <w:rFonts w:ascii="Times New Roman" w:hAnsi="Times New Roman" w:eastAsia="Times New Roman"/>
          <w:b/>
          <w:i w:val="0"/>
          <w:sz w:val="26"/>
        </w:rPr>
        <w:t>4.2.2. Định hướng hoàn thiện quản lý nhà nước về quyền sở hữu trí tuệ đến năm 2035</w:t>
      </w:r>
    </w:p>
    <w:p>
      <w:pPr>
        <w:pStyle w:val="Heading2"/>
        <w:ind w:firstLine="0"/>
        <w:jc w:val="left"/>
        <w:keepNext/>
        <w:widowControl/>
      </w:pPr>
      <w:r>
        <w:rPr>
          <w:rFonts w:ascii="Times New Roman" w:hAnsi="Times New Roman" w:eastAsia="Times New Roman"/>
          <w:b/>
          <w:i w:val="0"/>
          <w:sz w:val="26"/>
        </w:rPr>
        <w:t>4.3. Giải pháp hoàn thiện quản lý nhà nước về quyền sở hữu trí tuệ trong nền kinh tế số</w:t>
      </w:r>
    </w:p>
    <w:p>
      <w:pPr>
        <w:pStyle w:val="Heading3"/>
        <w:ind w:firstLine="0"/>
        <w:jc w:val="left"/>
        <w:keepNext/>
        <w:widowControl/>
      </w:pPr>
      <w:r>
        <w:rPr>
          <w:rFonts w:ascii="Times New Roman" w:hAnsi="Times New Roman" w:eastAsia="Times New Roman"/>
          <w:b/>
          <w:i w:val="0"/>
          <w:sz w:val="26"/>
        </w:rPr>
        <w:t>4.3.1. Hoàn thiện xây dựng chiến lược, chính sách và pháp luật về quyền sở hữu trí tuệ trong nền kinh tế số</w:t>
      </w:r>
    </w:p>
    <w:p>
      <w:pPr>
        <w:pStyle w:val="Heading3"/>
        <w:ind w:firstLine="0"/>
        <w:jc w:val="left"/>
        <w:keepNext/>
        <w:widowControl/>
      </w:pPr>
      <w:r>
        <w:rPr>
          <w:rFonts w:ascii="Times New Roman" w:hAnsi="Times New Roman" w:eastAsia="Times New Roman"/>
          <w:b/>
          <w:i w:val="0"/>
          <w:sz w:val="26"/>
        </w:rPr>
        <w:t>4.3.2. Kiện toàn tổ chức bộ máy và tăng cường phối hợp quản lý nhà nước về quyền sở hữu trí tuệ</w:t>
      </w:r>
    </w:p>
    <w:p>
      <w:pPr>
        <w:pStyle w:val="Heading3"/>
        <w:ind w:firstLine="0"/>
        <w:jc w:val="left"/>
        <w:keepNext/>
        <w:widowControl/>
      </w:pPr>
      <w:r>
        <w:rPr>
          <w:rFonts w:ascii="Times New Roman" w:hAnsi="Times New Roman" w:eastAsia="Times New Roman"/>
          <w:b/>
          <w:i w:val="0"/>
          <w:sz w:val="26"/>
        </w:rPr>
        <w:t>4.3.3. Đổi mới tổ chức thực hiện và nâng cao hiệu quả hỗ trợ xác lập, khai thác, chuyển giao, thương mại hóa quyền sở hữu trí tuệ</w:t>
      </w:r>
    </w:p>
    <w:p>
      <w:pPr>
        <w:pStyle w:val="Heading3"/>
        <w:ind w:firstLine="0"/>
        <w:jc w:val="left"/>
        <w:keepNext/>
        <w:widowControl/>
      </w:pPr>
      <w:r>
        <w:rPr>
          <w:rFonts w:ascii="Times New Roman" w:hAnsi="Times New Roman" w:eastAsia="Times New Roman"/>
          <w:b/>
          <w:i w:val="0"/>
          <w:sz w:val="26"/>
        </w:rPr>
        <w:t>4.3.4. Nâng cao hiệu quả kiểm tra, giám sát, thực thi và xử lý vi phạm quyền sở hữu trí tuệ trên môi trường số</w:t>
      </w:r>
    </w:p>
    <w:p>
      <w:pPr>
        <w:pStyle w:val="Heading2"/>
        <w:ind w:firstLine="0"/>
        <w:jc w:val="left"/>
        <w:keepNext/>
        <w:widowControl/>
      </w:pPr>
      <w:r>
        <w:rPr>
          <w:rFonts w:ascii="Times New Roman" w:hAnsi="Times New Roman" w:eastAsia="Times New Roman"/>
          <w:b/>
          <w:i w:val="0"/>
          <w:sz w:val="26"/>
        </w:rPr>
        <w:t>4.4. Giải pháp hoàn thiện các điều kiện bảo đảm thực hiện quản lý nhà nước</w:t>
      </w:r>
    </w:p>
    <w:p>
      <w:pPr>
        <w:pStyle w:val="Heading3"/>
        <w:ind w:firstLine="0"/>
        <w:jc w:val="left"/>
        <w:keepNext/>
        <w:widowControl/>
      </w:pPr>
      <w:r>
        <w:rPr>
          <w:rFonts w:ascii="Times New Roman" w:hAnsi="Times New Roman" w:eastAsia="Times New Roman"/>
          <w:b/>
          <w:i w:val="0"/>
          <w:sz w:val="26"/>
        </w:rPr>
        <w:t>4.4.1. Đẩy mạnh chuyển đổi số dịch vụ công và hoàn thiện hạ tầng dữ liệu sở hữu trí tuệ quốc gia</w:t>
      </w:r>
    </w:p>
    <w:p>
      <w:pPr>
        <w:pStyle w:val="Heading3"/>
        <w:ind w:firstLine="0"/>
        <w:jc w:val="left"/>
        <w:keepNext/>
        <w:widowControl/>
      </w:pPr>
      <w:r>
        <w:rPr>
          <w:rFonts w:ascii="Times New Roman" w:hAnsi="Times New Roman" w:eastAsia="Times New Roman"/>
          <w:b/>
          <w:i w:val="0"/>
          <w:sz w:val="26"/>
        </w:rPr>
        <w:t>4.4.2. Nâng cao năng lực và chất lượng nguồn nhân lực quản lý nhà nước về sở hữu trí tuệ</w:t>
      </w:r>
    </w:p>
    <w:p>
      <w:pPr>
        <w:pStyle w:val="Heading2"/>
        <w:ind w:firstLine="0"/>
        <w:jc w:val="left"/>
        <w:keepNext/>
        <w:widowControl/>
      </w:pPr>
      <w:r>
        <w:rPr>
          <w:rFonts w:ascii="Times New Roman" w:hAnsi="Times New Roman" w:eastAsia="Times New Roman"/>
          <w:b/>
          <w:i w:val="0"/>
          <w:sz w:val="26"/>
        </w:rPr>
        <w:t>4.5. Điều kiện thực hiện các giải pháp</w:t>
      </w:r>
    </w:p>
    <w:p>
      <w:pPr>
        <w:widowControl/>
      </w:pPr>
      <w:r>
        <w:br w:type="page"/>
      </w:r>
    </w:p>
    <w:p>
      <w:pPr>
        <w:pStyle w:val="Heading1"/>
        <w:ind w:firstLine="0"/>
        <w:jc w:val="center"/>
        <w:keepNext/>
        <w:widowControl/>
      </w:pPr>
      <w:r>
        <w:rPr>
          <w:rFonts w:ascii="Times New Roman" w:hAnsi="Times New Roman" w:eastAsia="Times New Roman"/>
          <w:b/>
          <w:i w:val="0"/>
          <w:sz w:val="28"/>
        </w:rPr>
        <w:t>DANH MỤC TÀI LIỆU THAM KHẢO DỰ KIẾN</w:t>
      </w:r>
    </w:p>
    <w:p>
      <w:pPr>
        <w:pStyle w:val="IEEEReference"/>
        <w:widowControl/>
      </w:pPr>
      <w:r>
        <w:rPr>
          <w:rFonts w:ascii="Times New Roman" w:hAnsi="Times New Roman" w:eastAsia="Times New Roman"/>
          <w:b w:val="0"/>
          <w:i w:val="0"/>
          <w:sz w:val="24"/>
        </w:rPr>
        <w:t>[1] K. J. Arrow, “Economic welfare and the allocation of resources for invention,” in The Rate and Direction of Inventive Activity: Economic and Social Factors, R. R. Nelson, Ed. Princeton, NJ, USA: Princeton University Press, 1962, pp. 609-626.</w:t>
      </w:r>
    </w:p>
    <w:p>
      <w:pPr>
        <w:pStyle w:val="IEEEReference"/>
        <w:widowControl/>
      </w:pPr>
      <w:r>
        <w:rPr>
          <w:rFonts w:ascii="Times New Roman" w:hAnsi="Times New Roman" w:eastAsia="Times New Roman"/>
          <w:b w:val="0"/>
          <w:i w:val="0"/>
          <w:sz w:val="24"/>
        </w:rPr>
        <w:t>[2] A. Cuntz, C. Fink, and H. Stamm, Artificial Intelligence and Intellectual Property: An Economic Perspective, WIPO Economic Research Working Paper No. 77. Geneva, Switzerland: World Intellectual Property Organization, 2024.</w:t>
      </w:r>
    </w:p>
    <w:p>
      <w:pPr>
        <w:pStyle w:val="IEEEReference"/>
        <w:widowControl/>
      </w:pPr>
      <w:r>
        <w:rPr>
          <w:rFonts w:ascii="Times New Roman" w:hAnsi="Times New Roman" w:eastAsia="Times New Roman"/>
          <w:b w:val="0"/>
          <w:i w:val="0"/>
          <w:sz w:val="24"/>
        </w:rPr>
        <w:t>[3] A. Cuntz, F. Mueller-Langer, A. Muscarnera, P. C. Oguguo, and M. Scheufen, Access to Science and Innovation in the Developing World, WIPO Economic Research Working Paper No. 78. Geneva, Switzerland: World Intellectual Property Organization, 2024.</w:t>
      </w:r>
    </w:p>
    <w:p>
      <w:pPr>
        <w:pStyle w:val="IEEEReference"/>
        <w:widowControl/>
      </w:pPr>
      <w:r>
        <w:rPr>
          <w:rFonts w:ascii="Times New Roman" w:hAnsi="Times New Roman" w:eastAsia="Times New Roman"/>
          <w:b w:val="0"/>
          <w:i w:val="0"/>
          <w:sz w:val="24"/>
        </w:rPr>
        <w:t>[4] Quốc hội, “Luật số 07/2022/QH15 sửa đổi, bổ sung một số điều của Luật Sở hữu trí tuệ,” Hà Nội, Việt Nam, Jun. 16, 2022. [Online]. Available: https://vanban.chinhphu.vn/?classid=1&amp;docid=206240&amp;org=&amp;pageid=27160. [Accessed: Aug. 5, 2026].</w:t>
      </w:r>
    </w:p>
    <w:p>
      <w:pPr>
        <w:pStyle w:val="IEEEReference"/>
        <w:widowControl/>
      </w:pPr>
      <w:r>
        <w:rPr>
          <w:rFonts w:ascii="Times New Roman" w:hAnsi="Times New Roman" w:eastAsia="Times New Roman"/>
          <w:b w:val="0"/>
          <w:i w:val="0"/>
          <w:sz w:val="24"/>
        </w:rPr>
        <w:t>[5] Thủ tướng Chính phủ, “Quyết định số 1068/QĐ-TTg phê duyệt Chiến lược sở hữu trí tuệ đến năm 2030,” Hà Nội, Việt Nam, Aug. 22, 2019. [Online]. Available: https://vanban.chinhphu.vn/?docid=197710&amp;pageid=27160&amp;tagid=6&amp;type=1. [Accessed: Aug. 5, 2026].</w:t>
      </w:r>
    </w:p>
    <w:p>
      <w:pPr>
        <w:pStyle w:val="IEEEReference"/>
        <w:widowControl/>
      </w:pPr>
      <w:r>
        <w:rPr>
          <w:rFonts w:ascii="Times New Roman" w:hAnsi="Times New Roman" w:eastAsia="Times New Roman"/>
          <w:b w:val="0"/>
          <w:i w:val="0"/>
          <w:sz w:val="24"/>
        </w:rPr>
        <w:t>[6] Thủ tướng Chính phủ, “Quyết định số 749/QĐ-TTg phê duyệt Chương trình Chuyển đổi số quốc gia đến năm 2025, định hướng đến năm 2030,” Hà Nội, Việt Nam, Jun. 3, 2020. [Online]. Available: https://vanban.chinhphu.vn/?docid=200163&amp;pageid=27160&amp;tagid=7&amp;type=1. [Accessed: Aug. 5, 2026].</w:t>
      </w:r>
    </w:p>
    <w:p>
      <w:pPr>
        <w:pStyle w:val="IEEEReference"/>
        <w:widowControl/>
      </w:pPr>
      <w:r>
        <w:rPr>
          <w:rFonts w:ascii="Times New Roman" w:hAnsi="Times New Roman" w:eastAsia="Times New Roman"/>
          <w:b w:val="0"/>
          <w:i w:val="0"/>
          <w:sz w:val="24"/>
        </w:rPr>
        <w:t>[7] Thủ tướng Chính phủ, “Quyết định số 411/QĐ-TTg phê duyệt Chiến lược quốc gia phát triển kinh tế số và xã hội số đến năm 2025, định hướng đến năm 2030,” Hà Nội, Việt Nam, Mar. 31, 2022. [Online]. Available: https://vanban.chinhphu.vn/?docid=205555&amp;pageid=27160&amp;tagid=6&amp;type=1. [Accessed: Aug. 5, 2026].</w:t>
      </w:r>
    </w:p>
    <w:p>
      <w:pPr>
        <w:pStyle w:val="IEEEReference"/>
        <w:widowControl/>
      </w:pPr>
      <w:r>
        <w:rPr>
          <w:rFonts w:ascii="Times New Roman" w:hAnsi="Times New Roman" w:eastAsia="Times New Roman"/>
          <w:b w:val="0"/>
          <w:i w:val="0"/>
          <w:sz w:val="24"/>
        </w:rPr>
        <w:t>[8] Bộ Chính trị, “Nghị quyết số 57-NQ/TW về đột phá phát triển khoa học, công nghệ, đổi mới sáng tạo và chuyển đổi số quốc gia,” Hà Nội, Việt Nam, Dec. 22, 2024. [Online]. Available: https://tulieuvankien.dangcongsan.vn/he-thong-van-ban/van-ban-cua-dang/nghi-quyet-so-57-nqtw-ngay-22122024-cua-bo-chinh-tri-ve-dot-pha-phat-trien-khoa-hoc-cong-nghe-doi-moi-sang-tao-va-chuyen-11162. [Accessed: Aug. 5, 2026].</w:t>
      </w:r>
    </w:p>
    <w:p>
      <w:pPr>
        <w:pStyle w:val="IEEEReference"/>
        <w:widowControl/>
      </w:pPr>
      <w:r>
        <w:rPr>
          <w:rFonts w:ascii="Times New Roman" w:hAnsi="Times New Roman" w:eastAsia="Times New Roman"/>
          <w:b w:val="0"/>
          <w:i w:val="0"/>
          <w:sz w:val="24"/>
        </w:rPr>
        <w:t>[9] D. C. North, Institutions, Institutional Change and Economic Performance. Cambridge, UK: Cambridge University Press, 1990.</w:t>
      </w:r>
    </w:p>
    <w:p>
      <w:pPr>
        <w:pStyle w:val="IEEEReference"/>
        <w:widowControl/>
      </w:pPr>
      <w:r>
        <w:rPr>
          <w:rFonts w:ascii="Times New Roman" w:hAnsi="Times New Roman" w:eastAsia="Times New Roman"/>
          <w:b w:val="0"/>
          <w:i w:val="0"/>
          <w:sz w:val="24"/>
        </w:rPr>
        <w:t>[10] R. R. Nelson, Ed., National Innovation Systems: A Comparative Analysis. New York, NY, USA: Oxford University Press, 1993.</w:t>
      </w:r>
    </w:p>
    <w:p>
      <w:pPr>
        <w:pStyle w:val="IEEEReference"/>
        <w:widowControl/>
      </w:pPr>
      <w:r>
        <w:rPr>
          <w:rFonts w:ascii="Times New Roman" w:hAnsi="Times New Roman" w:eastAsia="Times New Roman"/>
          <w:b w:val="0"/>
          <w:i w:val="0"/>
          <w:sz w:val="24"/>
        </w:rPr>
        <w:t>[11] OECD and Eurostat, Oslo Manual 2018: Guidelines for Collecting, Reporting and Using Data on Innovation, 4th ed. Paris, France: OECD Publishing, 2018.</w:t>
      </w:r>
    </w:p>
    <w:p>
      <w:pPr>
        <w:pStyle w:val="IEEEReference"/>
        <w:widowControl/>
      </w:pPr>
      <w:r>
        <w:rPr>
          <w:rFonts w:ascii="Times New Roman" w:hAnsi="Times New Roman" w:eastAsia="Times New Roman"/>
          <w:b w:val="0"/>
          <w:i w:val="0"/>
          <w:sz w:val="24"/>
        </w:rPr>
        <w:t>[12] J. F. Hair, W. C. Black, B. J. Babin, and R. E. Anderson, Multivariate Data Analysis, 8th ed. Andover, UK: Cengage, 2019.</w:t>
      </w:r>
    </w:p>
    <w:p>
      <w:pPr>
        <w:pStyle w:val="IEEEReference"/>
        <w:widowControl/>
      </w:pPr>
      <w:r>
        <w:rPr>
          <w:rFonts w:ascii="Times New Roman" w:hAnsi="Times New Roman" w:eastAsia="Times New Roman"/>
          <w:b w:val="0"/>
          <w:i w:val="0"/>
          <w:sz w:val="24"/>
        </w:rPr>
        <w:t>[13] A. F. Hayes, Introduction to Mediation, Moderation, and Conditional Process Analysis: A Regression-Based Approach, 3rd ed. New York, NY, USA: Guilford Press, 2022.</w:t>
      </w:r>
    </w:p>
    <w:p>
      <w:pPr>
        <w:pStyle w:val="IEEEReference"/>
        <w:jc w:val="both"/>
      </w:pPr>
      <w:r>
        <w:rPr>
          <w:rFonts w:ascii="Times New Roman" w:hAnsi="Times New Roman"/>
          <w:sz w:val="24"/>
        </w:rPr>
        <w:t>[14] N. T. T. Uyên and N. H. Việt, “Một số vấn đề về thực hiện chính sách phát triển tài sản trí tuệ của Nhà nước tại địa phương,” Tạp chí Nghiên cứu Khoa học và Phát triển, vol. 2, no. 4, pp. 56-65, 2023, doi: 10.58902/tcnckhpt.v2i4.105.</w:t>
      </w:r>
    </w:p>
    <w:p>
      <w:pPr>
        <w:pStyle w:val="IEEEReference"/>
        <w:jc w:val="both"/>
      </w:pPr>
      <w:r>
        <w:rPr>
          <w:rFonts w:ascii="Times New Roman" w:hAnsi="Times New Roman"/>
          <w:sz w:val="24"/>
        </w:rPr>
        <w:t>[15] T. T. Đạt, “Nâng cao hiệu quả thực thi quyền sở hữu trí tuệ tại Việt Nam đáp ứng yêu cầu mới của thực tiễn,” Tạp chí Khoa học và Công nghệ Việt Nam, no. 11A, 2023. [Online]. Available: https://vjol.info.vn/index.php/khcn/article/view/86110. [Accessed: Aug. 5, 2026].</w:t>
      </w:r>
    </w:p>
    <w:p>
      <w:pPr>
        <w:pStyle w:val="IEEEReference"/>
        <w:jc w:val="both"/>
      </w:pPr>
      <w:r>
        <w:rPr>
          <w:rFonts w:ascii="Times New Roman" w:hAnsi="Times New Roman"/>
          <w:sz w:val="24"/>
        </w:rPr>
        <w:t>[16] Đ. T. Ý Nhi and K. T. Huế, “Các yếu tố tác động đến hoạt động đổi mới sáng tạo tại các doanh nghiệp vừa và nhỏ thuộc vùng Đông Nam Bộ,” Tạp chí Nghiên cứu Khoa học và Phát triển, vol. 2, no. 4, pp. 26-37, 2023, doi: 10.58902/tcnckhpt.v2i4.106.</w:t>
      </w:r>
    </w:p>
    <w:p>
      <w:pPr>
        <w:pStyle w:val="IEEEReference"/>
        <w:jc w:val="both"/>
      </w:pPr>
      <w:r>
        <w:rPr>
          <w:rFonts w:ascii="Times New Roman" w:hAnsi="Times New Roman"/>
          <w:sz w:val="24"/>
        </w:rPr>
        <w:t>[17] Thủ tướng Chính phủ, “Quyết định số 2205/QĐ-TTg phê duyệt Chương trình phát triển tài sản trí tuệ đến năm 2030,” Hà Nội, Việt Nam, Dec. 24, 2020.</w:t>
      </w:r>
    </w:p>
    <w:p>
      <w:pPr>
        <w:pStyle w:val="IEEEReference"/>
        <w:jc w:val="both"/>
      </w:pPr>
      <w:r>
        <w:rPr>
          <w:rFonts w:ascii="Times New Roman" w:hAnsi="Times New Roman"/>
          <w:sz w:val="24"/>
        </w:rPr>
        <w:t>[18] Cục Sở hữu trí tuệ, “Báo cáo thường niên hoạt động sở hữu trí tuệ 2024,” Aug. 1, 2025. [Online]. Available: https://ipvietnam.gov.vn/bao-cao-thuong-nien/-/asset_publisher/izQwGPGab3Z4/content/bao-cao-thuong-nien-hoat-ong-so-huu-tri-tue-2024. [Accessed: Aug. 5, 2026].</w:t>
      </w:r>
    </w:p>
    <w:p>
      <w:pPr>
        <w:pStyle w:val="IEEEReference"/>
        <w:jc w:val="both"/>
      </w:pPr>
      <w:r>
        <w:rPr>
          <w:rFonts w:ascii="Times New Roman" w:hAnsi="Times New Roman"/>
          <w:sz w:val="24"/>
        </w:rPr>
        <w:t>[19] Cục Sở hữu trí tuệ, “Cục Sở hữu trí tuệ tổ chức Hội nghị Quản lý nhà nước về sở hữu trí tuệ năm 2024,” Mar. 31, 2024. [Online]. Available: https://ipvietnam.gov.vn/tin-tuc-su-kien/-/asset_publisher/7xsjBfqhCDAV/content/cuc-so-huu-tri-tue-to-chuc-hoi-nghi-quan-ly-nha-nuoc-ve-so-huu-tri-tue-nam-2024. [Accessed: Aug. 5, 2026].</w:t>
      </w:r>
    </w:p>
    <w:sectPr w:rsidR="00FC693F" w:rsidRPr="0006063C" w:rsidSect="00034616">
      <w:footerReference w:type="default" r:id="rId9"/>
      <w:pgSz w:w="11906" w:h="16838"/>
      <w:pgMar w:top="1134" w:right="1134" w:bottom="1134" w:left="1984" w:header="567"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ind w:firstLine="720"/>
      <w:jc w:val="both"/>
    </w:pPr>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60" w:line="300" w:lineRule="auto"/>
      <w:ind w:firstLine="0"/>
      <w:jc w:val="left"/>
      <w:outlineLvl w:val="0"/>
    </w:pPr>
    <w:rPr>
      <w:rFonts w:asciiTheme="majorHAnsi" w:eastAsiaTheme="majorEastAsia" w:hAnsiTheme="majorHAnsi" w:cstheme="majorBidi" w:ascii="Times New Roman" w:hAnsi="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20" w:after="60" w:line="300" w:lineRule="auto"/>
      <w:ind w:firstLine="0"/>
      <w:jc w:val="left"/>
      <w:outlineLvl w:val="1"/>
    </w:pPr>
    <w:rPr>
      <w:rFonts w:asciiTheme="majorHAnsi" w:eastAsiaTheme="majorEastAsia" w:hAnsiTheme="majorHAnsi" w:cstheme="majorBidi" w:ascii="Times New Roman" w:hAnsi="Times New Roman" w:eastAsia="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20" w:after="60" w:line="300" w:lineRule="auto"/>
      <w:ind w:firstLine="0"/>
      <w:jc w:val="left"/>
      <w:outlineLvl w:val="2"/>
    </w:pPr>
    <w:rPr>
      <w:rFonts w:asciiTheme="majorHAnsi" w:eastAsiaTheme="majorEastAsia" w:hAnsiTheme="majorHAnsi" w:cstheme="majorBidi" w:ascii="Times New Roman" w:hAnsi="Times New Roman" w:eastAsia="Times New Roman"/>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IEEEReference">
    <w:name w:val="IEEE Reference"/>
    <w:pPr>
      <w:spacing w:line="276" w:lineRule="auto" w:after="60"/>
      <w:ind w:left="425" w:hanging="425"/>
      <w:jc w:val="left"/>
    </w:pPr>
    <w:rPr>
      <w:rFonts w:ascii="Times New Roman" w:hAnsi="Times New Roman" w:eastAsia="Times New Roman"/>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Đề cương luận án tiến sĩ - Quản lý nhà nước về quyền sở hữu trí tuệ trong nền kinh tế số ở Việt Nam</dc:title>
  <dc:subject>Bản hoàn thiện theo khung mẫu và trích dẫn IEEE</dc:subject>
  <dc:creator>python-docx</dc:creator>
  <cp:keywords>sở hữu trí tuệ, quản lý nhà nước, kinh tế số, đổi mới sáng tạo, IEEE</cp:keywords>
  <dc:description>generated by python-docx</dc:description>
  <cp:lastModifiedBy/>
  <cp:revision>1</cp:revision>
  <dcterms:created xsi:type="dcterms:W3CDTF">2013-12-23T23:15:00Z</dcterms:created>
  <dcterms:modified xsi:type="dcterms:W3CDTF">2013-12-23T23:15:00Z</dcterms:modified>
  <cp:category/>
</cp:coreProperties>
</file>