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ind w:firstLine="0"/>
        <w:jc w:val="center"/>
        <w:widowControl/>
      </w:pPr>
      <w:r>
        <w:rPr>
          <w:rFonts w:ascii="Times New Roman" w:hAnsi="Times New Roman" w:eastAsia="Times New Roman"/>
          <w:b/>
          <w:i w:val="0"/>
          <w:sz w:val="32"/>
        </w:rPr>
        <w:t>ĐỀ CƯƠNG LUẬN ÁN TIẾN SĨ</w:t>
      </w:r>
    </w:p>
    <w:p>
      <w:pPr>
        <w:spacing w:before="0" w:after="360"/>
        <w:ind w:firstLine="0"/>
        <w:jc w:val="center"/>
        <w:widowControl/>
      </w:pPr>
      <w:r>
        <w:rPr>
          <w:rFonts w:ascii="Times New Roman" w:hAnsi="Times New Roman" w:eastAsia="Times New Roman"/>
          <w:b/>
          <w:i w:val="0"/>
          <w:sz w:val="30"/>
        </w:rPr>
        <w:t>NGÀNH QUẢN LÝ KINH TẾ</w:t>
      </w:r>
    </w:p>
    <w:p>
      <w:pPr>
        <w:spacing w:before="120" w:after="0"/>
        <w:ind w:firstLine="0"/>
        <w:jc w:val="center"/>
        <w:widowControl/>
      </w:pPr>
      <w:r>
        <w:rPr>
          <w:rFonts w:ascii="Times New Roman" w:hAnsi="Times New Roman" w:eastAsia="Times New Roman"/>
          <w:b/>
          <w:i w:val="0"/>
          <w:sz w:val="28"/>
        </w:rPr>
        <w:t>TÊN ĐỀ TÀI:</w:t>
      </w:r>
    </w:p>
    <w:p>
      <w:pPr>
        <w:spacing w:before="0" w:after="0"/>
        <w:ind w:firstLine="0"/>
        <w:jc w:val="center"/>
        <w:widowControl/>
      </w:pPr>
      <w:r>
        <w:rPr>
          <w:rFonts w:ascii="Times New Roman" w:hAnsi="Times New Roman" w:eastAsia="Times New Roman"/>
          <w:b/>
          <w:i w:val="0"/>
          <w:sz w:val="30"/>
        </w:rPr>
        <w:t>QUẢN LÝ NHÀ NƯỚC VỀ QUYỀN SỞ HỮU TRÍ TUỆ</w:t>
      </w:r>
    </w:p>
    <w:p>
      <w:pPr>
        <w:spacing w:before="0" w:after="240"/>
        <w:ind w:firstLine="0"/>
        <w:jc w:val="center"/>
        <w:widowControl/>
      </w:pPr>
      <w:r>
        <w:rPr>
          <w:rFonts w:ascii="Times New Roman" w:hAnsi="Times New Roman" w:eastAsia="Times New Roman"/>
          <w:b/>
          <w:i w:val="0"/>
          <w:sz w:val="30"/>
        </w:rPr>
        <w:t>TRONG NỀN KINH TẾ SỐ Ở VIỆT NAM</w:t>
      </w:r>
    </w:p>
    <w:p>
      <w:pPr>
        <w:spacing w:before="360" w:after="0"/>
        <w:ind w:firstLine="0"/>
        <w:jc w:val="center"/>
        <w:widowControl/>
      </w:pPr>
      <w:r>
        <w:rPr>
          <w:rFonts w:ascii="Times New Roman" w:hAnsi="Times New Roman" w:eastAsia="Times New Roman"/>
          <w:b/>
          <w:i w:val="0"/>
          <w:sz w:val="26"/>
        </w:rPr>
        <w:t>HÀ NỘI, 2026</w:t>
      </w:r>
    </w:p>
    <w:p>
      <w:r>
        <w:br w:type="page"/>
      </w:r>
    </w:p>
    <w:p>
      <w:pPr>
        <w:pStyle w:val="Heading1"/>
        <w:jc w:val="center"/>
      </w:pPr>
      <w:r>
        <w:t>PHẦN 2</w:t>
      </w:r>
    </w:p>
    <w:p>
      <w:pPr>
        <w:pStyle w:val="Heading1"/>
        <w:jc w:val="center"/>
      </w:pPr>
      <w:r>
        <w:t>ĐỀ CƯƠNG CHI TIẾT NGHIÊN CỨU CỦA LUẬN ÁN</w:t>
      </w:r>
    </w:p>
    <w:p>
      <w:pPr>
        <w:pStyle w:val="Heading1"/>
      </w:pPr>
      <w:r>
        <w:t>MỞ ĐẦU</w:t>
      </w:r>
    </w:p>
    <w:p>
      <w:pPr>
        <w:pStyle w:val="Heading2"/>
      </w:pPr>
      <w:r>
        <w:t>1. Tính cấp thiết của luận án</w:t>
      </w:r>
    </w:p>
    <w:p>
      <w:pPr>
        <w:spacing w:before="0" w:after="0" w:line="360" w:lineRule="auto"/>
        <w:ind w:firstLine="720"/>
        <w:jc w:val="both"/>
      </w:pPr>
      <w:r>
        <w:rPr>
          <w:rFonts w:ascii="Times New Roman" w:hAnsi="Times New Roman" w:eastAsia="Times New Roman"/>
          <w:sz w:val="26"/>
        </w:rPr>
        <w:t>Sự phát triển của nền kinh tế số đang làm thay đổi sâu sắc cách thức tri thức và các kết quả sáng tạo được hình thành, lưu trữ, phổ biến và khai thác. Nếu trong nền kinh tế truyền thống, hoạt động sở hữu trí tuệ chủ yếu gắn với các đối tượng và thị trường có ranh giới tương đối rõ, thì trong môi trường số, phần mềm, dữ liệu, nội dung số và các giải pháp có sử dụng trí tuệ nhân tạo có thể được tạo lập, sao chép, truyền tải và sử dụng trên nhiều lãnh thổ trong thời gian rất ngắn. Quá trình này mở rộng cơ hội thương mại hóa tài sản trí tuệ, nhưng đồng thời làm phát sinh những vấn đề mới về dữ liệu huấn luyện, nội dung do trí tuệ nhân tạo tạo ra, trách nhiệm của nền tảng, hành vi xâm phạm xuyên biên giới và khả năng áp dụng các công cụ quản lý vốn được thiết kế cho môi trường truyền thống [2].</w:t>
      </w:r>
    </w:p>
    <w:p>
      <w:pPr>
        <w:spacing w:before="0" w:after="0" w:line="360" w:lineRule="auto"/>
        <w:ind w:firstLine="720"/>
        <w:jc w:val="both"/>
      </w:pPr>
      <w:r>
        <w:rPr>
          <w:rFonts w:ascii="Times New Roman" w:hAnsi="Times New Roman" w:eastAsia="Times New Roman"/>
          <w:sz w:val="26"/>
        </w:rPr>
        <w:t>Xét về phương diện lý luận, quyền sở hữu trí tuệ là một thiết chế kinh tế nhằm góp phần khắc phục khó khăn trong việc thu hồi lợi ích từ hoạt động sáng tạo. Tri thức có tính không cạnh tranh tương đối, khả năng lan tỏa cao và khó loại trừ hoàn toàn khỏi quá trình sử dụng; do đó, nếu thiếu cơ chế xác lập và bảo vệ quyền phù hợp, chủ thể sáng tạo có thể không thu hồi được chi phí đầu tư và giảm động lực tiếp tục đổi mới [1]. Tuy nhiên, bảo hộ quyền không phải là mục tiêu duy nhất của quản lý nhà nước. Phạm vi bảo hộ quá rộng, chi phí tiếp cận cao hoặc cơ chế thực thi thiếu cân bằng có thể làm tăng chi phí sử dụng tri thức và hạn chế đổi mới tiếp nối. Sự phát triển của trí tuệ nhân tạo càng làm rõ yêu cầu phải dung hòa giữa khuyến khích sáng tạo, bảo đảm khả năng chiếm hữu lợi ích và duy trì điều kiện tiếp cận các nguồn lực cần thiết cho những thế hệ đổi mới sau [2].</w:t>
      </w:r>
    </w:p>
    <w:p>
      <w:pPr>
        <w:spacing w:before="0" w:after="0" w:line="360" w:lineRule="auto"/>
        <w:ind w:firstLine="720"/>
        <w:jc w:val="both"/>
      </w:pPr>
      <w:r>
        <w:rPr>
          <w:rFonts w:ascii="Times New Roman" w:hAnsi="Times New Roman" w:eastAsia="Times New Roman"/>
          <w:sz w:val="26"/>
        </w:rPr>
        <w:t>Một vấn đề lý luận khác là tác động của chính sách sở hữu trí tuệ không diễn ra một cách trực tiếp và đồng nhất. Nghiên cứu của WIPO về chương trình Hinari cho thấy việc giảm chi phí tiếp cận tài liệu khoa học làm tăng số lượng công bố và hoạt động thử nghiệm lâm sàng tại các tổ chức nghiên cứu ở các nước đang phát triển. Tuy nhiên, sau khi kiểm soát sai lệch lựa chọn, nghiên cứu không tìm thấy bằng chứng rõ ràng về tác động tích cực đối với việc các công trình khoa học được trích dẫn trong tài liệu sáng chế [3]. Kết quả này gợi ý rằng mở rộng khả năng tiếp cận là điều kiện quan trọng nhưng chưa đủ; việc chuyển hóa cơ hội tiếp cận thành kết quả đổi mới còn phụ thuộc vào năng lực của tổ chức, chất lượng thể chế và khả năng sử dụng các công cụ của hệ thống sở hữu trí tuệ. Vì vậy, nghiên cứu quản lý nhà nước cần đi xa hơn việc mô tả chính sách, để làm rõ chính sách được doanh nghiệp tiếp cận và sử dụng như thế nào, cũng như cơ chế mà qua đó hoạt động quản lý có thể liên hệ với kết quả đổi mới sáng tạo.</w:t>
      </w:r>
    </w:p>
    <w:p>
      <w:pPr>
        <w:spacing w:before="0" w:after="0" w:line="360" w:lineRule="auto"/>
        <w:ind w:firstLine="720"/>
        <w:jc w:val="both"/>
      </w:pPr>
      <w:r>
        <w:rPr>
          <w:rFonts w:ascii="Times New Roman" w:hAnsi="Times New Roman" w:eastAsia="Times New Roman"/>
          <w:sz w:val="26"/>
        </w:rPr>
        <w:t>Tại Việt Nam, quá trình chuyển đổi số, sự phát triển của các mô hình kinh doanh dựa trên nền tảng và yêu cầu nâng cao năng lực đổi mới sáng tạo đang làm gia tăng vai trò của tài sản trí tuệ trong hoạt động kinh tế. Nhà nước đã từng bước hoàn thiện khuôn khổ pháp luật và chính sách thông qua Luật số 07/2022/QH15 sửa đổi, bổ sung một số điều của Luật Sở hữu trí tuệ [4]; Chiến lược sở hữu trí tuệ đến năm 2030 [5]; Chương trình Chuyển đổi số quốc gia [6]; Chiến lược quốc gia phát triển kinh tế số và xã hội số [7]; Chương trình phát triển tài sản trí tuệ đến năm 2030 [17] và Nghị quyết số 57-NQ/TW về đột phá phát triển khoa học, công nghệ, đổi mới sáng tạo và chuyển đổi số quốc gia [8]. Các văn bản này cho thấy định hướng quản lý đã từng bước chuyển từ trọng tâm xác lập và bảo vệ quyền sang gắn sở hữu trí tuệ với đổi mới sáng tạo, phát triển doanh nghiệp, chuyển giao công nghệ và khai thác tài sản trí tuệ.</w:t>
      </w:r>
    </w:p>
    <w:p>
      <w:pPr>
        <w:spacing w:before="0" w:after="0" w:line="360" w:lineRule="auto"/>
        <w:ind w:firstLine="720"/>
        <w:jc w:val="both"/>
      </w:pPr>
      <w:r>
        <w:rPr>
          <w:rFonts w:ascii="Times New Roman" w:hAnsi="Times New Roman" w:eastAsia="Times New Roman"/>
          <w:sz w:val="26"/>
        </w:rPr>
        <w:t>Xét về phương diện thực tiễn, kết quả hoạt động sở hữu trí tuệ cho thấy nhu cầu sử dụng hệ thống ngày càng lớn. Năm 2024, Cục Sở hữu trí tuệ tiếp nhận gần 153.000 đơn sở hữu công nghiệp, trong đó có trên 89.000 đơn đăng ký xác lập quyền, tăng 5,0% so với năm 2023; xử lý gần 143.300 đơn và cấp hơn 53.600 văn bằng bảo hộ. Tỷ lệ nộp đơn trực tuyến và sử dụng dịch vụ công trực tuyến toàn trình tiếp tục tăng, đồng thời các hoạt động đào tạo, tuyên truyền và hỗ trợ phát triển tài sản trí tuệ được triển khai cho nhiều nhóm đối tượng [18]. Những kết quả này phản ánh nỗ lực cải cách thủ tục, chuyển đổi số và nâng cao năng lực phục vụ của cơ quan quản lý, đồng thời cho thấy áp lực ngày càng lớn đối với khâu tiếp nhận, xử lý, cung cấp thông tin và hỗ trợ khai thác quyền.</w:t>
      </w:r>
    </w:p>
    <w:p>
      <w:pPr>
        <w:spacing w:before="0" w:after="0" w:line="360" w:lineRule="auto"/>
        <w:ind w:firstLine="720"/>
        <w:jc w:val="both"/>
      </w:pPr>
      <w:r>
        <w:rPr>
          <w:rFonts w:ascii="Times New Roman" w:hAnsi="Times New Roman" w:eastAsia="Times New Roman"/>
          <w:sz w:val="26"/>
        </w:rPr>
        <w:t>Mặc dù vậy, thực tiễn quản lý nhà nước về quyền sở hữu trí tuệ trong nền kinh tế số vẫn đặt ra nhiều vấn đề cần tiếp tục giải quyết. Cơ quan quản lý còn phải xử lý lượng đơn sở hữu công nghiệp tồn đọng, tiếp tục cải cách thủ tục hành chính, chuyển đổi số toàn diện và khắc phục những khoảng trống pháp lý phát sinh từ các xu hướng công nghệ mới [18]. Hoạt động hỗ trợ ở nhiều nơi vẫn tập trung nhiều vào đăng ký và xác lập quyền, trong khi các dịch vụ tra cứu, định giá, cấp phép, chuyển giao và thương mại hóa tài sản trí tuệ chưa phát triển đồng đều. Ở khâu thực thi, sự đa dạng của chủ thể, phương thức vi phạm và môi trường giao dịch số làm gia tăng yêu cầu phối hợp giữa các cơ quan; các nghiên cứu trong nước cũng chỉ ra nhu cầu tiếp tục nâng cao hiệu quả thực thi và điều chỉnh cơ chế thực thi quyền trong giai đoạn mới [15], [19]. Các hạn chế này ảnh hưởng đến chi phí tiếp cận hệ thống, mức độ tin cậy của doanh nghiệp và khả năng biến quyền sở hữu trí tuệ thành nguồn lực phục vụ đổi mới sáng tạo.</w:t>
      </w:r>
    </w:p>
    <w:p>
      <w:pPr>
        <w:spacing w:before="0" w:after="0" w:line="360" w:lineRule="auto"/>
        <w:ind w:firstLine="720"/>
        <w:jc w:val="both"/>
      </w:pPr>
      <w:r>
        <w:rPr>
          <w:rFonts w:ascii="Times New Roman" w:hAnsi="Times New Roman" w:eastAsia="Times New Roman"/>
          <w:sz w:val="26"/>
        </w:rPr>
        <w:t>Tổng quan các nghiên cứu có liên quan cho thấy, ở bình diện quốc tế, cơ sở kinh tế của quyền sở hữu trí tuệ, mối quan hệ giữa bảo hộ và động lực đổi mới, cũng như tác động của khả năng tiếp cận tri thức đã được phân tích tương đối sâu [1]–[3]. Tuy nhiên, các kết quả cũng cho thấy tác động của chính sách phụ thuộc vào bối cảnh thể chế và năng lực của chủ thể thụ hưởng. Điều này đặt ra yêu cầu phải xây dựng khung phân tích phù hợp với điều kiện của từng quốc gia, thay vì mặc định rằng việc ban hành chính sách hoặc mở rộng khả năng tiếp cận sẽ tự động tạo ra kết quả đổi mới.</w:t>
      </w:r>
    </w:p>
    <w:p>
      <w:pPr>
        <w:spacing w:before="0" w:after="0" w:line="360" w:lineRule="auto"/>
        <w:ind w:firstLine="720"/>
        <w:jc w:val="both"/>
      </w:pPr>
      <w:r>
        <w:rPr>
          <w:rFonts w:ascii="Times New Roman" w:hAnsi="Times New Roman" w:eastAsia="Times New Roman"/>
          <w:sz w:val="26"/>
        </w:rPr>
        <w:t>Đối với Việt Nam, các công trình hiện có chủ yếu tiếp cận từng khía cạnh riêng của vấn đề. Một số nghiên cứu phân tích việc thực hiện chính sách phát triển tài sản trí tuệ tại địa phương, tập trung vào kết quả hỗ trợ và yêu cầu phát triển tài sản sau bảo hộ [14]. Một số công trình xem xét hiệu quả và cơ chế thực thi quyền sở hữu trí tuệ [15], [19], trong khi các nghiên cứu về đổi mới sáng tạo của doanh nghiệp chủ yếu phân tích các yếu tố thuộc bản thân doanh nghiệp và môi trường kinh doanh [16]. Những nghiên cứu này cung cấp các luận cứ quan trọng, nhưng chưa hình thành một khung nghiên cứu thống nhất về quản lý nhà nước đối với quyền sở hữu trí tuệ trong điều kiện kinh tế số; chưa xây dựng đầy đủ hệ thống tiêu chí đánh giá chất lượng quản lý từ góc nhìn của doanh nghiệp; và chưa kiểm định cơ chế liên kết giữa chất lượng quản lý nhà nước, mức độ doanh nghiệp tiếp cận và sử dụng hệ thống sở hữu trí tuệ với kết quả đổi mới sáng tạo.</w:t>
      </w:r>
    </w:p>
    <w:p>
      <w:pPr>
        <w:spacing w:before="0" w:after="0" w:line="360" w:lineRule="auto"/>
        <w:ind w:firstLine="720"/>
        <w:jc w:val="both"/>
      </w:pPr>
      <w:r>
        <w:rPr>
          <w:rFonts w:ascii="Times New Roman" w:hAnsi="Times New Roman" w:eastAsia="Times New Roman"/>
          <w:sz w:val="26"/>
        </w:rPr>
        <w:t>Khoảng trống nghiên cứu nêu trên cho thấy cần có một nghiên cứu kết hợp cả phân tích quản lý nhà nước và bằng chứng từ doanh nghiệp. Về lý luận, nghiên cứu cần làm rõ nội hàm, đặc điểm, nội dung và tiêu chí đánh giá quản lý nhà nước về quyền sở hữu trí tuệ trong nền kinh tế số, đồng thời giải thích cơ chế tác động của hoạt động quản lý. Về thực tiễn, cần đánh giá có hệ thống kết quả, hạn chế và nguyên nhân trong quá trình xây dựng chính sách, tổ chức thực hiện, hỗ trợ doanh nghiệp và thực thi quyền; qua đó xác định những nội dung quản lý cần được ưu tiên hoàn thiện. Việc phân tích mức độ doanh nghiệp tiếp cận và sử dụng hệ thống sở hữu trí tuệ với tư cách là cơ chế trung gian sẽ giúp kết nối đánh giá chính sách với hành vi và kết quả của đối tượng chịu tác động, thay vì chỉ dừng ở mô tả văn bản hoặc số lượng quyền được xác lập.</w:t>
      </w:r>
    </w:p>
    <w:p>
      <w:pPr>
        <w:spacing w:before="0" w:after="0" w:line="360" w:lineRule="auto"/>
        <w:ind w:firstLine="720"/>
        <w:jc w:val="both"/>
      </w:pPr>
      <w:r>
        <w:rPr>
          <w:rFonts w:ascii="Times New Roman" w:hAnsi="Times New Roman" w:eastAsia="Times New Roman"/>
          <w:sz w:val="26"/>
        </w:rPr>
        <w:t>Xuất phát từ tính cấp thiết về lý luận và thực tiễn nêu trên, nghiên cứu sinh lựa chọn đề tài “Quản lý nhà nước về quyền sở hữu trí tuệ trong nền kinh tế số ở Việt Nam” làm luận án tiến sĩ chuyên ngành Quản lý kinh tế. Luận án hướng tới đánh giá thực trạng quản lý nhà nước trong giai đoạn 2019-2025, phân tích mối quan hệ giữa chất lượng quản lý nhà nước, mức độ doanh nghiệp tiếp cận và sử dụng hệ thống sở hữu trí tuệ và kết quả đổi mới sáng tạo, từ đó đề xuất các giải pháp hoàn thiện đến năm 2035.</w:t>
      </w:r>
    </w:p>
    <w:p>
      <w:pPr>
        <w:pStyle w:val="Heading2"/>
      </w:pPr>
      <w:r>
        <w:t>2. Mục đích nghiên cứu</w:t>
      </w:r>
    </w:p>
    <w:p>
      <w:pPr>
        <w:ind w:firstLine="720"/>
        <w:jc w:val="both"/>
        <w:widowControl/>
      </w:pPr>
      <w:r>
        <w:rPr>
          <w:rFonts w:ascii="Times New Roman" w:hAnsi="Times New Roman" w:eastAsia="Times New Roman"/>
          <w:b w:val="0"/>
          <w:i w:val="0"/>
          <w:sz w:val="26"/>
        </w:rPr>
        <w:t>Mục đích của luận án là làm rõ cơ sở lý luận và thực tiễn của quản lý nhà nước về quyền sở hữu trí tuệ trong nền kinh tế số; đánh giá thực trạng ở Việt Nam giai đoạn 2019-2025; phân tích mối quan hệ giữa chất lượng quản lý nhà nước theo đánh giá của doanh nghiệp, mức độ tiếp cận và sử dụng hệ thống sở hữu trí tuệ và kết quả đổi mới sáng tạo; từ đó đề xuất quan điểm, định hướng và giải pháp hoàn thiện đến năm 2035.</w:t>
      </w:r>
    </w:p>
    <w:p>
      <w:pPr>
        <w:pStyle w:val="Heading2"/>
      </w:pPr>
      <w:r>
        <w:t>3. Đối tượng nghiên cứu</w:t>
      </w:r>
    </w:p>
    <w:p>
      <w:pPr>
        <w:ind w:firstLine="720"/>
        <w:jc w:val="both"/>
        <w:widowControl/>
      </w:pPr>
      <w:r>
        <w:rPr>
          <w:rFonts w:ascii="Times New Roman" w:hAnsi="Times New Roman" w:eastAsia="Times New Roman"/>
          <w:b w:val="0"/>
          <w:i w:val="0"/>
          <w:sz w:val="26"/>
        </w:rPr>
        <w:t>Đối tượng nghiên cứu của luận án là quản lý nhà nước về quyền sở hữu trí tuệ trong nền kinh tế số ở Việt Nam.</w:t>
      </w:r>
    </w:p>
    <w:p>
      <w:pPr>
        <w:ind w:firstLine="0"/>
        <w:jc w:val="both"/>
        <w:widowControl/>
      </w:pPr>
      <w:r>
        <w:rPr>
          <w:rFonts w:ascii="Times New Roman" w:hAnsi="Times New Roman" w:eastAsia="Times New Roman"/>
          <w:b w:val="0"/>
          <w:i w:val="0"/>
          <w:sz w:val="26"/>
        </w:rPr>
        <w:t>Đối tượng khảo sát được thiết kế phù hợp với hai hợp phần nghiên cứu:</w:t>
      </w:r>
    </w:p>
    <w:p>
      <w:pPr>
        <w:ind w:left="397" w:hanging="227"/>
        <w:jc w:val="both"/>
        <w:widowControl/>
      </w:pPr>
      <w:r>
        <w:rPr>
          <w:rFonts w:ascii="Times New Roman" w:hAnsi="Times New Roman" w:eastAsia="Times New Roman"/>
          <w:b w:val="0"/>
          <w:i w:val="0"/>
          <w:sz w:val="26"/>
        </w:rPr>
        <w:t>- Đối tượng phục vụ nghiên cứu định lượng là các doanh nghiệp hoạt động trong những ngành có mức độ số hóa và sử dụng tài sản trí tuệ tương đối cao tại Việt Nam. Mẫu khảo sát bao gồm cả doanh nghiệp đã và chưa sử dụng hệ thống sở hữu trí tuệ, đã và chưa thực hiện đổi mới sáng tạo trong thời kỳ nghiên cứu. Đơn vị phân tích là doanh nghiệp; người trả lời là lãnh đạo hoặc nhân sự am hiểu hoạt động sở hữu trí tuệ, công nghệ, nghiên cứu và phát triển hoặc đổi mới sáng tạo của doanh nghiệp.</w:t>
      </w:r>
    </w:p>
    <w:p>
      <w:pPr>
        <w:ind w:left="397" w:hanging="227"/>
        <w:jc w:val="both"/>
        <w:widowControl/>
      </w:pPr>
      <w:r>
        <w:rPr>
          <w:rFonts w:ascii="Times New Roman" w:hAnsi="Times New Roman" w:eastAsia="Times New Roman"/>
          <w:b w:val="0"/>
          <w:i w:val="0"/>
          <w:sz w:val="26"/>
        </w:rPr>
        <w:t>- Đối tượng phục vụ nghiên cứu định tính là cán bộ quản lý nhà nước về sở hữu trí tuệ ở trung ương và địa phương, chuyên gia pháp lý và kinh tế, đại diện tổ chức đại diện sở hữu công nghiệp, viện nghiên cứu, trường đại học, tổ chức trung gian và một số doanh nghiệp có kinh nghiệm khác nhau trong bảo hộ, khai thác và thực thi quyền.</w:t>
      </w:r>
    </w:p>
    <w:p>
      <w:pPr>
        <w:pStyle w:val="Heading2"/>
      </w:pPr>
      <w:r>
        <w:t>4. Nhiệm vụ nghiên cứu</w:t>
      </w:r>
    </w:p>
    <w:p>
      <w:pPr>
        <w:ind w:left="397" w:hanging="227"/>
        <w:jc w:val="both"/>
        <w:widowControl/>
      </w:pPr>
      <w:r>
        <w:rPr>
          <w:rFonts w:ascii="Times New Roman" w:hAnsi="Times New Roman" w:eastAsia="Times New Roman"/>
          <w:b w:val="0"/>
          <w:i w:val="0"/>
          <w:sz w:val="26"/>
        </w:rPr>
        <w:t>- Thứ nhất, hệ thống hóa cơ sở lý luận, nội dung và tiêu chí đánh giá quản lý nhà nước về quyền sở hữu trí tuệ trong nền kinh tế số; làm rõ cơ chế liên kết giữa chất lượng quản lý nhà nước, mức độ doanh nghiệp tiếp cận và sử dụng hệ thống sở hữu trí tuệ và kết quả đổi mới sáng tạo.</w:t>
      </w:r>
    </w:p>
    <w:p>
      <w:pPr>
        <w:ind w:left="397" w:hanging="227"/>
        <w:jc w:val="both"/>
        <w:widowControl/>
      </w:pPr>
      <w:r>
        <w:rPr>
          <w:rFonts w:ascii="Times New Roman" w:hAnsi="Times New Roman" w:eastAsia="Times New Roman"/>
          <w:b w:val="0"/>
          <w:i w:val="0"/>
          <w:sz w:val="26"/>
        </w:rPr>
        <w:t>- Thứ hai, phân tích kinh nghiệm quốc tế về quản lý nhà nước đối với quyền sở hữu trí tuệ trong nền kinh tế số và rút ra những bài học có thể tham khảo cho Việt Nam.</w:t>
      </w:r>
    </w:p>
    <w:p>
      <w:pPr>
        <w:ind w:left="397" w:hanging="227"/>
        <w:jc w:val="both"/>
        <w:widowControl/>
      </w:pPr>
      <w:r>
        <w:rPr>
          <w:rFonts w:ascii="Times New Roman" w:hAnsi="Times New Roman" w:eastAsia="Times New Roman"/>
          <w:b w:val="0"/>
          <w:i w:val="0"/>
          <w:sz w:val="26"/>
        </w:rPr>
        <w:t>- Thứ ba, phân tích, đánh giá thực trạng quản lý nhà nước về quyền sở hữu trí tuệ ở Việt Nam giai đoạn 2019-2025 theo bốn nội dung quản lý và các tiêu chí đánh giá; đồng thời kiểm định các mối quan hệ trong khung phân tích từ dữ liệu khảo sát doanh nghiệp.</w:t>
      </w:r>
    </w:p>
    <w:p>
      <w:pPr>
        <w:ind w:left="397" w:hanging="227"/>
        <w:jc w:val="both"/>
        <w:widowControl/>
      </w:pPr>
      <w:r>
        <w:rPr>
          <w:rFonts w:ascii="Times New Roman" w:hAnsi="Times New Roman" w:eastAsia="Times New Roman"/>
          <w:b w:val="0"/>
          <w:i w:val="0"/>
          <w:sz w:val="26"/>
        </w:rPr>
        <w:t>- Thứ tư, đề xuất quan điểm, định hướng và hệ thống giải pháp hoàn thiện quản lý nhà nước về quyền sở hữu trí tuệ trong nền kinh tế số ở Việt Nam đến năm 2035.</w:t>
      </w:r>
    </w:p>
    <w:p>
      <w:pPr>
        <w:pStyle w:val="Heading2"/>
      </w:pPr>
      <w:r>
        <w:t>5. Phạm vi nghiên cứu</w:t>
      </w:r>
    </w:p>
    <w:p>
      <w:pPr>
        <w:ind w:left="397" w:hanging="227"/>
        <w:jc w:val="both"/>
        <w:widowControl/>
      </w:pPr>
      <w:r>
        <w:rPr>
          <w:rFonts w:ascii="Times New Roman" w:hAnsi="Times New Roman" w:eastAsia="Times New Roman"/>
          <w:b w:val="0"/>
          <w:i w:val="0"/>
          <w:sz w:val="26"/>
        </w:rPr>
        <w:t>- Về nội dung: Luận án nghiên cứu bốn nội dung quản lý nhà nước chủ yếu gồm: (1) xây dựng chiến lược, chính sách và pháp luật; (2) tổ chức bộ máy và phối hợp quản lý; (3) tổ chức thực hiện và hỗ trợ xác lập, khai thác, chuyển giao, thương mại hóa quyền; (4) kiểm tra, giám sát, thực thi và xử lý vi phạm. Chuyển đổi số, nhân lực, tài chính và hạ tầng dữ liệu được xem xét như các điều kiện bảo đảm hoạt động quản lý. Luận án tập trung vào sáng chế liên quan đến công nghệ số, nhãn hiệu sử dụng trong kinh doanh số, quyền tác giả đối với phần mềm và nội dung số; bí mật kinh doanh, dữ liệu và sản phẩm có sự tham gia của trí tuệ nhân tạo được xem xét như những vấn đề mới đặt ra đối với quản lý nhà nước.</w:t>
      </w:r>
    </w:p>
    <w:p>
      <w:pPr>
        <w:ind w:left="397" w:hanging="227"/>
        <w:jc w:val="both"/>
        <w:widowControl/>
      </w:pPr>
      <w:r>
        <w:rPr>
          <w:rFonts w:ascii="Times New Roman" w:hAnsi="Times New Roman" w:eastAsia="Times New Roman"/>
          <w:b w:val="0"/>
          <w:i w:val="0"/>
          <w:sz w:val="26"/>
        </w:rPr>
        <w:t>- Về thời gian: Dữ liệu thứ cấp được sử dụng để phân tích thực trạng quản lý nhà nước trong giai đoạn 2019-2025. Dữ liệu sơ cấp được thu thập trong thời gian thực hiện luận án; kết quả đổi mới sáng tạo của doanh nghiệp được khảo sát trong ba năm gần nhất trước thời điểm điều tra. Quan điểm, định hướng và giải pháp được đề xuất đến năm 2035.</w:t>
      </w:r>
    </w:p>
    <w:p>
      <w:pPr>
        <w:ind w:left="397" w:hanging="227"/>
        <w:jc w:val="both"/>
        <w:widowControl/>
      </w:pPr>
      <w:r>
        <w:rPr>
          <w:rFonts w:ascii="Times New Roman" w:hAnsi="Times New Roman" w:eastAsia="Times New Roman"/>
          <w:b w:val="0"/>
          <w:i w:val="0"/>
          <w:sz w:val="26"/>
        </w:rPr>
        <w:t>- Về không gian: Nghiên cứu thực tiễn được thực hiện trên phạm vi Việt Nam; kinh nghiệm quốc tế được lựa chọn từ một số quốc gia và khu vực tiêu biểu có hệ thống sở hữu trí tuệ phát triển và có chính sách hỗ trợ đổi mới trong môi trường số.</w:t>
      </w:r>
    </w:p>
    <w:p>
      <w:pPr>
        <w:pStyle w:val="Heading2"/>
      </w:pPr>
      <w:r>
        <w:t>6. Cách tiếp cận và phương pháp nghiên cứu</w:t>
      </w:r>
    </w:p>
    <w:p>
      <w:pPr>
        <w:ind w:firstLine="720"/>
        <w:jc w:val="both"/>
        <w:widowControl/>
      </w:pPr>
      <w:r>
        <w:rPr>
          <w:rFonts w:ascii="Times New Roman" w:hAnsi="Times New Roman" w:eastAsia="Times New Roman"/>
          <w:b w:val="0"/>
          <w:i w:val="0"/>
          <w:sz w:val="26"/>
        </w:rPr>
        <w:t>Luận án vận dụng phương pháp luận duy vật biện chứng và duy vật lịch sử; đồng thời sử dụng cách tiếp cận thể chế, tiếp cận hệ thống và tiếp cận hệ thống đổi mới quốc gia để phân tích mối quan hệ giữa hoạt động quản lý nhà nước, hành vi của doanh nghiệp và kết quả đổi mới sáng tạo [9], [10].</w:t>
      </w:r>
    </w:p>
    <w:p>
      <w:pPr>
        <w:ind w:firstLine="0"/>
        <w:jc w:val="both"/>
        <w:widowControl/>
      </w:pPr>
      <w:r>
        <w:rPr>
          <w:rFonts w:ascii="Times New Roman" w:hAnsi="Times New Roman" w:eastAsia="Times New Roman"/>
          <w:b w:val="0"/>
          <w:i w:val="0"/>
          <w:sz w:val="26"/>
        </w:rPr>
        <w:t>Luận án sử dụng phương pháp nghiên cứu hỗn hợp, kết hợp nghiên cứu định tính và nghiên cứu định lượng. Hợp phần định tính được sử dụng để xây dựng cơ sở lý luận, phân tích thực trạng, nhận diện hạn chế và nguyên nhân, hoàn thiện thang đo và giải thích kết quả. Hợp phần định lượng được sử dụng để kiểm định các mối quan hệ trong khung phân tích.</w:t>
      </w:r>
    </w:p>
    <w:p>
      <w:pPr>
        <w:ind w:left="397" w:hanging="227"/>
        <w:jc w:val="both"/>
        <w:widowControl/>
      </w:pPr>
      <w:r>
        <w:rPr>
          <w:rFonts w:ascii="Times New Roman" w:hAnsi="Times New Roman" w:eastAsia="Times New Roman"/>
          <w:b w:val="0"/>
          <w:i w:val="0"/>
          <w:sz w:val="26"/>
        </w:rPr>
        <w:t>- Phương pháp tổng hợp và phân tích tài liệu: Được sử dụng để hệ thống hóa các nghiên cứu trong và ngoài nước, phân tích văn bản pháp luật, chiến lược, chương trình, báo cáo quản lý và dữ liệu thứ cấp liên quan đến sở hữu trí tuệ, kinh tế số và đổi mới sáng tạo.</w:t>
      </w:r>
    </w:p>
    <w:p>
      <w:pPr>
        <w:ind w:left="397" w:hanging="227"/>
        <w:jc w:val="both"/>
        <w:widowControl/>
      </w:pPr>
      <w:r>
        <w:rPr>
          <w:rFonts w:ascii="Times New Roman" w:hAnsi="Times New Roman" w:eastAsia="Times New Roman"/>
          <w:b w:val="0"/>
          <w:i w:val="0"/>
          <w:sz w:val="26"/>
        </w:rPr>
        <w:t>- Phương pháp so sánh: Được sử dụng để đối chiếu kinh nghiệm quản lý nhà nước về quyền sở hữu trí tuệ trong môi trường số của một số quốc gia và khu vực; việc so sánh tập trung vào cơ chế chính sách, tổ chức thực hiện, dịch vụ hỗ trợ, dữ liệu và thực thi quyền.</w:t>
      </w:r>
    </w:p>
    <w:p>
      <w:pPr>
        <w:ind w:left="397" w:hanging="227"/>
        <w:jc w:val="both"/>
        <w:widowControl/>
      </w:pPr>
      <w:r>
        <w:rPr>
          <w:rFonts w:ascii="Times New Roman" w:hAnsi="Times New Roman" w:eastAsia="Times New Roman"/>
          <w:b w:val="0"/>
          <w:i w:val="0"/>
          <w:sz w:val="26"/>
        </w:rPr>
        <w:t>- Phương pháp phỏng vấn sâu: Dự kiến thực hiện với khoảng 20-25 cán bộ quản lý, chuyên gia, đại diện tổ chức cung cấp dịch vụ sở hữu trí tuệ, tổ chức trung gian và doanh nghiệp. Phỏng vấn bán cấu trúc được sử dụng để làm rõ nội dung quản lý, rào cản của doanh nghiệp, tính phù hợp của thang đo và điều kiện thực hiện giải pháp.</w:t>
      </w:r>
    </w:p>
    <w:p>
      <w:pPr>
        <w:ind w:left="397" w:hanging="227"/>
        <w:jc w:val="both"/>
        <w:widowControl/>
      </w:pPr>
      <w:r>
        <w:rPr>
          <w:rFonts w:ascii="Times New Roman" w:hAnsi="Times New Roman" w:eastAsia="Times New Roman"/>
          <w:b w:val="0"/>
          <w:i w:val="0"/>
          <w:sz w:val="26"/>
        </w:rPr>
        <w:t>- Phương pháp khảo sát doanh nghiệp: Dự kiến thu thập khoảng 300-350 phiếu hợp lệ từ các doanh nghiệp thuộc những ngành có mức độ số hóa và sử dụng tài sản trí tuệ tương đối cao. Bảng hỏi sử dụng thang Likert 5 mức; các chỉ báo về kết quả đổi mới được xây dựng có tham khảo Oslo Manual 2018 [11].</w:t>
      </w:r>
    </w:p>
    <w:p>
      <w:pPr>
        <w:ind w:left="397" w:hanging="227"/>
        <w:jc w:val="both"/>
        <w:widowControl/>
      </w:pPr>
      <w:r>
        <w:rPr>
          <w:rFonts w:ascii="Times New Roman" w:hAnsi="Times New Roman" w:eastAsia="Times New Roman"/>
          <w:b w:val="0"/>
          <w:i w:val="0"/>
          <w:sz w:val="26"/>
        </w:rPr>
        <w:t>- Phương pháp phân tích định lượng: Dữ liệu được xử lý bằng thống kê mô tả, kiểm định độ tin cậy của thang đo, phân tích nhân tố khám phá, phân tích tương quan và hồi quy đa biến [12]. Vai trò trung gian của mức độ tiếp cận và sử dụng hệ thống sở hữu trí tuệ được kiểm định bằng bootstrap [13]. Các yếu tố kiểm soát dự kiến gồm quy mô, tuổi doanh nghiệp, ngành, hình thức sở hữu, hoạt động nghiên cứu và phát triển, mức độ số hóa, xuất khẩu và tình trạng sở hữu quyền sở hữu trí tuệ.</w:t>
      </w:r>
    </w:p>
    <w:p>
      <w:pPr>
        <w:ind w:left="397" w:hanging="227"/>
        <w:jc w:val="both"/>
        <w:widowControl/>
      </w:pPr>
      <w:r>
        <w:rPr>
          <w:rFonts w:ascii="Times New Roman" w:hAnsi="Times New Roman" w:eastAsia="Times New Roman"/>
          <w:b w:val="0"/>
          <w:i w:val="0"/>
          <w:sz w:val="26"/>
        </w:rPr>
        <w:t>- Phương pháp tổng hợp và đối chiếu kết quả: Kết quả định tính, định lượng và dữ liệu thứ cấp được đối chiếu để đánh giá thực trạng, giải thích cơ chế tác động và xây dựng giải pháp. Do dữ liệu khảo sát chủ yếu là dữ liệu cắt ngang, kết quả được diễn giải thận trọng như bằng chứng về mối quan hệ phù hợp với cơ chế lý thuyết, không đồng nhất với bằng chứng nhân quả tuyệt đối.</w:t>
      </w:r>
    </w:p>
    <w:p>
      <w:pPr>
        <w:pStyle w:val="Heading2"/>
      </w:pPr>
      <w:r>
        <w:t>7. Câu hỏi và giả thuyết nghiên cứu</w:t>
      </w:r>
    </w:p>
    <w:p>
      <w:pPr>
        <w:ind w:firstLine="0"/>
        <w:jc w:val="both"/>
        <w:widowControl/>
      </w:pPr>
      <w:r>
        <w:rPr>
          <w:rFonts w:ascii="Times New Roman" w:hAnsi="Times New Roman" w:eastAsia="Times New Roman"/>
          <w:b w:val="0"/>
          <w:i w:val="0"/>
          <w:sz w:val="26"/>
        </w:rPr>
        <w:t>Để thực hiện mục tiêu nghiên cứu, luận án tập trung giải quyết bốn câu hỏi sau:</w:t>
      </w:r>
    </w:p>
    <w:p>
      <w:pPr>
        <w:ind w:left="397" w:hanging="227"/>
        <w:jc w:val="both"/>
        <w:widowControl/>
      </w:pPr>
      <w:r>
        <w:rPr>
          <w:rFonts w:ascii="Times New Roman" w:hAnsi="Times New Roman" w:eastAsia="Times New Roman"/>
          <w:b w:val="0"/>
          <w:i w:val="0"/>
          <w:sz w:val="26"/>
        </w:rPr>
        <w:t>- Câu hỏi 1: Quản lý nhà nước về quyền sở hữu trí tuệ trong nền kinh tế số gồm những nội dung nào và được đánh giá theo những tiêu chí nào?</w:t>
      </w:r>
    </w:p>
    <w:p>
      <w:pPr>
        <w:ind w:left="397" w:hanging="227"/>
        <w:jc w:val="both"/>
        <w:widowControl/>
      </w:pPr>
      <w:r>
        <w:rPr>
          <w:rFonts w:ascii="Times New Roman" w:hAnsi="Times New Roman" w:eastAsia="Times New Roman"/>
          <w:b w:val="0"/>
          <w:i w:val="0"/>
          <w:sz w:val="26"/>
        </w:rPr>
        <w:t>- Câu hỏi 2: Thực trạng quản lý nhà nước về quyền sở hữu trí tuệ trong nền kinh tế số ở Việt Nam giai đoạn 2019-2025 như thế nào; những kết quả, hạn chế và nguyên nhân chủ yếu là gì?</w:t>
      </w:r>
    </w:p>
    <w:p>
      <w:pPr>
        <w:ind w:left="397" w:hanging="227"/>
        <w:jc w:val="both"/>
        <w:widowControl/>
      </w:pPr>
      <w:r>
        <w:rPr>
          <w:rFonts w:ascii="Times New Roman" w:hAnsi="Times New Roman" w:eastAsia="Times New Roman"/>
          <w:b w:val="0"/>
          <w:i w:val="0"/>
          <w:sz w:val="26"/>
        </w:rPr>
        <w:t>- Câu hỏi 3: Chất lượng quản lý nhà nước về quyền sở hữu trí tuệ theo đánh giá của doanh nghiệp tác động như thế nào đến mức độ tiếp cận và sử dụng hệ thống sở hữu trí tuệ và kết quả đổi mới sáng tạo; mức độ tiếp cận và sử dụng có đóng vai trò trung gian hay không?</w:t>
      </w:r>
    </w:p>
    <w:p>
      <w:pPr>
        <w:ind w:left="397" w:hanging="227"/>
        <w:jc w:val="both"/>
        <w:widowControl/>
      </w:pPr>
      <w:r>
        <w:rPr>
          <w:rFonts w:ascii="Times New Roman" w:hAnsi="Times New Roman" w:eastAsia="Times New Roman"/>
          <w:b w:val="0"/>
          <w:i w:val="0"/>
          <w:sz w:val="26"/>
        </w:rPr>
        <w:t>- Câu hỏi 4: Cần thực hiện những giải pháp nào để hoàn thiện quản lý nhà nước về quyền sở hữu trí tuệ trong nền kinh tế số ở Việt Nam đến năm 2035?</w:t>
      </w:r>
    </w:p>
    <w:p>
      <w:r>
        <w:rPr>
          <w:b/>
          <w:i w:val="0"/>
        </w:rPr>
        <w:t>Các giả thuyết nghiên cứu được đề xuất như sau:</w:t>
      </w:r>
    </w:p>
    <w:p>
      <w:r>
        <w:rPr>
          <w:b w:val="0"/>
          <w:i w:val="0"/>
        </w:rPr>
        <w:t>H1: Chất lượng quản lý nhà nước về quyền sở hữu trí tuệ có ảnh hưởng tích cực đến mức độ doanh nghiệp tiếp cận và sử dụng hệ thống sở hữu trí tuệ.</w:t>
      </w:r>
    </w:p>
    <w:p>
      <w:r>
        <w:rPr>
          <w:b w:val="0"/>
          <w:i w:val="0"/>
        </w:rPr>
        <w:t>H2: Mức độ doanh nghiệp tiếp cận và sử dụng hệ thống sở hữu trí tuệ có ảnh hưởng tích cực đến kết quả đổi mới sáng tạo của doanh nghiệp.</w:t>
      </w:r>
    </w:p>
    <w:p>
      <w:r>
        <w:rPr>
          <w:b w:val="0"/>
          <w:i w:val="0"/>
        </w:rPr>
        <w:t>H3: Chất lượng quản lý nhà nước về quyền sở hữu trí tuệ có ảnh hưởng trực tiếp tích cực đến kết quả đổi mới sáng tạo của doanh nghiệp.</w:t>
      </w:r>
    </w:p>
    <w:p>
      <w:r>
        <w:rPr>
          <w:b w:val="0"/>
          <w:i w:val="0"/>
        </w:rPr>
        <w:t>H4: Mức độ doanh nghiệp tiếp cận và sử dụng hệ thống sở hữu trí tuệ đóng vai trò trung gian trong mối quan hệ giữa chất lượng quản lý nhà nước về quyền sở hữu trí tuệ và kết quả đổi mới sáng tạo của doanh nghiệp.</w:t>
      </w:r>
    </w:p>
    <w:p>
      <w:pPr>
        <w:pStyle w:val="Heading2"/>
      </w:pPr>
      <w:r>
        <w:t>8. Những đóng góp mới về lý luận và thực tiễn</w:t>
      </w:r>
    </w:p>
    <w:p>
      <w:r>
        <w:rPr>
          <w:b/>
          <w:i w:val="0"/>
        </w:rPr>
        <w:t>Về lý luận:</w:t>
      </w:r>
    </w:p>
    <w:p>
      <w:pPr>
        <w:ind w:firstLine="720"/>
        <w:jc w:val="both"/>
        <w:widowControl/>
      </w:pPr>
      <w:r>
        <w:rPr>
          <w:rFonts w:ascii="Times New Roman" w:hAnsi="Times New Roman" w:eastAsia="Times New Roman"/>
          <w:b w:val="0"/>
          <w:i w:val="0"/>
          <w:sz w:val="26"/>
        </w:rPr>
        <w:t>Thứ nhất, luận án dự kiến cụ thể hóa hệ thống tiêu chí đánh giá quản lý nhà nước về quyền sở hữu trí tuệ trong điều kiện kinh tế số, trong đó nhấn mạnh khả năng thích ứng của chính sách, tính minh bạch, chất lượng dịch vụ và khả năng hỗ trợ doanh nghiệp tiếp cận, sử dụng hệ thống sở hữu trí tuệ.</w:t>
      </w:r>
    </w:p>
    <w:p>
      <w:pPr>
        <w:ind w:firstLine="720"/>
        <w:jc w:val="both"/>
        <w:widowControl/>
      </w:pPr>
      <w:r>
        <w:rPr>
          <w:rFonts w:ascii="Times New Roman" w:hAnsi="Times New Roman" w:eastAsia="Times New Roman"/>
          <w:b w:val="0"/>
          <w:i w:val="0"/>
          <w:sz w:val="26"/>
        </w:rPr>
        <w:t>Thứ hai, luận án dự kiến xây dựng và kiểm định khung phân tích về mối quan hệ giữa chất lượng quản lý nhà nước theo đánh giá của doanh nghiệp, mức độ doanh nghiệp tiếp cận và sử dụng hệ thống sở hữu trí tuệ và kết quả đổi mới sáng tạo; đồng thời làm rõ vai trò trung gian của mức độ tiếp cận và sử dụng.</w:t>
      </w:r>
    </w:p>
    <w:p>
      <w:r>
        <w:rPr>
          <w:b/>
          <w:i w:val="0"/>
        </w:rPr>
        <w:t>Về thực tiễn:</w:t>
      </w:r>
    </w:p>
    <w:p>
      <w:pPr>
        <w:ind w:firstLine="720"/>
        <w:jc w:val="both"/>
        <w:widowControl/>
      </w:pPr>
      <w:r>
        <w:rPr>
          <w:rFonts w:ascii="Times New Roman" w:hAnsi="Times New Roman" w:eastAsia="Times New Roman"/>
          <w:b w:val="0"/>
          <w:i w:val="0"/>
          <w:sz w:val="26"/>
        </w:rPr>
        <w:t>Thứ ba, luận án dự kiến xác định những nội dung quản lý có liên hệ đáng kể với hành vi sử dụng hệ thống sở hữu trí tuệ và kết quả đổi mới của doanh nghiệp, qua đó cung cấp căn cứ cho việc lựa chọn thứ tự ưu tiên giải pháp đến năm 2035.</w:t>
      </w:r>
    </w:p>
    <w:p>
      <w:pPr>
        <w:pStyle w:val="Heading2"/>
      </w:pPr>
      <w:r>
        <w:t>9. Cấu trúc luận án</w:t>
      </w:r>
    </w:p>
    <w:p>
      <w:r>
        <w:rPr>
          <w:b w:val="0"/>
          <w:i w:val="0"/>
        </w:rPr>
        <w:t>Ngoài phần mở đầu, kết luận, mục lục, danh mục bảng biểu, danh mục chữ viết tắt, tài liệu tham khảo và phụ lục, luận án được kết cấu thành 4 chương với các mục, tiểu mục như sau:</w:t>
      </w:r>
    </w:p>
    <w:p>
      <w:pPr>
        <w:pStyle w:val="Heading1"/>
      </w:pPr>
      <w:r>
        <w:t>CHƯƠNG 1. TỔNG QUAN TÌNH HÌNH NGHIÊN CỨU VÀ CÁC VẤN ĐỀ ĐẶT RA CẦN NGHIÊN CỨU CỦA ĐỀ TÀI LUẬN ÁN</w:t>
      </w:r>
    </w:p>
    <w:p>
      <w:pPr>
        <w:pStyle w:val="Heading2"/>
      </w:pPr>
      <w:r>
        <w:t>1.1. Tổng quan tình hình nghiên cứu liên quan đến đề tài luận án</w:t>
      </w:r>
    </w:p>
    <w:p>
      <w:pPr>
        <w:pStyle w:val="Heading3"/>
      </w:pPr>
      <w:r>
        <w:t>1.1.1. Tình hình nghiên cứu về quản lý nhà nước đối với quyền sở hữu trí tuệ trong nền kinh tế số liên quan đến đề tài luận án</w:t>
      </w:r>
    </w:p>
    <w:p>
      <w:pPr>
        <w:pStyle w:val="Heading3"/>
      </w:pPr>
      <w:r>
        <w:t>1.1.2. Tình hình nghiên cứu về mức độ doanh nghiệp tiếp cận và sử dụng hệ thống sở hữu trí tuệ liên quan đến đề tài luận án</w:t>
      </w:r>
    </w:p>
    <w:p>
      <w:pPr>
        <w:pStyle w:val="Heading3"/>
      </w:pPr>
      <w:r>
        <w:t>1.1.3. Tình hình nghiên cứu về mối quan hệ giữa quản lý nhà nước về quyền sở hữu trí tuệ, việc sử dụng hệ thống sở hữu trí tuệ và đổi mới sáng tạo của doanh nghiệp</w:t>
      </w:r>
    </w:p>
    <w:p>
      <w:pPr>
        <w:pStyle w:val="Heading2"/>
      </w:pPr>
      <w:r>
        <w:t>1.2. Nhận xét tình hình nghiên cứu liên quan đến đề tài luận án</w:t>
      </w:r>
    </w:p>
    <w:p>
      <w:pPr>
        <w:pStyle w:val="Heading3"/>
      </w:pPr>
      <w:r>
        <w:t>1.2.1. Nhận xét tổng quát</w:t>
      </w:r>
    </w:p>
    <w:p>
      <w:pPr>
        <w:pStyle w:val="Heading3"/>
      </w:pPr>
      <w:r>
        <w:t>1.2.2. Những vấn đề đã đạt được sự thống nhất trong nghiên cứu liên quan đến đề tài luận án</w:t>
      </w:r>
    </w:p>
    <w:p>
      <w:pPr>
        <w:pStyle w:val="Heading3"/>
      </w:pPr>
      <w:r>
        <w:t>1.2.3. Những vấn đề còn tranh luận, chưa rõ hoặc chưa được triển khai nghiên cứu liên quan đến đề tài luận án</w:t>
      </w:r>
    </w:p>
    <w:p>
      <w:pPr>
        <w:pStyle w:val="Heading2"/>
      </w:pPr>
      <w:r>
        <w:t>1.3. Những vấn đề đặt ra cần tiếp tục nghiên cứu về đề tài luận án</w:t>
      </w:r>
    </w:p>
    <w:p>
      <w:pPr>
        <w:pStyle w:val="Heading3"/>
      </w:pPr>
      <w:r>
        <w:t>1.3.1. Những vấn đề về lý luận</w:t>
      </w:r>
    </w:p>
    <w:p>
      <w:pPr>
        <w:pStyle w:val="Heading3"/>
      </w:pPr>
      <w:r>
        <w:t>1.3.2. Những vấn đề về thực trạng</w:t>
      </w:r>
    </w:p>
    <w:p>
      <w:pPr>
        <w:pStyle w:val="Heading3"/>
      </w:pPr>
      <w:r>
        <w:t>1.3.3. Những vấn đề về giải pháp</w:t>
      </w:r>
    </w:p>
    <w:p>
      <w:pPr>
        <w:pStyle w:val="Heading2"/>
      </w:pPr>
      <w:r>
        <w:t>Kết luận chương 1</w:t>
      </w:r>
    </w:p>
    <w:p>
      <w:pPr>
        <w:pStyle w:val="Heading1"/>
      </w:pPr>
      <w:r>
        <w:t>CHƯƠNG 2. CƠ SỞ LÝ LUẬN CỦA QUẢN LÝ NHÀ NƯỚC VỀ QUYỀN SỞ HỮU TRÍ TUỆ TRONG NỀN KINH TẾ SỐ</w:t>
      </w:r>
    </w:p>
    <w:p>
      <w:pPr>
        <w:pStyle w:val="Heading2"/>
      </w:pPr>
      <w:r>
        <w:t>2.1. Các khái niệm</w:t>
      </w:r>
    </w:p>
    <w:p>
      <w:pPr>
        <w:pStyle w:val="Heading3"/>
      </w:pPr>
      <w:r>
        <w:t>2.1.1. Quyền sở hữu trí tuệ và hệ thống sở hữu trí tuệ</w:t>
      </w:r>
    </w:p>
    <w:p>
      <w:pPr>
        <w:pStyle w:val="Heading3"/>
      </w:pPr>
      <w:r>
        <w:t>2.1.2. Kinh tế số</w:t>
      </w:r>
    </w:p>
    <w:p>
      <w:pPr>
        <w:pStyle w:val="Heading3"/>
      </w:pPr>
      <w:r>
        <w:t>2.1.3. Quản lý nhà nước về quyền sở hữu trí tuệ trong nền kinh tế số</w:t>
      </w:r>
    </w:p>
    <w:p>
      <w:pPr>
        <w:pStyle w:val="Heading3"/>
      </w:pPr>
      <w:r>
        <w:t>2.1.4. Mức độ tiếp cận và sử dụng hệ thống sở hữu trí tuệ của doanh nghiệp</w:t>
      </w:r>
    </w:p>
    <w:p>
      <w:pPr>
        <w:pStyle w:val="Heading3"/>
      </w:pPr>
      <w:r>
        <w:t>2.1.5. Kết quả đổi mới sáng tạo của doanh nghiệp</w:t>
      </w:r>
    </w:p>
    <w:p>
      <w:pPr>
        <w:pStyle w:val="Heading2"/>
      </w:pPr>
      <w:r>
        <w:t>2.2. Vai trò của quản lý nhà nước về quyền sở hữu trí tuệ trong nền kinh tế số</w:t>
      </w:r>
    </w:p>
    <w:p>
      <w:pPr>
        <w:pStyle w:val="Heading3"/>
      </w:pPr>
      <w:r>
        <w:t>2.2.1. Vai trò tạo lập và bảo đảm môi trường thể chế cho hoạt động sáng tạo</w:t>
      </w:r>
    </w:p>
    <w:p>
      <w:pPr>
        <w:pStyle w:val="Heading3"/>
      </w:pPr>
      <w:r>
        <w:t>2.2.2. Vai trò hỗ trợ doanh nghiệp tiếp cận, sử dụng và khai thác hệ thống sở hữu trí tuệ</w:t>
      </w:r>
    </w:p>
    <w:p>
      <w:pPr>
        <w:pStyle w:val="Heading3"/>
      </w:pPr>
      <w:r>
        <w:t>2.2.3. Vai trò cân bằng giữa bảo hộ quyền, tiếp cận tri thức và lợi ích công cộng</w:t>
      </w:r>
    </w:p>
    <w:p>
      <w:pPr>
        <w:pStyle w:val="Heading2"/>
      </w:pPr>
      <w:r>
        <w:t>2.3. Đặc điểm của quản lý nhà nước về quyền sở hữu trí tuệ trong nền kinh tế số</w:t>
      </w:r>
    </w:p>
    <w:p>
      <w:pPr>
        <w:pStyle w:val="Heading3"/>
      </w:pPr>
      <w:r>
        <w:t>2.3.1. Đặc điểm về chủ thể, đối tượng và phạm vi quản lý</w:t>
      </w:r>
    </w:p>
    <w:p>
      <w:pPr>
        <w:pStyle w:val="Heading3"/>
      </w:pPr>
      <w:r>
        <w:t>2.3.2. Đặc điểm về công cụ, phương thức và môi trường quản lý số</w:t>
      </w:r>
    </w:p>
    <w:p>
      <w:pPr>
        <w:pStyle w:val="Heading3"/>
      </w:pPr>
      <w:r>
        <w:t>2.3.3. Đặc điểm về tính liên ngành, xuyên biên giới và khả năng thích ứng</w:t>
      </w:r>
    </w:p>
    <w:p>
      <w:pPr>
        <w:pStyle w:val="Heading2"/>
      </w:pPr>
      <w:r>
        <w:t>2.4. Quy trình, nội dung quản lý nhà nước về quyền sở hữu trí tuệ trong nền kinh tế số</w:t>
      </w:r>
    </w:p>
    <w:p>
      <w:pPr>
        <w:pStyle w:val="Heading3"/>
      </w:pPr>
      <w:r>
        <w:t>2.4.1. Xây dựng chiến lược, chính sách và pháp luật</w:t>
      </w:r>
    </w:p>
    <w:p>
      <w:pPr>
        <w:pStyle w:val="Heading3"/>
      </w:pPr>
      <w:r>
        <w:t>2.4.2. Tổ chức bộ máy và phối hợp quản lý</w:t>
      </w:r>
    </w:p>
    <w:p>
      <w:pPr>
        <w:pStyle w:val="Heading3"/>
      </w:pPr>
      <w:r>
        <w:t>2.4.3. Tổ chức thực hiện và hỗ trợ xác lập, khai thác, chuyển giao, thương mại hóa quyền sở hữu trí tuệ</w:t>
      </w:r>
    </w:p>
    <w:p>
      <w:pPr>
        <w:pStyle w:val="Heading3"/>
      </w:pPr>
      <w:r>
        <w:t>2.4.4. Kiểm tra, giám sát, thực thi và xử lý vi phạm quyền sở hữu trí tuệ</w:t>
      </w:r>
    </w:p>
    <w:p>
      <w:pPr>
        <w:pStyle w:val="Heading2"/>
      </w:pPr>
      <w:r>
        <w:t>2.5. Các yếu tố ảnh hưởng đến quản lý nhà nước về quyền sở hữu trí tuệ và mối quan hệ giữa chúng</w:t>
      </w:r>
    </w:p>
    <w:p>
      <w:pPr>
        <w:pStyle w:val="Heading3"/>
      </w:pPr>
      <w:r>
        <w:t>2.5.1. Các yếu tố thuộc môi trường thể chế, kinh tế, công nghệ và hội nhập quốc tế</w:t>
      </w:r>
    </w:p>
    <w:p>
      <w:pPr>
        <w:pStyle w:val="Heading3"/>
      </w:pPr>
      <w:r>
        <w:t>2.5.2. Các yếu tố thuộc tổ chức bộ máy, nguồn nhân lực, tài chính, dữ liệu và hạ tầng số</w:t>
      </w:r>
    </w:p>
    <w:p>
      <w:pPr>
        <w:pStyle w:val="Heading3"/>
      </w:pPr>
      <w:r>
        <w:t>2.5.3. Mối quan hệ giữa chất lượng quản lý nhà nước và mức độ doanh nghiệp tiếp cận, sử dụng hệ thống sở hữu trí tuệ</w:t>
      </w:r>
    </w:p>
    <w:p>
      <w:pPr>
        <w:pStyle w:val="Heading3"/>
      </w:pPr>
      <w:r>
        <w:t>2.5.4. Mối quan hệ giữa mức độ tiếp cận, sử dụng hệ thống sở hữu trí tuệ và kết quả đổi mới sáng tạo của doanh nghiệp</w:t>
      </w:r>
    </w:p>
    <w:p>
      <w:pPr>
        <w:pStyle w:val="Heading3"/>
      </w:pPr>
      <w:r>
        <w:t>2.5.5. Khung phân tích, mô hình và các giả thuyết nghiên cứu</w:t>
      </w:r>
    </w:p>
    <w:p>
      <w:pPr>
        <w:pStyle w:val="Heading2"/>
      </w:pPr>
      <w:r>
        <w:t>2.6. Một số bài học kinh nghiệm trong và ngoài nước về quản lý nhà nước đối với quyền sở hữu trí tuệ trong nền kinh tế số</w:t>
      </w:r>
    </w:p>
    <w:p>
      <w:pPr>
        <w:pStyle w:val="Heading3"/>
      </w:pPr>
      <w:r>
        <w:t>2.6.1. Bài học kinh nghiệm của một số quốc gia và khu vực</w:t>
      </w:r>
    </w:p>
    <w:p>
      <w:pPr>
        <w:pStyle w:val="Heading3"/>
      </w:pPr>
      <w:r>
        <w:t>2.6.2. Bài học từ thực tiễn quản lý tại một số địa phương trong nước</w:t>
      </w:r>
    </w:p>
    <w:p>
      <w:pPr>
        <w:pStyle w:val="Heading2"/>
      </w:pPr>
      <w:r>
        <w:t>Kết luận chương 2</w:t>
      </w:r>
    </w:p>
    <w:p>
      <w:pPr>
        <w:pStyle w:val="Heading1"/>
      </w:pPr>
      <w:r>
        <w:t>CHƯƠNG 3. THỰC TRẠNG QUẢN LÝ NHÀ NƯỚC VỀ QUYỀN SỞ HỮU TRÍ TUỆ TRONG NỀN KINH TẾ SỐ Ở VIỆT NAM</w:t>
      </w:r>
    </w:p>
    <w:p>
      <w:pPr>
        <w:pStyle w:val="Heading2"/>
      </w:pPr>
      <w:r>
        <w:t>3.1. Tổng quan về nền kinh tế số và hệ thống sở hữu trí tuệ ở Việt Nam</w:t>
      </w:r>
    </w:p>
    <w:p>
      <w:pPr>
        <w:pStyle w:val="Heading3"/>
      </w:pPr>
      <w:r>
        <w:t>3.1.1. Khái quát bối cảnh phát triển kinh tế số và đổi mới sáng tạo ở Việt Nam</w:t>
      </w:r>
    </w:p>
    <w:p>
      <w:pPr>
        <w:pStyle w:val="Heading3"/>
      </w:pPr>
      <w:r>
        <w:t>3.1.2. Khái quát những đặc điểm của hệ thống sở hữu trí tuệ liên quan đến quản lý kinh tế</w:t>
      </w:r>
    </w:p>
    <w:p>
      <w:pPr>
        <w:pStyle w:val="Heading2"/>
      </w:pPr>
      <w:r>
        <w:t>3.2. Thực trạng về vấn đề nghiên cứu ở Việt Nam</w:t>
      </w:r>
    </w:p>
    <w:p>
      <w:pPr>
        <w:pStyle w:val="Heading3"/>
      </w:pPr>
      <w:r>
        <w:t>3.2.1. Thực trạng phát triển và khai thác tài sản trí tuệ trong nền kinh tế số</w:t>
      </w:r>
    </w:p>
    <w:p>
      <w:pPr>
        <w:pStyle w:val="Heading3"/>
      </w:pPr>
      <w:r>
        <w:t>3.2.2. Thực trạng doanh nghiệp tiếp cận, sử dụng hệ thống sở hữu trí tuệ và thực hiện đổi mới sáng tạo</w:t>
      </w:r>
    </w:p>
    <w:p>
      <w:pPr>
        <w:pStyle w:val="Heading3"/>
      </w:pPr>
      <w:r>
        <w:t>3.2.3. Thực trạng quản lý nhà nước về quyền sở hữu trí tuệ trong nền kinh tế số</w:t>
      </w:r>
    </w:p>
    <w:p>
      <w:pPr>
        <w:pStyle w:val="Heading4"/>
      </w:pPr>
      <w:r>
        <w:t>3.2.3.1. Thực trạng xây dựng chiến lược, chính sách và pháp luật</w:t>
      </w:r>
    </w:p>
    <w:p>
      <w:pPr>
        <w:pStyle w:val="Heading4"/>
      </w:pPr>
      <w:r>
        <w:t>3.2.3.2. Thực trạng tổ chức bộ máy và phối hợp quản lý</w:t>
      </w:r>
    </w:p>
    <w:p>
      <w:pPr>
        <w:pStyle w:val="Heading4"/>
      </w:pPr>
      <w:r>
        <w:t>3.2.3.3. Thực trạng tổ chức thực hiện và hỗ trợ xác lập, khai thác, chuyển giao, thương mại hóa quyền</w:t>
      </w:r>
    </w:p>
    <w:p>
      <w:pPr>
        <w:pStyle w:val="Heading4"/>
      </w:pPr>
      <w:r>
        <w:t>3.2.3.4. Thực trạng kiểm tra, giám sát, thực thi và xử lý vi phạm</w:t>
      </w:r>
    </w:p>
    <w:p>
      <w:pPr>
        <w:pStyle w:val="Heading3"/>
      </w:pPr>
      <w:r>
        <w:t>3.2.4. Kết quả nghiên cứu thực nghiệm về các mối quan hệ trong mô hình nghiên cứu</w:t>
      </w:r>
    </w:p>
    <w:p>
      <w:pPr>
        <w:pStyle w:val="Heading4"/>
      </w:pPr>
      <w:r>
        <w:t>3.2.4.1. Mô tả mẫu, đánh giá thang đo và phân tích nhân tố</w:t>
      </w:r>
    </w:p>
    <w:p>
      <w:pPr>
        <w:pStyle w:val="Heading4"/>
      </w:pPr>
      <w:r>
        <w:t>3.2.4.2. Kết quả kiểm định các tác động trực tiếp</w:t>
      </w:r>
    </w:p>
    <w:p>
      <w:pPr>
        <w:pStyle w:val="Heading4"/>
      </w:pPr>
      <w:r>
        <w:t>3.2.4.3. Kết quả kiểm định vai trò trung gian và thảo luận kết quả</w:t>
      </w:r>
    </w:p>
    <w:p>
      <w:pPr>
        <w:pStyle w:val="Heading2"/>
      </w:pPr>
      <w:r>
        <w:t>3.3. Đánh giá thành công, hạn chế và nguyên nhân</w:t>
      </w:r>
    </w:p>
    <w:p>
      <w:pPr>
        <w:pStyle w:val="Heading3"/>
      </w:pPr>
      <w:r>
        <w:t>3.3.1. Thành công</w:t>
      </w:r>
    </w:p>
    <w:p>
      <w:pPr>
        <w:pStyle w:val="Heading3"/>
      </w:pPr>
      <w:r>
        <w:t>3.3.2. Hạn chế</w:t>
      </w:r>
    </w:p>
    <w:p>
      <w:pPr>
        <w:pStyle w:val="Heading3"/>
      </w:pPr>
      <w:r>
        <w:t>3.3.3. Nguyên nhân và các yêu cầu đặt ra</w:t>
      </w:r>
    </w:p>
    <w:p>
      <w:pPr>
        <w:pStyle w:val="Heading2"/>
      </w:pPr>
      <w:r>
        <w:t>Kết luận chương 3</w:t>
      </w:r>
    </w:p>
    <w:p>
      <w:pPr>
        <w:pStyle w:val="Heading1"/>
      </w:pPr>
      <w:r>
        <w:t>CHƯƠNG 4. ĐỊNH HƯỚNG VÀ ĐỀ XUẤT GIẢI PHÁP HOÀN THIỆN QUẢN LÝ NHÀ NƯỚC VỀ QUYỀN SỞ HỮU TRÍ TUỆ TRONG NỀN KINH TẾ SỐ Ở VIỆT NAM</w:t>
      </w:r>
    </w:p>
    <w:p>
      <w:pPr>
        <w:pStyle w:val="Heading2"/>
      </w:pPr>
      <w:r>
        <w:t>4.1. Các định hướng</w:t>
      </w:r>
    </w:p>
    <w:p>
      <w:pPr>
        <w:pStyle w:val="Heading3"/>
      </w:pPr>
      <w:r>
        <w:t>4.1.1. Định hướng chính trị - pháp lý</w:t>
      </w:r>
    </w:p>
    <w:p>
      <w:pPr>
        <w:pStyle w:val="Heading3"/>
      </w:pPr>
      <w:r>
        <w:t>4.1.2. Định hướng khoa học</w:t>
      </w:r>
    </w:p>
    <w:p>
      <w:pPr>
        <w:pStyle w:val="Heading3"/>
      </w:pPr>
      <w:r>
        <w:t>4.1.3. Định hướng thực tiễn</w:t>
      </w:r>
    </w:p>
    <w:p>
      <w:pPr>
        <w:pStyle w:val="Heading2"/>
      </w:pPr>
      <w:r>
        <w:t>4.2. Đề xuất một số giải pháp hoàn thiện quản lý nhà nước về quyền sở hữu trí tuệ trong nền kinh tế số ở Việt Nam</w:t>
      </w:r>
    </w:p>
    <w:p>
      <w:pPr>
        <w:pStyle w:val="Heading3"/>
      </w:pPr>
      <w:r>
        <w:t>4.2.1. Nhóm giải pháp về thể chế, chính sách</w:t>
      </w:r>
    </w:p>
    <w:p>
      <w:pPr>
        <w:pStyle w:val="Heading3"/>
      </w:pPr>
      <w:r>
        <w:t>4.2.2. Nhóm giải pháp về tổ chức, quản lý</w:t>
      </w:r>
    </w:p>
    <w:p>
      <w:pPr>
        <w:pStyle w:val="Heading3"/>
      </w:pPr>
      <w:r>
        <w:t>4.2.3. Nhóm giải pháp về nâng cao năng lực</w:t>
      </w:r>
    </w:p>
    <w:p>
      <w:pPr>
        <w:pStyle w:val="Heading3"/>
      </w:pPr>
      <w:r>
        <w:t>4.2.4. Nhóm giải pháp về điều kiện vật chất, tài chính, dữ liệu và hạ tầng số</w:t>
      </w:r>
    </w:p>
    <w:p>
      <w:pPr>
        <w:pStyle w:val="Heading2"/>
      </w:pPr>
      <w:r>
        <w:t>Kết luận chương 4</w:t>
      </w:r>
    </w:p>
    <w:p>
      <w:pPr>
        <w:pStyle w:val="Heading1"/>
      </w:pPr>
      <w:r>
        <w:t>KẾT LUẬN</w:t>
      </w:r>
    </w:p>
    <w:p>
      <w:pPr>
        <w:pStyle w:val="Heading1"/>
      </w:pPr>
      <w:r>
        <w:t>TÀI LIỆU THAM KHẢO</w:t>
      </w:r>
    </w:p>
    <w:p>
      <w:pPr>
        <w:pStyle w:val="IEEEReference"/>
        <w:widowControl/>
      </w:pPr>
      <w:r>
        <w:rPr>
          <w:rFonts w:ascii="Times New Roman" w:hAnsi="Times New Roman" w:eastAsia="Times New Roman"/>
          <w:b w:val="0"/>
          <w:i w:val="0"/>
          <w:sz w:val="24"/>
        </w:rPr>
        <w:t>[1] K. J. Arrow, “Economic welfare and the allocation of resources for invention,” in The Rate and Direction of Inventive Activity: Economic and Social Factors, R. R. Nelson, Ed. Princeton, NJ, USA: Princeton University Press, 1962, pp. 609-626.</w:t>
      </w:r>
    </w:p>
    <w:p>
      <w:pPr>
        <w:pStyle w:val="IEEEReference"/>
        <w:widowControl/>
      </w:pPr>
      <w:r>
        <w:rPr>
          <w:rFonts w:ascii="Times New Roman" w:hAnsi="Times New Roman" w:eastAsia="Times New Roman"/>
          <w:b w:val="0"/>
          <w:i w:val="0"/>
          <w:sz w:val="24"/>
        </w:rPr>
        <w:t>[2] A. Cuntz, C. Fink, and H. Stamm, Artificial Intelligence and Intellectual Property: An Economic Perspective, WIPO Economic Research Working Paper No. 77. Geneva, Switzerland: World Intellectual Property Organization, 2024.</w:t>
      </w:r>
    </w:p>
    <w:p>
      <w:pPr>
        <w:pStyle w:val="IEEEReference"/>
        <w:widowControl/>
      </w:pPr>
      <w:r>
        <w:rPr>
          <w:rFonts w:ascii="Times New Roman" w:hAnsi="Times New Roman" w:eastAsia="Times New Roman"/>
          <w:b w:val="0"/>
          <w:i w:val="0"/>
          <w:sz w:val="24"/>
        </w:rPr>
        <w:t>[3] A. Cuntz, F. Mueller-Langer, A. Muscarnera, P. C. Oguguo, and M. Scheufen, Access to Science and Innovation in the Developing World, WIPO Economic Research Working Paper No. 78. Geneva, Switzerland: World Intellectual Property Organization, 2024.</w:t>
      </w:r>
    </w:p>
    <w:p>
      <w:pPr>
        <w:pStyle w:val="IEEEReference"/>
        <w:widowControl/>
      </w:pPr>
      <w:r>
        <w:t>[4] Quốc hội, Luật số 07/2022/QH15 ngày 16 tháng 6 năm 2022 sửa đổi, bổ sung một số điều của Luật Sở hữu trí tuệ. Hà Nội, Việt Nam, 2022.</w:t>
      </w:r>
    </w:p>
    <w:p>
      <w:pPr>
        <w:pStyle w:val="IEEEReference"/>
        <w:widowControl/>
      </w:pPr>
      <w:r>
        <w:t>[5] Thủ tướng Chính phủ, Quyết định số 1068/QĐ-TTg ngày 22 tháng 8 năm 2019 phê duyệt Chiến lược sở hữu trí tuệ đến năm 2030. Hà Nội, Việt Nam, 2019.</w:t>
      </w:r>
    </w:p>
    <w:p>
      <w:pPr>
        <w:pStyle w:val="IEEEReference"/>
        <w:widowControl/>
      </w:pPr>
      <w:r>
        <w:t>[6] Thủ tướng Chính phủ, Quyết định số 749/QĐ-TTg ngày 03 tháng 6 năm 2020 phê duyệt Chương trình Chuyển đổi số quốc gia đến năm 2025, định hướng đến năm 2030. Hà Nội, Việt Nam, 2020.</w:t>
      </w:r>
    </w:p>
    <w:p>
      <w:pPr>
        <w:pStyle w:val="IEEEReference"/>
        <w:widowControl/>
      </w:pPr>
      <w:r>
        <w:t>[7] Thủ tướng Chính phủ, Quyết định số 411/QĐ-TTg ngày 31 tháng 3 năm 2022 phê duyệt Chiến lược quốc gia phát triển kinh tế số và xã hội số đến năm 2025, định hướng đến năm 2030. Hà Nội, Việt Nam, 2022.</w:t>
      </w:r>
    </w:p>
    <w:p>
      <w:pPr>
        <w:pStyle w:val="IEEEReference"/>
        <w:widowControl/>
      </w:pPr>
      <w:r>
        <w:t>[8] Bộ Chính trị, Nghị quyết số 57-NQ/TW ngày 22 tháng 12 năm 2024 về đột phá phát triển khoa học, công nghệ, đổi mới sáng tạo và chuyển đổi số quốc gia. Hà Nội, Việt Nam, 2024.</w:t>
      </w:r>
    </w:p>
    <w:p>
      <w:pPr>
        <w:pStyle w:val="IEEEReference"/>
        <w:widowControl/>
      </w:pPr>
      <w:r>
        <w:rPr>
          <w:rFonts w:ascii="Times New Roman" w:hAnsi="Times New Roman" w:eastAsia="Times New Roman"/>
          <w:b w:val="0"/>
          <w:i w:val="0"/>
          <w:sz w:val="24"/>
        </w:rPr>
        <w:t>[9] D. C. North, Institutions, Institutional Change and Economic Performance. Cambridge, UK: Cambridge University Press, 1990.</w:t>
      </w:r>
    </w:p>
    <w:p>
      <w:pPr>
        <w:pStyle w:val="IEEEReference"/>
        <w:widowControl/>
      </w:pPr>
      <w:r>
        <w:rPr>
          <w:rFonts w:ascii="Times New Roman" w:hAnsi="Times New Roman" w:eastAsia="Times New Roman"/>
          <w:b w:val="0"/>
          <w:i w:val="0"/>
          <w:sz w:val="24"/>
        </w:rPr>
        <w:t>[10] R. R. Nelson, Ed., National Innovation Systems: A Comparative Analysis. New York, NY, USA: Oxford University Press, 1993.</w:t>
      </w:r>
    </w:p>
    <w:p>
      <w:pPr>
        <w:pStyle w:val="IEEEReference"/>
        <w:widowControl/>
      </w:pPr>
      <w:r>
        <w:rPr>
          <w:rFonts w:ascii="Times New Roman" w:hAnsi="Times New Roman" w:eastAsia="Times New Roman"/>
          <w:b w:val="0"/>
          <w:i w:val="0"/>
          <w:sz w:val="24"/>
        </w:rPr>
        <w:t>[11] OECD and Eurostat, Oslo Manual 2018: Guidelines for Collecting, Reporting and Using Data on Innovation, 4th ed. Paris, France: OECD Publishing, 2018.</w:t>
      </w:r>
    </w:p>
    <w:p>
      <w:pPr>
        <w:pStyle w:val="IEEEReference"/>
        <w:widowControl/>
      </w:pPr>
      <w:r>
        <w:rPr>
          <w:rFonts w:ascii="Times New Roman" w:hAnsi="Times New Roman" w:eastAsia="Times New Roman"/>
          <w:b w:val="0"/>
          <w:i w:val="0"/>
          <w:sz w:val="24"/>
        </w:rPr>
        <w:t>[12] J. F. Hair, W. C. Black, B. J. Babin, and R. E. Anderson, Multivariate Data Analysis, 8th ed. Andover, UK: Cengage, 2019.</w:t>
      </w:r>
    </w:p>
    <w:p>
      <w:pPr>
        <w:pStyle w:val="IEEEReference"/>
        <w:widowControl/>
      </w:pPr>
      <w:r>
        <w:rPr>
          <w:rFonts w:ascii="Times New Roman" w:hAnsi="Times New Roman" w:eastAsia="Times New Roman"/>
          <w:b w:val="0"/>
          <w:i w:val="0"/>
          <w:sz w:val="24"/>
        </w:rPr>
        <w:t>[13] A. F. Hayes, Introduction to Mediation, Moderation, and Conditional Process Analysis: A Regression-Based Approach, 3rd ed. New York, NY, USA: Guilford Press, 2022.</w:t>
      </w:r>
    </w:p>
    <w:p>
      <w:pPr>
        <w:pStyle w:val="IEEEReference"/>
        <w:jc w:val="both"/>
      </w:pPr>
      <w:r>
        <w:rPr>
          <w:rFonts w:ascii="Times New Roman" w:hAnsi="Times New Roman"/>
          <w:sz w:val="24"/>
        </w:rPr>
        <w:t>[14] N. T. T. Uyên and N. H. Việt, “Một số vấn đề về thực hiện chính sách phát triển tài sản trí tuệ của Nhà nước tại địa phương,” Tạp chí Nghiên cứu Khoa học và Phát triển, vol. 2, no. 4, pp. 56-65, 2023, doi: 10.58902/tcnckhpt.v2i4.105.</w:t>
      </w:r>
    </w:p>
    <w:p>
      <w:pPr>
        <w:pStyle w:val="IEEEReference"/>
        <w:jc w:val="both"/>
      </w:pPr>
      <w:r>
        <w:t>[15] T. T. Đạt, “Nâng cao hiệu quả thực thi quyền sở hữu trí tuệ tại Việt Nam đáp ứng yêu cầu mới của thực tiễn,” Tạp chí Khoa học và Công nghệ Việt Nam, no. 11A, pp. 13-15, Nov. 2023.</w:t>
      </w:r>
    </w:p>
    <w:p>
      <w:pPr>
        <w:pStyle w:val="IEEEReference"/>
        <w:jc w:val="both"/>
      </w:pPr>
      <w:r>
        <w:rPr>
          <w:rFonts w:ascii="Times New Roman" w:hAnsi="Times New Roman"/>
          <w:sz w:val="24"/>
        </w:rPr>
        <w:t>[16] Đ. T. Ý Nhi and K. T. Huế, “Các yếu tố tác động đến hoạt động đổi mới sáng tạo tại các doanh nghiệp vừa và nhỏ thuộc vùng Đông Nam Bộ,” Tạp chí Nghiên cứu Khoa học và Phát triển, vol. 2, no. 4, pp. 26-37, 2023, doi: 10.58902/tcnckhpt.v2i4.106.</w:t>
      </w:r>
    </w:p>
    <w:p>
      <w:pPr>
        <w:pStyle w:val="IEEEReference"/>
        <w:jc w:val="both"/>
      </w:pPr>
      <w:r>
        <w:t>[17] Thủ tướng Chính phủ, Quyết định số 2205/QĐ-TTg ngày 24 tháng 12 năm 2020 phê duyệt Chương trình phát triển tài sản trí tuệ đến năm 2030. Hà Nội, Việt Nam, 2020.</w:t>
      </w:r>
    </w:p>
    <w:p>
      <w:pPr>
        <w:pStyle w:val="IEEEReference"/>
        <w:jc w:val="both"/>
      </w:pPr>
      <w:r>
        <w:t>[18] Cục Sở hữu trí tuệ, Báo cáo thường niên hoạt động sở hữu trí tuệ 2024. Hà Nội, Việt Nam: Nhà xuất bản Hà Nội, 2025.</w:t>
      </w:r>
    </w:p>
    <w:p>
      <w:pPr>
        <w:pStyle w:val="IEEEReference"/>
        <w:jc w:val="both"/>
      </w:pPr>
      <w:r>
        <w:t>[19] Đ. T. M. Thủy, “Chuyển đổi cơ chế thực thi quyền sở hữu trí tuệ trong giai đoạn hiện nay ở Việt Nam,” Tạp chí Luật học, no. 8, pp. 31-40, 2025.</w:t>
      </w:r>
    </w:p>
    <w:p>
      <w:pPr>
        <w:pStyle w:val="Heading1"/>
      </w:pPr>
      <w:r>
        <w:t>PHỤ LỤC</w:t>
      </w:r>
    </w:p>
    <w:p>
      <w:r>
        <w:rPr>
          <w:b w:val="0"/>
          <w:i w:val="0"/>
        </w:rPr>
        <w:t>Phụ lục 1. Phiếu khảo sát doanh nghiệp (dự kiến)</w:t>
      </w:r>
    </w:p>
    <w:p>
      <w:r>
        <w:rPr>
          <w:b w:val="0"/>
          <w:i w:val="0"/>
        </w:rPr>
        <w:t>Phụ lục 2. Đề cương phỏng vấn sâu chuyên gia (dự kiến)</w:t>
      </w:r>
    </w:p>
    <w:p>
      <w:r>
        <w:rPr>
          <w:b w:val="0"/>
          <w:i w:val="0"/>
        </w:rPr>
        <w:t>Phụ lục 3. Danh mục biến quan sát và nguồn hình thành thang đo (dự kiến)</w:t>
      </w:r>
    </w:p>
    <w:sectPr w:rsidR="00FC693F" w:rsidRPr="0006063C" w:rsidSect="00034616">
      <w:footerReference w:type="default" r:id="rId9"/>
      <w:pgSz w:w="11906" w:h="16838"/>
      <w:pgMar w:top="1417" w:right="1134" w:bottom="1417" w:left="198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300" w:lineRule="auto"/>
      <w:ind w:firstLine="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300" w:lineRule="auto"/>
      <w:ind w:firstLine="0"/>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line="300" w:lineRule="auto"/>
      <w:ind w:firstLine="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Reference">
    <w:name w:val="IEEE Reference"/>
    <w:pPr>
      <w:spacing w:line="276" w:lineRule="auto" w:after="60"/>
      <w:ind w:left="425" w:hanging="425"/>
      <w:jc w:val="left"/>
    </w:pPr>
    <w:rPr>
      <w:rFonts w:ascii="Times New Roman" w:hAnsi="Times New Roman" w:eastAsia="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luận án tiến sĩ - Quản lý nhà nước về quyền sở hữu trí tuệ trong nền kinh tế số ở Việt Nam</dc:title>
  <dc:subject>Bản chỉnh sửa phần tính cấp thiết, trích dẫn IEEE</dc:subject>
  <dc:creator>python-docx</dc:creator>
  <cp:keywords>sở hữu trí tuệ, quản lý nhà nước, kinh tế số, đổi mới sáng tạo, IEEE</cp:keywords>
  <dc:description>generated by python-docx</dc:description>
  <cp:lastModifiedBy/>
  <cp:revision>1</cp:revision>
  <dcterms:created xsi:type="dcterms:W3CDTF">2013-12-23T23:15:00Z</dcterms:created>
  <dcterms:modified xsi:type="dcterms:W3CDTF">2013-12-23T23:15:00Z</dcterms:modified>
  <cp:category/>
</cp:coreProperties>
</file>