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1"/>
      </w:pPr>
    </w:p>
    <w:p>
      <w:pPr>
        <w:widowControl w:val="1"/>
      </w:pPr>
    </w:p>
    <w:p>
      <w:pPr>
        <w:ind w:firstLine="0"/>
        <w:jc w:val="center"/>
        <w:widowControl w:val="1"/>
      </w:pPr>
      <w:r>
        <w:rPr>
          <w:rFonts w:ascii="Times New Roman" w:hAnsi="Times New Roman" w:eastAsia="Times New Roman"/>
          <w:b/>
          <w:color w:val="000000"/>
          <w:sz w:val="34"/>
        </w:rPr>
        <w:t>ĐỀ CƯƠNG NGHIÊN CỨU LUẬN ÁN TIẾN SĨ</w:t>
      </w:r>
    </w:p>
    <w:p>
      <w:pPr>
        <w:ind w:firstLine="0"/>
        <w:jc w:val="center"/>
        <w:widowControl w:val="1"/>
      </w:pPr>
      <w:r>
        <w:rPr>
          <w:rFonts w:ascii="Times New Roman" w:hAnsi="Times New Roman" w:eastAsia="Times New Roman"/>
          <w:b/>
          <w:color w:val="000000"/>
          <w:sz w:val="30"/>
        </w:rPr>
        <w:t>NGÀNH QUẢN LÝ KINH TẾ</w:t>
      </w:r>
    </w:p>
    <w:p>
      <w:pPr>
        <w:widowControl w:val="1"/>
      </w:pPr>
    </w:p>
    <w:p>
      <w:pPr>
        <w:widowControl w:val="1"/>
      </w:pPr>
    </w:p>
    <w:p>
      <w:pPr>
        <w:widowControl w:val="1"/>
      </w:pPr>
    </w:p>
    <w:p>
      <w:pPr>
        <w:ind w:firstLine="0"/>
        <w:jc w:val="center"/>
        <w:widowControl w:val="1"/>
      </w:pPr>
      <w:r>
        <w:rPr>
          <w:rFonts w:ascii="Times New Roman" w:hAnsi="Times New Roman" w:eastAsia="Times New Roman"/>
          <w:b/>
          <w:color w:val="000000"/>
          <w:sz w:val="28"/>
        </w:rPr>
        <w:t>TÊN ĐỀ TÀI</w:t>
      </w:r>
    </w:p>
    <w:p>
      <w:pPr>
        <w:spacing w:line="312" w:lineRule="auto"/>
        <w:ind w:firstLine="0"/>
        <w:jc w:val="center"/>
        <w:widowControl w:val="1"/>
      </w:pPr>
      <w:r>
        <w:rPr>
          <w:rFonts w:ascii="Times New Roman" w:hAnsi="Times New Roman" w:eastAsia="Times New Roman"/>
          <w:b/>
          <w:color w:val="000000"/>
          <w:sz w:val="36"/>
        </w:rPr>
        <w:t>QUẢN LÝ NHÀ NƯỚC VỀ QUYỀN SỞ HỮU TRÍ TUỆ</w:t>
        <w:br/>
        <w:t>TRONG NỀN KINH TẾ SỐ Ở VIỆT NAM</w:t>
      </w:r>
    </w:p>
    <w:p>
      <w:pPr>
        <w:widowControl w:val="1"/>
      </w:pPr>
    </w:p>
    <w:p>
      <w:pPr>
        <w:widowControl w:val="1"/>
      </w:pPr>
    </w:p>
    <w:p>
      <w:pPr>
        <w:widowControl w:val="1"/>
      </w:pPr>
    </w:p>
    <w:p>
      <w:pPr>
        <w:widowControl w:val="1"/>
      </w:pPr>
    </w:p>
    <w:p>
      <w:pPr>
        <w:widowControl w:val="1"/>
      </w:pPr>
    </w:p>
    <w:p>
      <w:pPr>
        <w:ind w:left="2381" w:firstLine="0"/>
        <w:jc w:val="left"/>
        <w:widowControl w:val="1"/>
      </w:pPr>
      <w:r>
        <w:rPr>
          <w:rFonts w:ascii="Times New Roman" w:hAnsi="Times New Roman" w:eastAsia="Times New Roman"/>
          <w:b w:val="0"/>
          <w:color w:val="000000"/>
          <w:sz w:val="26"/>
        </w:rPr>
        <w:t>Nghiên cứu sinh: ............................................................</w:t>
      </w:r>
    </w:p>
    <w:p>
      <w:pPr>
        <w:ind w:left="2381" w:firstLine="0"/>
        <w:jc w:val="left"/>
        <w:widowControl w:val="1"/>
      </w:pPr>
      <w:r>
        <w:rPr>
          <w:rFonts w:ascii="Times New Roman" w:hAnsi="Times New Roman" w:eastAsia="Times New Roman"/>
          <w:b w:val="0"/>
          <w:color w:val="000000"/>
          <w:sz w:val="26"/>
        </w:rPr>
        <w:t>Người hướng dẫn khoa học: .............................................</w:t>
      </w:r>
    </w:p>
    <w:p>
      <w:pPr>
        <w:widowControl w:val="1"/>
      </w:pPr>
    </w:p>
    <w:p>
      <w:pPr>
        <w:widowControl w:val="1"/>
      </w:pPr>
    </w:p>
    <w:p>
      <w:pPr>
        <w:widowControl w:val="1"/>
      </w:pPr>
    </w:p>
    <w:p>
      <w:pPr>
        <w:widowControl w:val="1"/>
      </w:pPr>
    </w:p>
    <w:p>
      <w:pPr>
        <w:widowControl w:val="1"/>
      </w:pPr>
    </w:p>
    <w:p>
      <w:pPr>
        <w:ind w:firstLine="0"/>
        <w:jc w:val="center"/>
        <w:widowControl w:val="1"/>
      </w:pPr>
      <w:r>
        <w:rPr>
          <w:rFonts w:ascii="Times New Roman" w:hAnsi="Times New Roman" w:eastAsia="Times New Roman"/>
          <w:b/>
          <w:color w:val="000000"/>
          <w:sz w:val="26"/>
        </w:rPr>
        <w:t>HÀ NỘI, 2026</w:t>
      </w:r>
    </w:p>
    <w:p>
      <w:pPr>
        <w:sectPr>
          <w:pgSz w:w="11906" w:h="16838"/>
          <w:pgMar w:top="1134" w:right="1134" w:bottom="1134" w:left="1984" w:header="720" w:footer="720" w:gutter="0"/>
          <w:cols w:space="720"/>
          <w:docGrid w:linePitch="360"/>
        </w:sectPr>
        <w:widowControl w:val="1"/>
      </w:pPr>
    </w:p>
    <w:p>
      <w:pPr>
        <w:pStyle w:val="Heading1"/>
        <w:jc w:val="center"/>
        <w:widowControl w:val="1"/>
      </w:pPr>
      <w:r>
        <w:rPr>
          <w:rFonts w:ascii="Times New Roman" w:hAnsi="Times New Roman" w:eastAsia="Times New Roman"/>
          <w:b/>
          <w:color w:val="000000"/>
          <w:sz w:val="30"/>
        </w:rPr>
        <w:t>DANH MỤC TỪ VIẾT TẮT</w:t>
      </w:r>
    </w:p>
    <w:tbl>
      <w:tblPr>
        <w:tblStyle w:val="TableGrid"/>
        <w:tblW w:type="auto" w:w="0"/>
        <w:jc w:val="center"/>
        <w:tblLayout w:type="fixed"/>
        <w:tblLook w:firstColumn="1" w:firstRow="1" w:lastColumn="0" w:lastRow="0" w:noHBand="0" w:noVBand="1" w:val="04A0"/>
      </w:tblPr>
      <w:tblGrid>
        <w:gridCol w:w="4394"/>
        <w:gridCol w:w="4394"/>
      </w:tblGrid>
      <w:tr>
        <w:trPr>
          <w:tblHeader w:val="true"/>
        </w:trPr>
        <w:tc>
          <w:tcPr>
            <w:tcW w:type="dxa" w:w="2268"/>
            <w:vAlign w:val="center"/>
            <w:shd w:fill="E7E6E6"/>
          </w:tcPr>
          <w:p>
            <w:pPr>
              <w:spacing w:after="0" w:line="276" w:lineRule="auto"/>
              <w:ind w:firstLine="0"/>
              <w:jc w:val="center"/>
            </w:pPr>
            <w:r/>
            <w:r>
              <w:rPr>
                <w:rFonts w:ascii="Times New Roman" w:hAnsi="Times New Roman" w:eastAsia="Times New Roman"/>
                <w:b/>
                <w:color w:val="000000"/>
                <w:sz w:val="24"/>
              </w:rPr>
              <w:t>Từ viết tắt</w:t>
            </w:r>
          </w:p>
        </w:tc>
        <w:tc>
          <w:tcPr>
            <w:tcW w:type="dxa" w:w="6520"/>
            <w:vAlign w:val="center"/>
            <w:shd w:fill="E7E6E6"/>
          </w:tcPr>
          <w:p>
            <w:pPr>
              <w:spacing w:after="0" w:line="276" w:lineRule="auto"/>
              <w:ind w:firstLine="0"/>
              <w:jc w:val="center"/>
            </w:pPr>
            <w:r/>
            <w:r>
              <w:rPr>
                <w:rFonts w:ascii="Times New Roman" w:hAnsi="Times New Roman" w:eastAsia="Times New Roman"/>
                <w:b/>
                <w:color w:val="000000"/>
                <w:sz w:val="24"/>
              </w:rPr>
              <w:t>Nội dung</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AI</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Trí tuệ nhân tạo</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ĐMST</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Đổi mới sáng tạo</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KT-XH</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Kinh tế - xã hội</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OECD</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Tổ chức Hợp tác và Phát triển Kinh tế</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QLNN</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Quản lý nhà nước</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R&amp;D</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Nghiên cứu và phát triển</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SEM</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Mô hình cấu trúc tuyến tính</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SHTT</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Sở hữu trí tuệ</w:t>
            </w:r>
          </w:p>
        </w:tc>
      </w:tr>
      <w:tr>
        <w:tc>
          <w:tcPr>
            <w:tcW w:type="dxa" w:w="2268"/>
            <w:vAlign w:val="center"/>
          </w:tcPr>
          <w:p>
            <w:pPr>
              <w:spacing w:after="0" w:line="276" w:lineRule="auto"/>
              <w:ind w:firstLine="0"/>
              <w:jc w:val="center"/>
            </w:pPr>
            <w:r/>
            <w:r>
              <w:rPr>
                <w:rFonts w:ascii="Times New Roman" w:hAnsi="Times New Roman" w:eastAsia="Times New Roman"/>
                <w:b w:val="0"/>
                <w:color w:val="000000"/>
                <w:sz w:val="23"/>
              </w:rPr>
              <w:t>WIPO</w:t>
            </w:r>
          </w:p>
        </w:tc>
        <w:tc>
          <w:tcPr>
            <w:tcW w:type="dxa" w:w="6520"/>
            <w:vAlign w:val="center"/>
          </w:tcPr>
          <w:p>
            <w:pPr>
              <w:spacing w:after="0" w:line="276" w:lineRule="auto"/>
              <w:ind w:firstLine="0"/>
              <w:jc w:val="left"/>
            </w:pPr>
            <w:r/>
            <w:r>
              <w:rPr>
                <w:rFonts w:ascii="Times New Roman" w:hAnsi="Times New Roman" w:eastAsia="Times New Roman"/>
                <w:b w:val="0"/>
                <w:color w:val="000000"/>
                <w:sz w:val="23"/>
              </w:rPr>
              <w:t>Tổ chức Sở hữu trí tuệ thế giới</w:t>
            </w:r>
          </w:p>
        </w:tc>
      </w:tr>
    </w:tbl>
    <w:p>
      <w:pPr>
        <w:widowControl w:val="1"/>
      </w:pPr>
      <w:r>
        <w:br w:type="page"/>
      </w:r>
    </w:p>
    <w:p>
      <w:pPr>
        <w:pStyle w:val="Heading1"/>
        <w:jc w:val="center"/>
        <w:widowControl w:val="1"/>
      </w:pPr>
      <w:r>
        <w:rPr>
          <w:rFonts w:ascii="Times New Roman" w:hAnsi="Times New Roman" w:eastAsia="Times New Roman"/>
          <w:b/>
          <w:color w:val="000000"/>
          <w:sz w:val="30"/>
        </w:rPr>
        <w:t>PHẦN MỞ ĐẦU</w:t>
      </w:r>
    </w:p>
    <w:p>
      <w:pPr>
        <w:pStyle w:val="Heading2"/>
        <w:jc w:val="left"/>
        <w:widowControl w:val="1"/>
      </w:pPr>
      <w:r>
        <w:rPr>
          <w:rFonts w:ascii="Times New Roman" w:hAnsi="Times New Roman" w:eastAsia="Times New Roman"/>
          <w:b/>
          <w:color w:val="000000"/>
          <w:sz w:val="28"/>
        </w:rPr>
        <w:t>1. Tính cấp thiết của đề tài</w:t>
      </w:r>
    </w:p>
    <w:p>
      <w:pPr>
        <w:spacing w:line="360" w:lineRule="auto" w:after="60"/>
        <w:ind w:firstLine="567"/>
        <w:jc w:val="both"/>
        <w:widowControl w:val="1"/>
      </w:pPr>
      <w:r>
        <w:rPr>
          <w:rFonts w:ascii="Times New Roman" w:hAnsi="Times New Roman" w:eastAsia="Times New Roman"/>
          <w:b w:val="0"/>
          <w:i w:val="0"/>
          <w:color w:val="000000"/>
          <w:sz w:val="26"/>
        </w:rPr>
        <w:t>Quyền sở hữu trí tuệ là một thiết chế kinh tế có chức năng xác lập quyền đối với kết quả sáng tạo, tạo điều kiện để chủ thể đầu tư có thể thu hồi lợi ích và công bố tri thức cho xã hội. Vai trò này đặc biệt rõ trong những lĩnh vực đòi hỏi chi phí nghiên cứu, thử nghiệm, phát triển sản phẩm và xây dựng thị trường lớn. Tuy nhiên, quyền độc quyền không phải là mục tiêu tự thân. Giá trị của hệ thống sở hữu trí tuệ phụ thuộc vào khả năng cân bằng giữa khuyến khích đầu tư, bảo vệ lợi ích chính đáng của chủ thể quyền và bảo đảm khả năng tiếp cận tri thức phục vụ đổi mới tiếp nối.</w:t>
      </w:r>
    </w:p>
    <w:p>
      <w:pPr>
        <w:spacing w:line="360" w:lineRule="auto" w:after="60"/>
        <w:ind w:firstLine="567"/>
        <w:jc w:val="both"/>
        <w:widowControl w:val="1"/>
      </w:pPr>
      <w:r>
        <w:rPr>
          <w:rFonts w:ascii="Times New Roman" w:hAnsi="Times New Roman" w:eastAsia="Times New Roman"/>
          <w:b w:val="0"/>
          <w:i w:val="0"/>
          <w:color w:val="000000"/>
          <w:sz w:val="26"/>
        </w:rPr>
        <w:t>Nền kinh tế số làm thay đổi cả đối tượng được bảo hộ lẫn phương thức tạo lập, lưu thông và khai thác tài sản trí tuệ. Phần mềm, dữ liệu, nội dung số, nền tảng và các giải pháp có sử dụng trí tuệ nhân tạo ngày càng gắn chặt với hoạt động sản xuất, kinh doanh. Tài sản trí tuệ có thể được phổ biến xuyên biên giới trong thời gian ngắn, trong khi hành vi sao chép, sử dụng trái phép hoặc che giấu nguồn gốc cũng trở nên khó phát hiện hơn. Cùng với đó là các vấn đề mới liên quan đến dữ liệu huấn luyện, sản phẩm có sự tham gia của AI, trách nhiệm của nền tảng và khả năng thực thi quyền trong môi trường số.</w:t>
      </w:r>
    </w:p>
    <w:p>
      <w:pPr>
        <w:spacing w:line="360" w:lineRule="auto" w:after="60"/>
        <w:ind w:firstLine="567"/>
        <w:jc w:val="both"/>
        <w:widowControl w:val="1"/>
      </w:pPr>
      <w:r>
        <w:rPr>
          <w:rFonts w:ascii="Times New Roman" w:hAnsi="Times New Roman" w:eastAsia="Times New Roman"/>
          <w:b w:val="0"/>
          <w:i w:val="0"/>
          <w:color w:val="000000"/>
          <w:sz w:val="26"/>
        </w:rPr>
        <w:t>Dưới góc độ kinh tế, những thay đổi trên không làm mất đi vấn đề tạo động lực cho đổi mới mà làm dịch chuyển vị trí của các rào cản trong chuỗi giá trị. WIPO Working Paper No. 77 cho thấy khi AI làm tăng năng suất của hoạt động phát minh và sáng tạo, câu hỏi chính sách không chỉ là sản phẩm do AI tạo ra có đủ điều kiện bảo hộ hay không, mà còn là quá trình đổi mới còn cần những nguồn lực nào, chủ thể đầu tư có thể thu hồi lợi ích bằng cơ chế nào, và việc bảo hộ ảnh hưởng ra sao đến đổi mới tích lũy, quyền tiếp cận dữ liệu và chi phí giao dịch. Cách tiếp cận này gợi mở rằng QLNN về quyền SHTT cần được đánh giá bằng khả năng tạo lập một môi trường khuyến khích đổi mới hợp lý, thay vì chỉ căn cứ vào số lượng văn bản hoặc số lượng quyền được xác lập.</w:t>
      </w:r>
    </w:p>
    <w:p>
      <w:pPr>
        <w:spacing w:line="360" w:lineRule="auto" w:after="60"/>
        <w:ind w:firstLine="567"/>
        <w:jc w:val="both"/>
        <w:widowControl w:val="1"/>
      </w:pPr>
      <w:r>
        <w:rPr>
          <w:rFonts w:ascii="Times New Roman" w:hAnsi="Times New Roman" w:eastAsia="Times New Roman"/>
          <w:b w:val="0"/>
          <w:i w:val="0"/>
          <w:color w:val="000000"/>
          <w:sz w:val="26"/>
        </w:rPr>
        <w:t>Kinh nghiệm thực nghiệm cũng cho thấy việc giảm một rào cản tiếp cận có thể tạo ra kết quả tích cực nhưng không tự động chuyển thành mọi kết quả đổi mới. WIPO Working Paper No. 78 phát hiện rằng quyền tiếp cận miễn phí hoặc chi phí thấp đối với tài liệu khoa học đã làm tăng công bố và hoạt động thử nghiệm lâm sàng của các tổ chức nghiên cứu ở các nước đang phát triển. Tuy nhiên, nghiên cứu không tìm thấy bằng chứng tích cực đáng tin cậy đối với mức độ nghiên cứu của các tổ chức đó được trích dẫn trong tài liệu sáng chế sau khi kiểm soát thiên lệch lựa chọn. Kết quả này cho thấy cần phân biệt giữa khả năng tiếp cận, mức độ sử dụng và kết quả cuối cùng; đồng thời phải tính đến sự khác biệt về năng lực giữa các tổ chức.</w:t>
      </w:r>
    </w:p>
    <w:p>
      <w:pPr>
        <w:spacing w:line="360" w:lineRule="auto" w:after="60"/>
        <w:ind w:firstLine="567"/>
        <w:jc w:val="both"/>
        <w:widowControl w:val="1"/>
      </w:pPr>
      <w:r>
        <w:rPr>
          <w:rFonts w:ascii="Times New Roman" w:hAnsi="Times New Roman" w:eastAsia="Times New Roman"/>
          <w:b w:val="0"/>
          <w:i w:val="0"/>
          <w:color w:val="000000"/>
          <w:sz w:val="26"/>
        </w:rPr>
        <w:t>Ở Việt Nam, Chiến lược SHTT đến năm 2030, Chương trình Chuyển đổi số quốc gia và Chiến lược quốc gia phát triển kinh tế số, xã hội số đã xác lập các định hướng quan trọng cho việc phát triển tài sản trí tuệ, đổi mới sáng tạo và cung cấp dịch vụ công trên môi trường số. Nghị quyết số 57-NQ/TW ngày 22/12/2024 tiếp tục đặt yêu cầu tháo gỡ các điểm nghẽn về thể chế, trong đó có pháp luật SHTT, nhằm giải phóng nguồn lực cho khoa học, công nghệ, đổi mới sáng tạo và chuyển đổi số. Những định hướng này cho thấy quản lý SHTT không thể tách rời chính sách phát triển doanh nghiệp và hệ sinh thái đổi mới quốc gia.</w:t>
      </w:r>
    </w:p>
    <w:p>
      <w:pPr>
        <w:spacing w:line="360" w:lineRule="auto" w:after="60"/>
        <w:ind w:firstLine="567"/>
        <w:jc w:val="both"/>
        <w:widowControl w:val="1"/>
      </w:pPr>
      <w:r>
        <w:rPr>
          <w:rFonts w:ascii="Times New Roman" w:hAnsi="Times New Roman" w:eastAsia="Times New Roman"/>
          <w:b w:val="0"/>
          <w:i w:val="0"/>
          <w:color w:val="000000"/>
          <w:sz w:val="26"/>
        </w:rPr>
        <w:t>Mặc dù khuôn khổ chính sách đã được củng cố, vẫn cần có bằng chứng rõ hơn về cách các hoạt động QLNN được doanh nghiệp tiếp nhận và sử dụng trong thực tế. Một chính sách được ban hành đầy đủ chưa đồng nghĩa với việc doanh nghiệp dễ tìm kiếm thông tin, tiếp cận dịch vụ, lựa chọn hình thức bảo hộ phù hợp hoặc sử dụng quyền SHTT trong hoạt động R&amp;D và kinh doanh. Khoảng cách giữa cung cấp thiết chế và hành vi sử dụng của doanh nghiệp là vấn đề quản lý cần được nhận diện bằng dữ liệu thực nghiệm.</w:t>
      </w:r>
    </w:p>
    <w:p>
      <w:pPr>
        <w:spacing w:line="360" w:lineRule="auto" w:after="60"/>
        <w:ind w:firstLine="567"/>
        <w:jc w:val="both"/>
        <w:widowControl w:val="1"/>
      </w:pPr>
      <w:r>
        <w:rPr>
          <w:rFonts w:ascii="Times New Roman" w:hAnsi="Times New Roman" w:eastAsia="Times New Roman"/>
          <w:b w:val="0"/>
          <w:i w:val="0"/>
          <w:color w:val="000000"/>
          <w:sz w:val="26"/>
        </w:rPr>
        <w:t>Các công trình trong nước về QLNN đối với SHTT chủ yếu phân tích pháp luật, cơ cấu tổ chức, hoạt động xác lập và thực thi quyền. Trong khi đó, nghiên cứu về đổi mới sáng tạo ở cấp doanh nghiệp thường nhấn mạnh nguồn lực nội bộ như nhân lực, tài chính, R&amp;D và năng lực công nghệ. Hai dòng nghiên cứu này chưa được kết nối đầy đủ để giải thích chất lượng QLNN tác động đến hành vi sử dụng hệ thống SHTT và kết quả đổi mới của doanh nghiệp thông qua cơ chế nào. Đặc biệt, “tiếp cận” và “sử dụng” thường được dùng thay thế cho nhau, trong khi doanh nghiệp có thể tiếp cận thông tin hoặc dịch vụ nhưng không chuyển thành hành vi sử dụng thực tế.</w:t>
      </w:r>
    </w:p>
    <w:p>
      <w:pPr>
        <w:spacing w:line="360" w:lineRule="auto" w:after="60"/>
        <w:ind w:firstLine="567"/>
        <w:jc w:val="both"/>
        <w:widowControl w:val="1"/>
      </w:pPr>
      <w:r>
        <w:rPr>
          <w:rFonts w:ascii="Times New Roman" w:hAnsi="Times New Roman" w:eastAsia="Times New Roman"/>
          <w:b w:val="0"/>
          <w:i w:val="0"/>
          <w:color w:val="000000"/>
          <w:sz w:val="26"/>
        </w:rPr>
        <w:t>Từ những vấn đề trên, luận án lựa chọn đề tài “Quản lý nhà nước về quyền sở hữu trí tuệ trong nền kinh tế số ở Việt Nam”. Nghiên cứu vừa đánh giá thực trạng QLNN theo các nội dung và tiêu chí quản lý, vừa kiểm định mối quan hệ giữa chất lượng QLNN theo đánh giá của doanh nghiệp, mức độ doanh nghiệp tiếp cận và sử dụng hệ thống SHTT và kết quả đổi mới sáng tạo. Hướng tiếp cận này phù hợp với ngành Quản lý kinh tế vì đặt trọng tâm vào khả năng chính sách công làm thay đổi hành vi và kết quả kinh tế của chủ thể chịu tác động.</w:t>
      </w:r>
    </w:p>
    <w:p>
      <w:pPr>
        <w:pStyle w:val="Heading2"/>
        <w:jc w:val="left"/>
        <w:widowControl w:val="1"/>
      </w:pPr>
      <w:r>
        <w:rPr>
          <w:rFonts w:ascii="Times New Roman" w:hAnsi="Times New Roman" w:eastAsia="Times New Roman"/>
          <w:b/>
          <w:color w:val="000000"/>
          <w:sz w:val="28"/>
        </w:rPr>
        <w:t>2. Mục đích và nhiệm vụ nghiên cứu</w:t>
      </w:r>
    </w:p>
    <w:p>
      <w:pPr>
        <w:pStyle w:val="Heading3"/>
        <w:jc w:val="left"/>
        <w:widowControl w:val="1"/>
      </w:pPr>
      <w:r>
        <w:rPr>
          <w:rFonts w:ascii="Times New Roman" w:hAnsi="Times New Roman" w:eastAsia="Times New Roman"/>
          <w:b/>
          <w:color w:val="000000"/>
          <w:sz w:val="26"/>
        </w:rPr>
        <w:t>2.1. Mục đích nghiên cứu</w:t>
      </w:r>
    </w:p>
    <w:p>
      <w:pPr>
        <w:spacing w:line="360" w:lineRule="auto" w:after="60"/>
        <w:ind w:firstLine="567"/>
        <w:jc w:val="both"/>
        <w:widowControl w:val="1"/>
      </w:pPr>
      <w:r>
        <w:rPr>
          <w:rFonts w:ascii="Times New Roman" w:hAnsi="Times New Roman" w:eastAsia="Times New Roman"/>
          <w:b w:val="0"/>
          <w:i w:val="0"/>
          <w:color w:val="000000"/>
          <w:sz w:val="26"/>
        </w:rPr>
        <w:t>Luận án nghiên cứu cơ sở lý luận và thực trạng QLNN về quyền SHTT trong nền kinh tế số ở Việt Nam; đồng thời phân tích mối quan hệ giữa chất lượng QLNN, mức độ doanh nghiệp tiếp cận và sử dụng hệ thống SHTT và kết quả đổi mới sáng tạo. Trên cơ sở kết quả nghiên cứu, luận án đề xuất quan điểm, định hướng và giải pháp hoàn thiện QLNN về quyền SHTT đến năm 2035.</w:t>
      </w:r>
    </w:p>
    <w:p>
      <w:pPr>
        <w:pStyle w:val="Heading3"/>
        <w:jc w:val="left"/>
        <w:widowControl w:val="1"/>
      </w:pPr>
      <w:r>
        <w:rPr>
          <w:rFonts w:ascii="Times New Roman" w:hAnsi="Times New Roman" w:eastAsia="Times New Roman"/>
          <w:b/>
          <w:color w:val="000000"/>
          <w:sz w:val="26"/>
        </w:rPr>
        <w:t>2.2. Nhiệm vụ nghiên cứu</w:t>
      </w:r>
    </w:p>
    <w:p>
      <w:pPr>
        <w:spacing w:line="360" w:lineRule="auto" w:after="40"/>
        <w:ind w:left="397" w:hanging="255"/>
        <w:jc w:val="both"/>
        <w:widowControl w:val="1"/>
      </w:pPr>
      <w:r>
        <w:rPr>
          <w:rFonts w:ascii="Times New Roman" w:hAnsi="Times New Roman" w:eastAsia="Times New Roman"/>
          <w:color w:val="000000"/>
          <w:sz w:val="26"/>
        </w:rPr>
        <w:t>– Hệ thống hóa và phát triển cơ sở lý luận về QLNN đối với quyền SHTT trong nền kinh tế số; làm rõ sự cần thiết, nội dung, tiêu chí đánh giá và các điều kiện bảo đảm hoạt động quản lý.</w:t>
      </w:r>
    </w:p>
    <w:p>
      <w:pPr>
        <w:spacing w:line="360" w:lineRule="auto" w:after="40"/>
        <w:ind w:left="397" w:hanging="255"/>
        <w:jc w:val="both"/>
        <w:widowControl w:val="1"/>
      </w:pPr>
      <w:r>
        <w:rPr>
          <w:rFonts w:ascii="Times New Roman" w:hAnsi="Times New Roman" w:eastAsia="Times New Roman"/>
          <w:color w:val="000000"/>
          <w:sz w:val="26"/>
        </w:rPr>
        <w:t>– Tổng quan các nghiên cứu trong và ngoài nước, xác định những kết quả có thể kế thừa, những vấn đề còn tranh luận và khoảng trống mà luận án cần giải quyết.</w:t>
      </w:r>
    </w:p>
    <w:p>
      <w:pPr>
        <w:spacing w:line="360" w:lineRule="auto" w:after="40"/>
        <w:ind w:left="397" w:hanging="255"/>
        <w:jc w:val="both"/>
        <w:widowControl w:val="1"/>
      </w:pPr>
      <w:r>
        <w:rPr>
          <w:rFonts w:ascii="Times New Roman" w:hAnsi="Times New Roman" w:eastAsia="Times New Roman"/>
          <w:color w:val="000000"/>
          <w:sz w:val="26"/>
        </w:rPr>
        <w:t>– Khảo cứu kinh nghiệm của một số quốc gia và khu vực trong quản lý SHTT gắn với chuyển đổi số, hỗ trợ doanh nghiệp và đổi mới sáng tạo; từ đó rút ra bài học có điều kiện áp dụng cho Việt Nam.</w:t>
      </w:r>
    </w:p>
    <w:p>
      <w:pPr>
        <w:spacing w:line="360" w:lineRule="auto" w:after="40"/>
        <w:ind w:left="397" w:hanging="255"/>
        <w:jc w:val="both"/>
        <w:widowControl w:val="1"/>
      </w:pPr>
      <w:r>
        <w:rPr>
          <w:rFonts w:ascii="Times New Roman" w:hAnsi="Times New Roman" w:eastAsia="Times New Roman"/>
          <w:color w:val="000000"/>
          <w:sz w:val="26"/>
        </w:rPr>
        <w:t>– Phân tích thực trạng QLNN về quyền SHTT ở Việt Nam giai đoạn 2019–2025 theo bốn nhóm nội dung quản lý và các tiêu chí đánh giá đã xác định.</w:t>
      </w:r>
    </w:p>
    <w:p>
      <w:pPr>
        <w:spacing w:line="360" w:lineRule="auto" w:after="40"/>
        <w:ind w:left="397" w:hanging="255"/>
        <w:jc w:val="both"/>
        <w:widowControl w:val="1"/>
      </w:pPr>
      <w:r>
        <w:rPr>
          <w:rFonts w:ascii="Times New Roman" w:hAnsi="Times New Roman" w:eastAsia="Times New Roman"/>
          <w:color w:val="000000"/>
          <w:sz w:val="26"/>
        </w:rPr>
        <w:t>– Xây dựng và kiểm định mô hình về mối quan hệ giữa chất lượng QLNN, mức độ doanh nghiệp tiếp cận và sử dụng hệ thống SHTT và kết quả đổi mới sáng tạo; kiểm định vai trò trung gian của mức độ tiếp cận và sử dụng.</w:t>
      </w:r>
    </w:p>
    <w:p>
      <w:pPr>
        <w:spacing w:line="360" w:lineRule="auto" w:after="40"/>
        <w:ind w:left="397" w:hanging="255"/>
        <w:jc w:val="both"/>
        <w:widowControl w:val="1"/>
      </w:pPr>
      <w:r>
        <w:rPr>
          <w:rFonts w:ascii="Times New Roman" w:hAnsi="Times New Roman" w:eastAsia="Times New Roman"/>
          <w:color w:val="000000"/>
          <w:sz w:val="26"/>
        </w:rPr>
        <w:t>– Đề xuất quan điểm, định hướng và hệ thống giải pháp hoàn thiện QLNN về quyền SHTT trong nền kinh tế số ở Việt Nam đến năm 2035.</w:t>
      </w:r>
    </w:p>
    <w:p>
      <w:pPr>
        <w:pStyle w:val="Heading2"/>
        <w:jc w:val="left"/>
        <w:widowControl w:val="1"/>
      </w:pPr>
      <w:r>
        <w:rPr>
          <w:rFonts w:ascii="Times New Roman" w:hAnsi="Times New Roman" w:eastAsia="Times New Roman"/>
          <w:b/>
          <w:color w:val="000000"/>
          <w:sz w:val="28"/>
        </w:rPr>
        <w:t>3. Câu hỏi và giả thuyết nghiên cứu</w:t>
      </w:r>
    </w:p>
    <w:p>
      <w:pPr>
        <w:pStyle w:val="Heading3"/>
        <w:jc w:val="left"/>
        <w:widowControl w:val="1"/>
      </w:pPr>
      <w:r>
        <w:rPr>
          <w:rFonts w:ascii="Times New Roman" w:hAnsi="Times New Roman" w:eastAsia="Times New Roman"/>
          <w:b/>
          <w:color w:val="000000"/>
          <w:sz w:val="26"/>
        </w:rPr>
        <w:t>3.1. Câu hỏi nghiên cứu</w:t>
      </w:r>
    </w:p>
    <w:p>
      <w:pPr>
        <w:spacing w:line="360" w:lineRule="auto" w:after="40"/>
        <w:ind w:left="397" w:hanging="255"/>
        <w:jc w:val="both"/>
        <w:widowControl w:val="1"/>
      </w:pPr>
      <w:r>
        <w:rPr>
          <w:rFonts w:ascii="Times New Roman" w:hAnsi="Times New Roman" w:eastAsia="Times New Roman"/>
          <w:color w:val="000000"/>
          <w:sz w:val="26"/>
        </w:rPr>
        <w:t>– Câu hỏi 1: QLNN về quyền SHTT trong nền kinh tế số được lý giải trên những cơ sở lý luận nào, gồm những nội dung gì và được đánh giá theo các tiêu chí nào?</w:t>
      </w:r>
    </w:p>
    <w:p>
      <w:pPr>
        <w:spacing w:line="360" w:lineRule="auto" w:after="40"/>
        <w:ind w:left="397" w:hanging="255"/>
        <w:jc w:val="both"/>
        <w:widowControl w:val="1"/>
      </w:pPr>
      <w:r>
        <w:rPr>
          <w:rFonts w:ascii="Times New Roman" w:hAnsi="Times New Roman" w:eastAsia="Times New Roman"/>
          <w:color w:val="000000"/>
          <w:sz w:val="26"/>
        </w:rPr>
        <w:t>– Câu hỏi 2: Thực trạng QLNN về quyền SHTT ở Việt Nam giai đoạn 2019–2025 có những kết quả, hạn chế và nguyên nhân chủ yếu nào?</w:t>
      </w:r>
    </w:p>
    <w:p>
      <w:pPr>
        <w:spacing w:line="360" w:lineRule="auto" w:after="40"/>
        <w:ind w:left="397" w:hanging="255"/>
        <w:jc w:val="both"/>
        <w:widowControl w:val="1"/>
      </w:pPr>
      <w:r>
        <w:rPr>
          <w:rFonts w:ascii="Times New Roman" w:hAnsi="Times New Roman" w:eastAsia="Times New Roman"/>
          <w:color w:val="000000"/>
          <w:sz w:val="26"/>
        </w:rPr>
        <w:t>– Câu hỏi 3: Chất lượng QLNN về quyền SHTT theo đánh giá của doanh nghiệp có liên hệ như thế nào với mức độ doanh nghiệp tiếp cận và sử dụng hệ thống SHTT?</w:t>
      </w:r>
    </w:p>
    <w:p>
      <w:pPr>
        <w:spacing w:line="360" w:lineRule="auto" w:after="40"/>
        <w:ind w:left="397" w:hanging="255"/>
        <w:jc w:val="both"/>
        <w:widowControl w:val="1"/>
      </w:pPr>
      <w:r>
        <w:rPr>
          <w:rFonts w:ascii="Times New Roman" w:hAnsi="Times New Roman" w:eastAsia="Times New Roman"/>
          <w:color w:val="000000"/>
          <w:sz w:val="26"/>
        </w:rPr>
        <w:t>– Câu hỏi 4: Mức độ doanh nghiệp tiếp cận và sử dụng hệ thống SHTT có liên hệ như thế nào với kết quả đổi mới sáng tạo?</w:t>
      </w:r>
    </w:p>
    <w:p>
      <w:pPr>
        <w:spacing w:line="360" w:lineRule="auto" w:after="40"/>
        <w:ind w:left="397" w:hanging="255"/>
        <w:jc w:val="both"/>
        <w:widowControl w:val="1"/>
      </w:pPr>
      <w:r>
        <w:rPr>
          <w:rFonts w:ascii="Times New Roman" w:hAnsi="Times New Roman" w:eastAsia="Times New Roman"/>
          <w:color w:val="000000"/>
          <w:sz w:val="26"/>
        </w:rPr>
        <w:t>– Câu hỏi 5: Mức độ tiếp cận và sử dụng hệ thống SHTT có đóng vai trò trung gian trong mối quan hệ giữa chất lượng QLNN và kết quả đổi mới sáng tạo của doanh nghiệp hay không?</w:t>
      </w:r>
    </w:p>
    <w:p>
      <w:pPr>
        <w:spacing w:line="360" w:lineRule="auto" w:after="40"/>
        <w:ind w:left="397" w:hanging="255"/>
        <w:jc w:val="both"/>
        <w:widowControl w:val="1"/>
      </w:pPr>
      <w:r>
        <w:rPr>
          <w:rFonts w:ascii="Times New Roman" w:hAnsi="Times New Roman" w:eastAsia="Times New Roman"/>
          <w:color w:val="000000"/>
          <w:sz w:val="26"/>
        </w:rPr>
        <w:t>– Câu hỏi 6: Cần ưu tiên những giải pháp nào để nâng cao hiệu lực, hiệu quả và khả năng thích ứng của QLNN về quyền SHTT trong nền kinh tế số ở Việt Nam đến năm 2035?</w:t>
      </w:r>
    </w:p>
    <w:p>
      <w:pPr>
        <w:pStyle w:val="Heading3"/>
        <w:jc w:val="left"/>
        <w:widowControl w:val="1"/>
      </w:pPr>
      <w:r>
        <w:rPr>
          <w:rFonts w:ascii="Times New Roman" w:hAnsi="Times New Roman" w:eastAsia="Times New Roman"/>
          <w:b/>
          <w:color w:val="000000"/>
          <w:sz w:val="26"/>
        </w:rPr>
        <w:t>3.2. Giả thuyết nghiên cứu</w:t>
      </w:r>
    </w:p>
    <w:p>
      <w:pPr>
        <w:spacing w:line="360" w:lineRule="auto" w:after="60"/>
        <w:ind w:firstLine="0"/>
        <w:jc w:val="both"/>
        <w:widowControl w:val="1"/>
      </w:pPr>
      <w:r>
        <w:rPr>
          <w:rFonts w:ascii="Times New Roman" w:hAnsi="Times New Roman" w:eastAsia="Times New Roman"/>
          <w:b/>
          <w:i w:val="0"/>
          <w:color w:val="000000"/>
          <w:sz w:val="26"/>
        </w:rPr>
        <w:t>H1:</w:t>
      </w:r>
      <w:r>
        <w:rPr>
          <w:rFonts w:ascii="Times New Roman" w:hAnsi="Times New Roman" w:eastAsia="Times New Roman"/>
          <w:b w:val="0"/>
          <w:i w:val="0"/>
          <w:color w:val="000000"/>
          <w:sz w:val="26"/>
        </w:rPr>
        <w:t xml:space="preserve"> Chất lượng QLNN về quyền SHTT có ảnh hưởng tích cực đến mức độ doanh nghiệp tiếp cận và sử dụng hệ thống SHTT.</w:t>
      </w:r>
    </w:p>
    <w:p>
      <w:pPr>
        <w:spacing w:line="360" w:lineRule="auto" w:after="60"/>
        <w:ind w:firstLine="0"/>
        <w:jc w:val="both"/>
        <w:widowControl w:val="1"/>
      </w:pPr>
      <w:r>
        <w:rPr>
          <w:rFonts w:ascii="Times New Roman" w:hAnsi="Times New Roman" w:eastAsia="Times New Roman"/>
          <w:b/>
          <w:i w:val="0"/>
          <w:color w:val="000000"/>
          <w:sz w:val="26"/>
        </w:rPr>
        <w:t>H2:</w:t>
      </w:r>
      <w:r>
        <w:rPr>
          <w:rFonts w:ascii="Times New Roman" w:hAnsi="Times New Roman" w:eastAsia="Times New Roman"/>
          <w:b w:val="0"/>
          <w:i w:val="0"/>
          <w:color w:val="000000"/>
          <w:sz w:val="26"/>
        </w:rPr>
        <w:t xml:space="preserve"> Mức độ doanh nghiệp tiếp cận và sử dụng hệ thống SHTT có ảnh hưởng tích cực đến kết quả đổi mới sáng tạo của doanh nghiệp.</w:t>
      </w:r>
    </w:p>
    <w:p>
      <w:pPr>
        <w:spacing w:line="360" w:lineRule="auto" w:after="60"/>
        <w:ind w:firstLine="0"/>
        <w:jc w:val="both"/>
        <w:widowControl w:val="1"/>
      </w:pPr>
      <w:r>
        <w:rPr>
          <w:rFonts w:ascii="Times New Roman" w:hAnsi="Times New Roman" w:eastAsia="Times New Roman"/>
          <w:b/>
          <w:i w:val="0"/>
          <w:color w:val="000000"/>
          <w:sz w:val="26"/>
        </w:rPr>
        <w:t>H3:</w:t>
      </w:r>
      <w:r>
        <w:rPr>
          <w:rFonts w:ascii="Times New Roman" w:hAnsi="Times New Roman" w:eastAsia="Times New Roman"/>
          <w:b w:val="0"/>
          <w:i w:val="0"/>
          <w:color w:val="000000"/>
          <w:sz w:val="26"/>
        </w:rPr>
        <w:t xml:space="preserve"> Chất lượng QLNN về quyền SHTT có ảnh hưởng trực tiếp tích cực đến kết quả đổi mới sáng tạo của doanh nghiệp.</w:t>
      </w:r>
    </w:p>
    <w:p>
      <w:pPr>
        <w:spacing w:line="360" w:lineRule="auto" w:after="60"/>
        <w:ind w:firstLine="0"/>
        <w:jc w:val="both"/>
        <w:widowControl w:val="1"/>
      </w:pPr>
      <w:r>
        <w:rPr>
          <w:rFonts w:ascii="Times New Roman" w:hAnsi="Times New Roman" w:eastAsia="Times New Roman"/>
          <w:b/>
          <w:i w:val="0"/>
          <w:color w:val="000000"/>
          <w:sz w:val="26"/>
        </w:rPr>
        <w:t>H4:</w:t>
      </w:r>
      <w:r>
        <w:rPr>
          <w:rFonts w:ascii="Times New Roman" w:hAnsi="Times New Roman" w:eastAsia="Times New Roman"/>
          <w:b w:val="0"/>
          <w:i w:val="0"/>
          <w:color w:val="000000"/>
          <w:sz w:val="26"/>
        </w:rPr>
        <w:t xml:space="preserve"> Mức độ doanh nghiệp tiếp cận và sử dụng hệ thống SHTT đóng vai trò trung gian trong mối quan hệ giữa chất lượng QLNN về quyền SHTT và kết quả đổi mới sáng tạo của doanh nghiệp.</w:t>
      </w:r>
    </w:p>
    <w:p>
      <w:pPr>
        <w:pStyle w:val="Heading2"/>
        <w:jc w:val="left"/>
        <w:widowControl w:val="1"/>
      </w:pPr>
      <w:r>
        <w:rPr>
          <w:rFonts w:ascii="Times New Roman" w:hAnsi="Times New Roman" w:eastAsia="Times New Roman"/>
          <w:b/>
          <w:color w:val="000000"/>
          <w:sz w:val="28"/>
        </w:rPr>
        <w:t>4. Đối tượng và phạm vi nghiên cứu</w:t>
      </w:r>
    </w:p>
    <w:p>
      <w:pPr>
        <w:pStyle w:val="Heading3"/>
        <w:jc w:val="left"/>
        <w:widowControl w:val="1"/>
      </w:pPr>
      <w:r>
        <w:rPr>
          <w:rFonts w:ascii="Times New Roman" w:hAnsi="Times New Roman" w:eastAsia="Times New Roman"/>
          <w:b/>
          <w:color w:val="000000"/>
          <w:sz w:val="26"/>
        </w:rPr>
        <w:t>4.1. Đối tượng nghiên cứu và đối tượng khảo sát</w:t>
      </w:r>
    </w:p>
    <w:p>
      <w:pPr>
        <w:spacing w:line="360" w:lineRule="auto" w:after="60"/>
        <w:ind w:firstLine="567"/>
        <w:jc w:val="both"/>
        <w:widowControl w:val="1"/>
      </w:pPr>
      <w:r>
        <w:rPr>
          <w:rFonts w:ascii="Times New Roman" w:hAnsi="Times New Roman" w:eastAsia="Times New Roman"/>
          <w:b w:val="0"/>
          <w:i w:val="0"/>
          <w:color w:val="000000"/>
          <w:sz w:val="26"/>
        </w:rPr>
        <w:t>Đối tượng nghiên cứu của luận án là QLNN về quyền SHTT trong nền kinh tế số ở Việt Nam, được xem xét cả ở phương diện nội dung quản lý và tác động đối với doanh nghiệp.</w:t>
      </w:r>
    </w:p>
    <w:p>
      <w:pPr>
        <w:spacing w:line="360" w:lineRule="auto" w:after="60"/>
        <w:ind w:firstLine="567"/>
        <w:jc w:val="both"/>
        <w:widowControl w:val="1"/>
      </w:pPr>
      <w:r>
        <w:rPr>
          <w:rFonts w:ascii="Times New Roman" w:hAnsi="Times New Roman" w:eastAsia="Times New Roman"/>
          <w:b w:val="0"/>
          <w:i w:val="0"/>
          <w:color w:val="000000"/>
          <w:sz w:val="26"/>
        </w:rPr>
        <w:t>Đối tượng khảo sát định lượng là các doanh nghiệp hoạt động trong những ngành có mức độ số hóa hoặc sử dụng tài sản trí tuệ tương đối cao. Đơn vị phân tích là doanh nghiệp. Người cung cấp thông tin là lãnh đạo hoặc nhân sự am hiểu hoạt động SHTT, R&amp;D, công nghệ hoặc đổi mới sáng tạo của doanh nghiệp. Mẫu bao gồm doanh nghiệp đã và chưa đăng ký quyền, đã và chưa tham gia chương trình hỗ trợ để tránh chỉ phản ánh kinh nghiệm của nhóm sử dụng hệ thống thành công.</w:t>
      </w:r>
    </w:p>
    <w:p>
      <w:pPr>
        <w:spacing w:line="360" w:lineRule="auto" w:after="60"/>
        <w:ind w:firstLine="567"/>
        <w:jc w:val="both"/>
        <w:widowControl w:val="1"/>
      </w:pPr>
      <w:r>
        <w:rPr>
          <w:rFonts w:ascii="Times New Roman" w:hAnsi="Times New Roman" w:eastAsia="Times New Roman"/>
          <w:b w:val="0"/>
          <w:i w:val="0"/>
          <w:color w:val="000000"/>
          <w:sz w:val="26"/>
        </w:rPr>
        <w:t>Đối tượng phỏng vấn định tính gồm cán bộ QLNN về SHTT ở trung ương và địa phương; chuyên gia pháp lý và kinh tế; đại diện tổ chức đại diện sở hữu công nghiệp, viện nghiên cứu, trường đại học, tổ chức trung gian; cùng một số doanh nghiệp có kinh nghiệm khác nhau trong bảo hộ, khai thác và thực thi quyền.</w:t>
      </w:r>
    </w:p>
    <w:p>
      <w:pPr>
        <w:pStyle w:val="Heading3"/>
        <w:jc w:val="left"/>
        <w:widowControl w:val="1"/>
      </w:pPr>
      <w:r>
        <w:rPr>
          <w:rFonts w:ascii="Times New Roman" w:hAnsi="Times New Roman" w:eastAsia="Times New Roman"/>
          <w:b/>
          <w:color w:val="000000"/>
          <w:sz w:val="26"/>
        </w:rPr>
        <w:t>4.2. Phạm vi nghiên cứu</w:t>
      </w:r>
    </w:p>
    <w:p>
      <w:pPr>
        <w:spacing w:line="360" w:lineRule="auto" w:after="60"/>
        <w:ind w:firstLine="567"/>
        <w:jc w:val="both"/>
        <w:widowControl w:val="1"/>
      </w:pPr>
      <w:r>
        <w:rPr>
          <w:rFonts w:ascii="Times New Roman" w:hAnsi="Times New Roman" w:eastAsia="Times New Roman"/>
          <w:b w:val="0"/>
          <w:i w:val="0"/>
          <w:color w:val="000000"/>
          <w:sz w:val="26"/>
        </w:rPr>
        <w:t>Về nội dung, luận án tập trung vào bốn nhóm hoạt động QLNN: xây dựng chiến lược, chính sách và pháp luật; tổ chức bộ máy và phối hợp quản lý; tổ chức thực hiện, cung cấp dịch vụ và hỗ trợ doanh nghiệp; kiểm tra, giám sát, thực thi và xử lý vi phạm. Chuyển đổi số dịch vụ công, hạ tầng dữ liệu, nhân lực và nguồn lực tài chính được xem là các điều kiện bảo đảm.</w:t>
      </w:r>
    </w:p>
    <w:p>
      <w:pPr>
        <w:spacing w:line="360" w:lineRule="auto" w:after="60"/>
        <w:ind w:firstLine="567"/>
        <w:jc w:val="both"/>
        <w:widowControl w:val="1"/>
      </w:pPr>
      <w:r>
        <w:rPr>
          <w:rFonts w:ascii="Times New Roman" w:hAnsi="Times New Roman" w:eastAsia="Times New Roman"/>
          <w:b w:val="0"/>
          <w:i w:val="0"/>
          <w:color w:val="000000"/>
          <w:sz w:val="26"/>
        </w:rPr>
        <w:t>Đối với đối tượng quyền, nghiên cứu tập trung vào sáng chế liên quan đến công nghệ số, nhãn hiệu sử dụng trong kinh doanh số, quyền tác giả đối với phần mềm và nội dung số. Bí mật kinh doanh, dữ liệu và sản phẩm có sự tham gia của AI được xem xét như những vấn đề mới đặt ra đối với QLNN, không được đồng nhất với các đối tượng quyền đã được pháp luật xác lập.</w:t>
      </w:r>
    </w:p>
    <w:p>
      <w:pPr>
        <w:spacing w:line="360" w:lineRule="auto" w:after="60"/>
        <w:ind w:firstLine="567"/>
        <w:jc w:val="both"/>
        <w:widowControl w:val="1"/>
      </w:pPr>
      <w:r>
        <w:rPr>
          <w:rFonts w:ascii="Times New Roman" w:hAnsi="Times New Roman" w:eastAsia="Times New Roman"/>
          <w:b w:val="0"/>
          <w:i w:val="0"/>
          <w:color w:val="000000"/>
          <w:sz w:val="26"/>
        </w:rPr>
        <w:t>Về thời gian, dữ liệu thứ cấp được sử dụng để phân tích giai đoạn 2019–2025, bắt đầu từ khi Chiến lược SHTT đến năm 2030 được ban hành. Dữ liệu sơ cấp được thu thập trong thời gian thực hiện luận án; kết quả đổi mới sáng tạo của doanh nghiệp được xem xét trong ba năm gần nhất trước thời điểm khảo sát. Giải pháp được đề xuất đến năm 2035.</w:t>
      </w:r>
    </w:p>
    <w:p>
      <w:pPr>
        <w:spacing w:line="360" w:lineRule="auto" w:after="60"/>
        <w:ind w:firstLine="567"/>
        <w:jc w:val="both"/>
        <w:widowControl w:val="1"/>
      </w:pPr>
      <w:r>
        <w:rPr>
          <w:rFonts w:ascii="Times New Roman" w:hAnsi="Times New Roman" w:eastAsia="Times New Roman"/>
          <w:b w:val="0"/>
          <w:i w:val="0"/>
          <w:color w:val="000000"/>
          <w:sz w:val="26"/>
        </w:rPr>
        <w:t>Về không gian, nghiên cứu thực tiễn được thực hiện trên phạm vi Việt Nam. Khảo sát doanh nghiệp dự kiến phân bố theo các vùng kinh tế và nhóm ngành phù hợp với khả năng tiếp cận mẫu. Kinh nghiệm quốc tế được lựa chọn theo tiêu chí có hệ thống SHTT phát triển, có chính sách hỗ trợ doanh nghiệp và có kinh nghiệm quản lý các vấn đề phát sinh trong môi trường số.</w:t>
      </w:r>
    </w:p>
    <w:p>
      <w:pPr>
        <w:pStyle w:val="Heading2"/>
        <w:jc w:val="left"/>
        <w:widowControl w:val="1"/>
      </w:pPr>
      <w:r>
        <w:rPr>
          <w:rFonts w:ascii="Times New Roman" w:hAnsi="Times New Roman" w:eastAsia="Times New Roman"/>
          <w:b/>
          <w:color w:val="000000"/>
          <w:sz w:val="28"/>
        </w:rPr>
        <w:t>5. Cơ sở lý thuyết, khung phân tích và mô hình nghiên cứu</w:t>
      </w:r>
    </w:p>
    <w:p>
      <w:pPr>
        <w:pStyle w:val="Heading3"/>
        <w:jc w:val="left"/>
        <w:widowControl w:val="1"/>
      </w:pPr>
      <w:r>
        <w:rPr>
          <w:rFonts w:ascii="Times New Roman" w:hAnsi="Times New Roman" w:eastAsia="Times New Roman"/>
          <w:b/>
          <w:color w:val="000000"/>
          <w:sz w:val="26"/>
        </w:rPr>
        <w:t>5.1. Cơ sở lý thuyết</w:t>
      </w:r>
    </w:p>
    <w:p>
      <w:pPr>
        <w:spacing w:line="360" w:lineRule="auto" w:after="60"/>
        <w:ind w:firstLine="567"/>
        <w:jc w:val="both"/>
        <w:widowControl w:val="1"/>
      </w:pPr>
      <w:r>
        <w:rPr>
          <w:rFonts w:ascii="Times New Roman" w:hAnsi="Times New Roman" w:eastAsia="Times New Roman"/>
          <w:b w:val="0"/>
          <w:i w:val="0"/>
          <w:color w:val="000000"/>
          <w:sz w:val="26"/>
        </w:rPr>
        <w:t>Lý thuyết thất bại thị trường được sử dụng để giải thích sự cần thiết của Nhà nước trong việc xác lập quyền, giảm bất cân xứng thông tin, xử lý ngoại ứng tri thức và hỗ trợ vận hành thị trường tài sản trí tuệ. Tuy nhiên, can thiệp của Nhà nước cũng có chi phí và có thể tạo ra rào cản mới. Do đó, luận án không mặc nhiên coi mức bảo hộ cao hơn là quản lý tốt hơn, mà xem xét hiệu lực, hiệu quả, tính phù hợp và khả năng thích ứng của từng công cụ quản lý.</w:t>
      </w:r>
    </w:p>
    <w:p>
      <w:pPr>
        <w:spacing w:line="360" w:lineRule="auto" w:after="60"/>
        <w:ind w:firstLine="567"/>
        <w:jc w:val="both"/>
        <w:widowControl w:val="1"/>
      </w:pPr>
      <w:r>
        <w:rPr>
          <w:rFonts w:ascii="Times New Roman" w:hAnsi="Times New Roman" w:eastAsia="Times New Roman"/>
          <w:b w:val="0"/>
          <w:i w:val="0"/>
          <w:color w:val="000000"/>
          <w:sz w:val="26"/>
        </w:rPr>
        <w:t>Lý thuyết quyền tài sản và vấn đề khả năng thu hồi lợi ích giải thích vai trò của việc xác định rõ chủ thể, phạm vi, thời hạn và cơ chế thực thi quyền. Khi quyền được xác lập và bảo vệ có thể dự đoán, doanh nghiệp có cơ sở để đầu tư, hợp tác, cấp phép hoặc đưa kết quả sáng tạo vào sản phẩm. Ngược lại, quyền quá rộng, chi phí bảo hộ cao hoặc việc thực thi khó dự đoán có thể làm tăng chi phí giao dịch và hạn chế đổi mới tiếp nối.</w:t>
      </w:r>
    </w:p>
    <w:p>
      <w:pPr>
        <w:spacing w:line="360" w:lineRule="auto" w:after="60"/>
        <w:ind w:firstLine="567"/>
        <w:jc w:val="both"/>
        <w:widowControl w:val="1"/>
      </w:pPr>
      <w:r>
        <w:rPr>
          <w:rFonts w:ascii="Times New Roman" w:hAnsi="Times New Roman" w:eastAsia="Times New Roman"/>
          <w:b w:val="0"/>
          <w:i w:val="0"/>
          <w:color w:val="000000"/>
          <w:sz w:val="26"/>
        </w:rPr>
        <w:t>Lý thuyết thể chế được sử dụng để lý giải cách các quy tắc chính thức, thủ tục và chất lượng tổ chức thực hiện ảnh hưởng đến hành vi doanh nghiệp. Trong luận án, chất lượng QLNN không chỉ được nhận diện qua văn bản mà còn qua trải nghiệm của doanh nghiệp khi tìm kiếm thông tin, thực hiện thủ tục, tiếp cận hỗ trợ và bảo vệ quyền. Đây là cầu nối giữa hoạt động của cơ quan nhà nước và hành vi của chủ thể thị trường.</w:t>
      </w:r>
    </w:p>
    <w:p>
      <w:pPr>
        <w:spacing w:line="360" w:lineRule="auto" w:after="60"/>
        <w:ind w:firstLine="567"/>
        <w:jc w:val="both"/>
        <w:widowControl w:val="1"/>
      </w:pPr>
      <w:r>
        <w:rPr>
          <w:rFonts w:ascii="Times New Roman" w:hAnsi="Times New Roman" w:eastAsia="Times New Roman"/>
          <w:b w:val="0"/>
          <w:i w:val="0"/>
          <w:color w:val="000000"/>
          <w:sz w:val="26"/>
        </w:rPr>
        <w:t>Lý thuyết hệ thống đổi mới quốc gia giúp đặt SHTT trong mạng lưới tương tác giữa Nhà nước, doanh nghiệp, viện nghiên cứu, trường đại học, tổ chức trung gian và thị trường tài chính. Quyền SHTT chỉ tạo ra giá trị khi được kết hợp với năng lực nghiên cứu, sản xuất, thương mại hóa và tiếp nhận công nghệ. Lý thuyết này cũng giải thích vì sao cùng một chính sách có thể tạo ra kết quả khác nhau giữa các doanh nghiệp và nhóm ngành.</w:t>
      </w:r>
    </w:p>
    <w:p>
      <w:pPr>
        <w:spacing w:line="360" w:lineRule="auto" w:after="60"/>
        <w:ind w:firstLine="567"/>
        <w:jc w:val="both"/>
        <w:widowControl w:val="1"/>
      </w:pPr>
      <w:r>
        <w:rPr>
          <w:rFonts w:ascii="Times New Roman" w:hAnsi="Times New Roman" w:eastAsia="Times New Roman"/>
          <w:b w:val="0"/>
          <w:i w:val="0"/>
          <w:color w:val="000000"/>
          <w:sz w:val="26"/>
        </w:rPr>
        <w:t>Bốn cách tiếp cận được tích hợp theo logic: thất bại thị trường lý giải nhu cầu can thiệp; lý thuyết quyền tài sản làm rõ cơ chế tạo động lực và khả năng thu hồi lợi ích; lý thuyết thể chế giải thích chất lượng tổ chức quản lý; hệ thống đổi mới quốc gia giải thích sự chuyển hóa từ thiết chế SHTT sang kết quả đổi mới. Khung lý thuyết này được sử dụng để xây dựng các khái niệm nghiên cứu và diễn giải kết quả thực nghiệm.</w:t>
      </w:r>
    </w:p>
    <w:p>
      <w:pPr>
        <w:pStyle w:val="Heading3"/>
        <w:jc w:val="left"/>
        <w:widowControl w:val="1"/>
      </w:pPr>
      <w:r>
        <w:rPr>
          <w:rFonts w:ascii="Times New Roman" w:hAnsi="Times New Roman" w:eastAsia="Times New Roman"/>
          <w:b/>
          <w:color w:val="000000"/>
          <w:sz w:val="26"/>
        </w:rPr>
        <w:t>5.2. Khung phân tích và mô hình nghiên cứu</w:t>
      </w:r>
    </w:p>
    <w:p>
      <w:pPr>
        <w:spacing w:line="360" w:lineRule="auto" w:after="60"/>
        <w:ind w:firstLine="567"/>
        <w:jc w:val="both"/>
        <w:widowControl w:val="1"/>
      </w:pPr>
      <w:r>
        <w:rPr>
          <w:rFonts w:ascii="Times New Roman" w:hAnsi="Times New Roman" w:eastAsia="Times New Roman"/>
          <w:b w:val="0"/>
          <w:i w:val="0"/>
          <w:color w:val="000000"/>
          <w:sz w:val="26"/>
        </w:rPr>
        <w:t>Khung phân tích tổng quát của luận án bắt đầu từ những thay đổi của nền kinh tế số và các vấn đề thị trường phát sinh, tiếp đến là hoạt động QLNN, khả năng doanh nghiệp tiếp cận và sử dụng hệ thống SHTT, rồi mới xem xét kết quả đổi mới sáng tạo. Trong mô hình định lượng, bối cảnh kinh tế số và các thất bại thị trường đóng vai trò nền tảng giải thích; ba khái niệm được đo lường trực tiếp là chất lượng QLNN, mức độ tiếp cận và sử dụng hệ thống SHTT và kết quả đổi mới sáng tạo của doanh nghiệp.</w:t>
      </w:r>
    </w:p>
    <w:p>
      <w:pPr>
        <w:spacing w:after="60"/>
        <w:ind w:firstLine="0"/>
        <w:jc w:val="center"/>
        <w:widowControl w:val="1"/>
      </w:pPr>
      <w:r>
        <w:drawing>
          <wp:inline xmlns:a="http://schemas.openxmlformats.org/drawingml/2006/main" xmlns:pic="http://schemas.openxmlformats.org/drawingml/2006/picture">
            <wp:extent cx="5580000" cy="2691529"/>
            <wp:docPr id="1" name="Picture 1"/>
            <wp:cNvGraphicFramePr>
              <a:graphicFrameLocks noChangeAspect="1"/>
            </wp:cNvGraphicFramePr>
            <a:graphic>
              <a:graphicData uri="http://schemas.openxmlformats.org/drawingml/2006/picture">
                <pic:pic>
                  <pic:nvPicPr>
                    <pic:cNvPr id="0" name="khung_nghien_cuu.png"/>
                    <pic:cNvPicPr/>
                  </pic:nvPicPr>
                  <pic:blipFill>
                    <a:blip r:embed="rId10"/>
                    <a:stretch>
                      <a:fillRect/>
                    </a:stretch>
                  </pic:blipFill>
                  <pic:spPr>
                    <a:xfrm>
                      <a:off x="0" y="0"/>
                      <a:ext cx="5580000" cy="2691529"/>
                    </a:xfrm>
                    <a:prstGeom prst="rect"/>
                  </pic:spPr>
                </pic:pic>
              </a:graphicData>
            </a:graphic>
          </wp:inline>
        </w:drawing>
      </w:r>
    </w:p>
    <w:p>
      <w:pPr>
        <w:pStyle w:val="CaptionVN"/>
        <w:widowControl w:val="1"/>
      </w:pPr>
      <w:r>
        <w:rPr>
          <w:rFonts w:ascii="Times New Roman" w:hAnsi="Times New Roman" w:eastAsia="Times New Roman"/>
          <w:b w:val="0"/>
          <w:i/>
          <w:color w:val="000000"/>
          <w:sz w:val="23"/>
        </w:rPr>
        <w:t>Hình 1. Mô hình nghiên cứu đề xuất</w:t>
      </w:r>
    </w:p>
    <w:p>
      <w:pPr>
        <w:pStyle w:val="CaptionVN"/>
        <w:widowControl w:val="1"/>
      </w:pPr>
      <w:r>
        <w:rPr>
          <w:rFonts w:ascii="Times New Roman" w:hAnsi="Times New Roman" w:eastAsia="Times New Roman"/>
          <w:b w:val="0"/>
          <w:i/>
          <w:color w:val="000000"/>
          <w:sz w:val="23"/>
        </w:rPr>
        <w:t>Nguồn: Nghiên cứu sinh đề xuất</w:t>
      </w:r>
    </w:p>
    <w:p>
      <w:pPr>
        <w:spacing w:line="360" w:lineRule="auto" w:after="60"/>
        <w:ind w:firstLine="567"/>
        <w:jc w:val="both"/>
        <w:widowControl w:val="1"/>
      </w:pPr>
      <w:r>
        <w:rPr>
          <w:rFonts w:ascii="Times New Roman" w:hAnsi="Times New Roman" w:eastAsia="Times New Roman"/>
          <w:b w:val="0"/>
          <w:i w:val="0"/>
          <w:color w:val="000000"/>
          <w:sz w:val="26"/>
        </w:rPr>
        <w:t>Chất lượng QLNN về quyền SHTT được phản ánh qua bốn nhóm thành phần: chất lượng chính sách và pháp luật; chất lượng thủ tục, dịch vụ công và tổ chức thực hiện; chất lượng hỗ trợ doanh nghiệp; hiệu quả thực thi và bảo vệ quyền. Các thành phần này có thể được kiểm định như các cấu phần riêng trong mô hình. Việc hình thành một khái niệm bậc cao chỉ được thực hiện khi kết quả khảo sát thử và phân tích thang đo cung cấp đủ bằng chứng.</w:t>
      </w:r>
    </w:p>
    <w:p>
      <w:pPr>
        <w:spacing w:line="360" w:lineRule="auto" w:after="60"/>
        <w:ind w:firstLine="567"/>
        <w:jc w:val="both"/>
        <w:widowControl w:val="1"/>
      </w:pPr>
      <w:r>
        <w:rPr>
          <w:rFonts w:ascii="Times New Roman" w:hAnsi="Times New Roman" w:eastAsia="Times New Roman"/>
          <w:b w:val="0"/>
          <w:i w:val="0"/>
          <w:color w:val="000000"/>
          <w:sz w:val="26"/>
        </w:rPr>
        <w:t>Mức độ tiếp cận và sử dụng hệ thống SHTT gồm hai chiều cạnh. Tiếp cận phản ánh khả năng doanh nghiệp tìm kiếm thông tin, cơ sở dữ liệu, dịch vụ đăng ký, tư vấn, hỗ trợ, định giá, chuyển giao và cơ chế giải quyết tranh chấp. Sử dụng phản ánh hành vi thực tế như tra cứu thông tin, lựa chọn hình thức bảo hộ, đăng ký quyền, sử dụng quyền trong R&amp;D và kinh doanh, tham gia chương trình hỗ trợ, cấp phép hoặc yêu cầu bảo vệ quyền. Hai chiều cạnh được thiết kế bằng các nhóm chỉ báo riêng và chỉ gộp khi dữ liệu chứng minh chúng thuộc cùng một cấu trúc đo lường.</w:t>
      </w:r>
    </w:p>
    <w:p>
      <w:pPr>
        <w:spacing w:line="360" w:lineRule="auto" w:after="60"/>
        <w:ind w:firstLine="567"/>
        <w:jc w:val="both"/>
        <w:widowControl w:val="1"/>
      </w:pPr>
      <w:r>
        <w:rPr>
          <w:rFonts w:ascii="Times New Roman" w:hAnsi="Times New Roman" w:eastAsia="Times New Roman"/>
          <w:b w:val="0"/>
          <w:i w:val="0"/>
          <w:color w:val="000000"/>
          <w:sz w:val="26"/>
        </w:rPr>
        <w:t>Kết quả đổi mới sáng tạo được đo lường ở cấp doanh nghiệp và trong một khoảng thời gian xác định. Các biểu hiện dự kiến gồm sản phẩm hoặc dịch vụ mới, cải tiến đáng kể quy trình, ứng dụng công nghệ số, đổi mới mô hình kinh doanh và doanh thu từ sản phẩm mới. “Phát triển kinh tế số” không được đưa trực tiếp vào mô hình khảo sát vì đây là kết quả ở cấp độ rộng hơn so với đơn vị phân tích là doanh nghiệp.</w:t>
      </w:r>
    </w:p>
    <w:p>
      <w:pPr>
        <w:pStyle w:val="CaptionVN"/>
        <w:widowControl w:val="1"/>
      </w:pPr>
      <w:r>
        <w:rPr>
          <w:rFonts w:ascii="Times New Roman" w:hAnsi="Times New Roman" w:eastAsia="Times New Roman"/>
          <w:b/>
          <w:i w:val="0"/>
          <w:color w:val="000000"/>
          <w:sz w:val="23"/>
        </w:rPr>
        <w:t>Bảng 1. Các khái niệm nghiên cứu và thành phần dự kiến</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2438"/>
            <w:vAlign w:val="center"/>
            <w:shd w:fill="E7E6E6"/>
          </w:tcPr>
          <w:p>
            <w:pPr>
              <w:spacing w:after="0" w:line="276" w:lineRule="auto"/>
              <w:ind w:firstLine="0"/>
              <w:jc w:val="center"/>
            </w:pPr>
            <w:r/>
            <w:r>
              <w:rPr>
                <w:rFonts w:ascii="Times New Roman" w:hAnsi="Times New Roman" w:eastAsia="Times New Roman"/>
                <w:b/>
                <w:color w:val="000000"/>
                <w:sz w:val="22"/>
              </w:rPr>
              <w:t>Khái niệm nghiên cứu</w:t>
            </w:r>
          </w:p>
        </w:tc>
        <w:tc>
          <w:tcPr>
            <w:tcW w:type="dxa" w:w="2948"/>
            <w:vAlign w:val="center"/>
            <w:shd w:fill="E7E6E6"/>
          </w:tcPr>
          <w:p>
            <w:pPr>
              <w:spacing w:after="0" w:line="276" w:lineRule="auto"/>
              <w:ind w:firstLine="0"/>
              <w:jc w:val="center"/>
            </w:pPr>
            <w:r/>
            <w:r>
              <w:rPr>
                <w:rFonts w:ascii="Times New Roman" w:hAnsi="Times New Roman" w:eastAsia="Times New Roman"/>
                <w:b/>
                <w:color w:val="000000"/>
                <w:sz w:val="22"/>
              </w:rPr>
              <w:t>Thành phần dự kiến</w:t>
            </w:r>
          </w:p>
        </w:tc>
        <w:tc>
          <w:tcPr>
            <w:tcW w:type="dxa" w:w="3402"/>
            <w:vAlign w:val="center"/>
            <w:shd w:fill="E7E6E6"/>
          </w:tcPr>
          <w:p>
            <w:pPr>
              <w:spacing w:after="0" w:line="276" w:lineRule="auto"/>
              <w:ind w:firstLine="0"/>
              <w:jc w:val="center"/>
            </w:pPr>
            <w:r/>
            <w:r>
              <w:rPr>
                <w:rFonts w:ascii="Times New Roman" w:hAnsi="Times New Roman" w:eastAsia="Times New Roman"/>
                <w:b/>
                <w:color w:val="000000"/>
                <w:sz w:val="22"/>
              </w:rPr>
              <w:t>Biểu hiện đo lường chính</w:t>
            </w:r>
          </w:p>
        </w:tc>
      </w:tr>
      <w:tr>
        <w:tc>
          <w:tcPr>
            <w:tcW w:type="dxa" w:w="2438"/>
            <w:vAlign w:val="center"/>
          </w:tcPr>
          <w:p>
            <w:pPr>
              <w:spacing w:after="0" w:line="276" w:lineRule="auto"/>
              <w:ind w:firstLine="0"/>
              <w:jc w:val="left"/>
            </w:pPr>
            <w:r/>
            <w:r>
              <w:rPr>
                <w:rFonts w:ascii="Times New Roman" w:hAnsi="Times New Roman" w:eastAsia="Times New Roman"/>
                <w:b w:val="0"/>
                <w:color w:val="000000"/>
                <w:sz w:val="21"/>
              </w:rPr>
              <w:t>Chất lượng QLNN về quyền SHTT</w:t>
            </w:r>
          </w:p>
        </w:tc>
        <w:tc>
          <w:tcPr>
            <w:tcW w:type="dxa" w:w="2948"/>
            <w:vAlign w:val="center"/>
          </w:tcPr>
          <w:p>
            <w:pPr>
              <w:spacing w:after="0" w:line="276" w:lineRule="auto"/>
              <w:ind w:firstLine="0"/>
              <w:jc w:val="left"/>
            </w:pPr>
            <w:r/>
            <w:r>
              <w:rPr>
                <w:rFonts w:ascii="Times New Roman" w:hAnsi="Times New Roman" w:eastAsia="Times New Roman"/>
                <w:b w:val="0"/>
                <w:color w:val="000000"/>
                <w:sz w:val="21"/>
              </w:rPr>
              <w:t>Chính sách và pháp luật; thủ tục và dịch vụ công; hỗ trợ doanh nghiệp; thực thi và bảo vệ quyền</w:t>
            </w:r>
          </w:p>
        </w:tc>
        <w:tc>
          <w:tcPr>
            <w:tcW w:type="dxa" w:w="3402"/>
            <w:vAlign w:val="center"/>
          </w:tcPr>
          <w:p>
            <w:pPr>
              <w:spacing w:after="0" w:line="276" w:lineRule="auto"/>
              <w:ind w:firstLine="0"/>
              <w:jc w:val="left"/>
            </w:pPr>
            <w:r/>
            <w:r>
              <w:rPr>
                <w:rFonts w:ascii="Times New Roman" w:hAnsi="Times New Roman" w:eastAsia="Times New Roman"/>
                <w:b w:val="0"/>
                <w:color w:val="000000"/>
                <w:sz w:val="21"/>
              </w:rPr>
              <w:t>Rõ ràng, ổn định, phù hợp; thời gian và chi phí thủ tục; khả năng tiếp cận hỗ trợ; tính dự đoán và hiệu quả bảo vệ quyền</w:t>
            </w:r>
          </w:p>
        </w:tc>
      </w:tr>
      <w:tr>
        <w:tc>
          <w:tcPr>
            <w:tcW w:type="dxa" w:w="2438"/>
            <w:vAlign w:val="center"/>
          </w:tcPr>
          <w:p>
            <w:pPr>
              <w:spacing w:after="0" w:line="276" w:lineRule="auto"/>
              <w:ind w:firstLine="0"/>
              <w:jc w:val="left"/>
            </w:pPr>
            <w:r/>
            <w:r>
              <w:rPr>
                <w:rFonts w:ascii="Times New Roman" w:hAnsi="Times New Roman" w:eastAsia="Times New Roman"/>
                <w:b w:val="0"/>
                <w:color w:val="000000"/>
                <w:sz w:val="21"/>
              </w:rPr>
              <w:t>Tiếp cận và sử dụng hệ thống SHTT</w:t>
            </w:r>
          </w:p>
        </w:tc>
        <w:tc>
          <w:tcPr>
            <w:tcW w:type="dxa" w:w="2948"/>
            <w:vAlign w:val="center"/>
          </w:tcPr>
          <w:p>
            <w:pPr>
              <w:spacing w:after="0" w:line="276" w:lineRule="auto"/>
              <w:ind w:firstLine="0"/>
              <w:jc w:val="left"/>
            </w:pPr>
            <w:r/>
            <w:r>
              <w:rPr>
                <w:rFonts w:ascii="Times New Roman" w:hAnsi="Times New Roman" w:eastAsia="Times New Roman"/>
                <w:b w:val="0"/>
                <w:color w:val="000000"/>
                <w:sz w:val="21"/>
              </w:rPr>
              <w:t>Khả năng tiếp cận; hành vi sử dụng thực tế</w:t>
            </w:r>
          </w:p>
        </w:tc>
        <w:tc>
          <w:tcPr>
            <w:tcW w:type="dxa" w:w="3402"/>
            <w:vAlign w:val="center"/>
          </w:tcPr>
          <w:p>
            <w:pPr>
              <w:spacing w:after="0" w:line="276" w:lineRule="auto"/>
              <w:ind w:firstLine="0"/>
              <w:jc w:val="left"/>
            </w:pPr>
            <w:r/>
            <w:r>
              <w:rPr>
                <w:rFonts w:ascii="Times New Roman" w:hAnsi="Times New Roman" w:eastAsia="Times New Roman"/>
                <w:b w:val="0"/>
                <w:color w:val="000000"/>
                <w:sz w:val="21"/>
              </w:rPr>
              <w:t>Tiếp cận thông tin, dữ liệu, tư vấn và hỗ trợ; tra cứu, đăng ký, quản trị, cấp phép, chuyển giao và bảo vệ quyền</w:t>
            </w:r>
          </w:p>
        </w:tc>
      </w:tr>
      <w:tr>
        <w:tc>
          <w:tcPr>
            <w:tcW w:type="dxa" w:w="2438"/>
            <w:vAlign w:val="center"/>
          </w:tcPr>
          <w:p>
            <w:pPr>
              <w:spacing w:after="0" w:line="276" w:lineRule="auto"/>
              <w:ind w:firstLine="0"/>
              <w:jc w:val="left"/>
            </w:pPr>
            <w:r/>
            <w:r>
              <w:rPr>
                <w:rFonts w:ascii="Times New Roman" w:hAnsi="Times New Roman" w:eastAsia="Times New Roman"/>
                <w:b w:val="0"/>
                <w:color w:val="000000"/>
                <w:sz w:val="21"/>
              </w:rPr>
              <w:t>Kết quả đổi mới sáng tạo</w:t>
            </w:r>
          </w:p>
        </w:tc>
        <w:tc>
          <w:tcPr>
            <w:tcW w:type="dxa" w:w="2948"/>
            <w:vAlign w:val="center"/>
          </w:tcPr>
          <w:p>
            <w:pPr>
              <w:spacing w:after="0" w:line="276" w:lineRule="auto"/>
              <w:ind w:firstLine="0"/>
              <w:jc w:val="left"/>
            </w:pPr>
            <w:r/>
            <w:r>
              <w:rPr>
                <w:rFonts w:ascii="Times New Roman" w:hAnsi="Times New Roman" w:eastAsia="Times New Roman"/>
                <w:b w:val="0"/>
                <w:color w:val="000000"/>
                <w:sz w:val="21"/>
              </w:rPr>
              <w:t>Sản phẩm/dịch vụ; quy trình; mô hình kinh doanh</w:t>
            </w:r>
          </w:p>
        </w:tc>
        <w:tc>
          <w:tcPr>
            <w:tcW w:type="dxa" w:w="3402"/>
            <w:vAlign w:val="center"/>
          </w:tcPr>
          <w:p>
            <w:pPr>
              <w:spacing w:after="0" w:line="276" w:lineRule="auto"/>
              <w:ind w:firstLine="0"/>
              <w:jc w:val="left"/>
            </w:pPr>
            <w:r/>
            <w:r>
              <w:rPr>
                <w:rFonts w:ascii="Times New Roman" w:hAnsi="Times New Roman" w:eastAsia="Times New Roman"/>
                <w:b w:val="0"/>
                <w:color w:val="000000"/>
                <w:sz w:val="21"/>
              </w:rPr>
              <w:t>Sản phẩm mới, quy trình mới hoặc cải tiến, ứng dụng công nghệ số, kênh và mô hình kinh doanh mới</w:t>
            </w:r>
          </w:p>
        </w:tc>
      </w:tr>
      <w:tr>
        <w:tc>
          <w:tcPr>
            <w:tcW w:type="dxa" w:w="2438"/>
            <w:vAlign w:val="center"/>
          </w:tcPr>
          <w:p>
            <w:pPr>
              <w:spacing w:after="0" w:line="276" w:lineRule="auto"/>
              <w:ind w:firstLine="0"/>
              <w:jc w:val="left"/>
            </w:pPr>
            <w:r/>
            <w:r>
              <w:rPr>
                <w:rFonts w:ascii="Times New Roman" w:hAnsi="Times New Roman" w:eastAsia="Times New Roman"/>
                <w:b w:val="0"/>
                <w:color w:val="000000"/>
                <w:sz w:val="21"/>
              </w:rPr>
              <w:t>Yếu tố kiểm soát</w:t>
            </w:r>
          </w:p>
        </w:tc>
        <w:tc>
          <w:tcPr>
            <w:tcW w:type="dxa" w:w="2948"/>
            <w:vAlign w:val="center"/>
          </w:tcPr>
          <w:p>
            <w:pPr>
              <w:spacing w:after="0" w:line="276" w:lineRule="auto"/>
              <w:ind w:firstLine="0"/>
              <w:jc w:val="left"/>
            </w:pPr>
            <w:r/>
            <w:r>
              <w:rPr>
                <w:rFonts w:ascii="Times New Roman" w:hAnsi="Times New Roman" w:eastAsia="Times New Roman"/>
                <w:b w:val="0"/>
                <w:color w:val="000000"/>
                <w:sz w:val="21"/>
              </w:rPr>
              <w:t>Đặc điểm doanh nghiệp</w:t>
            </w:r>
          </w:p>
        </w:tc>
        <w:tc>
          <w:tcPr>
            <w:tcW w:type="dxa" w:w="3402"/>
            <w:vAlign w:val="center"/>
          </w:tcPr>
          <w:p>
            <w:pPr>
              <w:spacing w:after="0" w:line="276" w:lineRule="auto"/>
              <w:ind w:firstLine="0"/>
              <w:jc w:val="left"/>
            </w:pPr>
            <w:r/>
            <w:r>
              <w:rPr>
                <w:rFonts w:ascii="Times New Roman" w:hAnsi="Times New Roman" w:eastAsia="Times New Roman"/>
                <w:b w:val="0"/>
                <w:color w:val="000000"/>
                <w:sz w:val="21"/>
              </w:rPr>
              <w:t>Quy mô, tuổi, ngành, hình thức sở hữu, R&amp;D, mức độ số hóa, xuất khẩu, tình trạng sở hữu quyền</w:t>
            </w:r>
          </w:p>
        </w:tc>
      </w:tr>
    </w:tbl>
    <w:p>
      <w:pPr>
        <w:pStyle w:val="CaptionVN"/>
        <w:widowControl w:val="1"/>
      </w:pPr>
      <w:r>
        <w:rPr>
          <w:rFonts w:ascii="Times New Roman" w:hAnsi="Times New Roman" w:eastAsia="Times New Roman"/>
          <w:b w:val="0"/>
          <w:i/>
          <w:color w:val="000000"/>
          <w:sz w:val="23"/>
        </w:rPr>
        <w:t>Nguồn: Nghiên cứu sinh tổng hợp và đề xuất</w:t>
      </w:r>
    </w:p>
    <w:p>
      <w:pPr>
        <w:pStyle w:val="Heading2"/>
        <w:jc w:val="left"/>
        <w:widowControl w:val="1"/>
      </w:pPr>
      <w:r>
        <w:rPr>
          <w:rFonts w:ascii="Times New Roman" w:hAnsi="Times New Roman" w:eastAsia="Times New Roman"/>
          <w:b/>
          <w:color w:val="000000"/>
          <w:sz w:val="28"/>
        </w:rPr>
        <w:t>6. Phương pháp nghiên cứu</w:t>
      </w:r>
    </w:p>
    <w:p>
      <w:pPr>
        <w:pStyle w:val="Heading3"/>
        <w:jc w:val="left"/>
        <w:widowControl w:val="1"/>
      </w:pPr>
      <w:r>
        <w:rPr>
          <w:rFonts w:ascii="Times New Roman" w:hAnsi="Times New Roman" w:eastAsia="Times New Roman"/>
          <w:b/>
          <w:color w:val="000000"/>
          <w:sz w:val="26"/>
        </w:rPr>
        <w:t>6.1. Cách tiếp cận và thiết kế nghiên cứu</w:t>
      </w:r>
    </w:p>
    <w:p>
      <w:pPr>
        <w:spacing w:line="360" w:lineRule="auto" w:after="60"/>
        <w:ind w:firstLine="567"/>
        <w:jc w:val="both"/>
        <w:widowControl w:val="1"/>
      </w:pPr>
      <w:r>
        <w:rPr>
          <w:rFonts w:ascii="Times New Roman" w:hAnsi="Times New Roman" w:eastAsia="Times New Roman"/>
          <w:b w:val="0"/>
          <w:i w:val="0"/>
          <w:color w:val="000000"/>
          <w:sz w:val="26"/>
        </w:rPr>
        <w:t>Luận án sử dụng phương pháp nghiên cứu hỗn hợp theo trình tự. Giai đoạn đầu tập trung vào tổng quan tài liệu, phân tích chính sách và phỏng vấn chuyên gia để hoàn thiện khung phân tích, nhận diện các chỉ báo và đánh giá thực trạng. Tiếp đó, khảo sát thử được thực hiện để hiệu chỉnh bảng hỏi. Giai đoạn định lượng chính thức kiểm định thang đo và các mối quan hệ trong mô hình. Cuối cùng, kết quả định lượng được đối chiếu với dữ liệu thứ cấp và ý kiến chuyên gia để giải thích cơ chế, khác biệt giữa các nhóm doanh nghiệp và đề xuất giải pháp.</w:t>
      </w:r>
    </w:p>
    <w:p>
      <w:pPr>
        <w:spacing w:line="360" w:lineRule="auto" w:after="60"/>
        <w:ind w:firstLine="567"/>
        <w:jc w:val="both"/>
        <w:widowControl w:val="1"/>
      </w:pPr>
      <w:r>
        <w:rPr>
          <w:rFonts w:ascii="Times New Roman" w:hAnsi="Times New Roman" w:eastAsia="Times New Roman"/>
          <w:b w:val="0"/>
          <w:i w:val="0"/>
          <w:color w:val="000000"/>
          <w:sz w:val="26"/>
        </w:rPr>
        <w:t>Nghiên cứu định tính và định lượng thực hiện hai chức năng khác nhau. Hợp phần định tính trả lời các câu hỏi về nội dung quản lý, thực trạng, hạn chế và nguyên nhân. Hợp phần định lượng kiểm định mối quan hệ giữa chất lượng quản lý, hành vi tiếp cận và sử dụng hệ thống SHTT và kết quả đổi mới. Việc kết hợp hai nguồn bằng chứng giúp tránh đồng nhất đánh giá của doanh nghiệp với toàn bộ thực trạng QLNN.</w:t>
      </w:r>
    </w:p>
    <w:p>
      <w:pPr>
        <w:pStyle w:val="Heading3"/>
        <w:jc w:val="left"/>
        <w:widowControl w:val="1"/>
      </w:pPr>
      <w:r>
        <w:rPr>
          <w:rFonts w:ascii="Times New Roman" w:hAnsi="Times New Roman" w:eastAsia="Times New Roman"/>
          <w:b/>
          <w:color w:val="000000"/>
          <w:sz w:val="26"/>
        </w:rPr>
        <w:t>6.2. Nghiên cứu định tính</w:t>
      </w:r>
    </w:p>
    <w:p>
      <w:pPr>
        <w:spacing w:line="360" w:lineRule="auto" w:after="60"/>
        <w:ind w:firstLine="567"/>
        <w:jc w:val="both"/>
        <w:widowControl w:val="1"/>
      </w:pPr>
      <w:r>
        <w:rPr>
          <w:rFonts w:ascii="Times New Roman" w:hAnsi="Times New Roman" w:eastAsia="Times New Roman"/>
          <w:b w:val="0"/>
          <w:i w:val="0"/>
          <w:color w:val="000000"/>
          <w:sz w:val="26"/>
        </w:rPr>
        <w:t>Nghiên cứu định tính bao gồm tổng quan có hệ thống các nhóm tài liệu liên quan; phân tích văn bản pháp luật, chiến lược, chương trình và báo cáo thực thi; so sánh kinh nghiệm quốc tế; phỏng vấn sâu bán cấu trúc. Việc phân tích văn bản tập trung vào mục tiêu, công cụ, phân công trách nhiệm, cơ chế phối hợp, nguồn lực thực hiện và kết quả được báo cáo, thay vì chỉ liệt kê văn bản.</w:t>
      </w:r>
    </w:p>
    <w:p>
      <w:pPr>
        <w:spacing w:line="360" w:lineRule="auto" w:after="60"/>
        <w:ind w:firstLine="567"/>
        <w:jc w:val="both"/>
        <w:widowControl w:val="1"/>
      </w:pPr>
      <w:r>
        <w:rPr>
          <w:rFonts w:ascii="Times New Roman" w:hAnsi="Times New Roman" w:eastAsia="Times New Roman"/>
          <w:b w:val="0"/>
          <w:i w:val="0"/>
          <w:color w:val="000000"/>
          <w:sz w:val="26"/>
        </w:rPr>
        <w:t>Dự kiến phỏng vấn từ 20 đến 25 người, bảo đảm có đại diện của cơ quan quản lý, chuyên gia, tổ chức cung cấp dịch vụ SHTT, tổ chức trung gian và doanh nghiệp. Mẫu phỏng vấn được lựa chọn có chủ đích theo kinh nghiệm và vị trí công tác; việc bổ sung người tham gia dừng khi thông tin đạt mức bão hòa tương đối. Nội dung phỏng vấn xoay quanh bốn nhóm hoạt động quản lý, rào cản của doanh nghiệp, tính phù hợp của thang đo và những điều kiện làm cho cùng một chính sách tạo ra kết quả khác nhau.</w:t>
      </w:r>
    </w:p>
    <w:p>
      <w:pPr>
        <w:spacing w:line="360" w:lineRule="auto" w:after="60"/>
        <w:ind w:firstLine="567"/>
        <w:jc w:val="both"/>
        <w:widowControl w:val="1"/>
      </w:pPr>
      <w:r>
        <w:rPr>
          <w:rFonts w:ascii="Times New Roman" w:hAnsi="Times New Roman" w:eastAsia="Times New Roman"/>
          <w:b w:val="0"/>
          <w:i w:val="0"/>
          <w:color w:val="000000"/>
          <w:sz w:val="26"/>
        </w:rPr>
        <w:t>Dữ liệu phỏng vấn được mã hóa theo chủ đề. Kết quả được sử dụng để bổ sung bằng chứng cho đánh giá thực trạng, điều chỉnh câu hỏi khảo sát và giải thích các kết quả định lượng không phù hợp với dự kiến. Danh tính người tham gia được mã hóa; các trích dẫn chỉ được sử dụng khi có sự đồng ý và không làm lộ thông tin nhạy cảm.</w:t>
      </w:r>
    </w:p>
    <w:p>
      <w:pPr>
        <w:pStyle w:val="Heading3"/>
        <w:jc w:val="left"/>
        <w:widowControl w:val="1"/>
      </w:pPr>
      <w:r>
        <w:rPr>
          <w:rFonts w:ascii="Times New Roman" w:hAnsi="Times New Roman" w:eastAsia="Times New Roman"/>
          <w:b/>
          <w:color w:val="000000"/>
          <w:sz w:val="26"/>
        </w:rPr>
        <w:t>6.3. Nghiên cứu định lượng</w:t>
      </w:r>
    </w:p>
    <w:p>
      <w:pPr>
        <w:spacing w:line="360" w:lineRule="auto" w:after="60"/>
        <w:ind w:firstLine="567"/>
        <w:jc w:val="both"/>
        <w:widowControl w:val="1"/>
      </w:pPr>
      <w:r>
        <w:rPr>
          <w:rFonts w:ascii="Times New Roman" w:hAnsi="Times New Roman" w:eastAsia="Times New Roman"/>
          <w:b w:val="0"/>
          <w:i w:val="0"/>
          <w:color w:val="000000"/>
          <w:sz w:val="26"/>
        </w:rPr>
        <w:t>Khảo sát chính thức hướng đến tối thiểu 350 phiếu hợp lệ. Số phiếu phát ra dự kiến cao hơn để bù đắp phiếu thiếu thông tin hoặc không đáp ứng tiêu chí người trả lời. Trong điều kiện chưa có khung mẫu đầy đủ về các doanh nghiệp có hoạt động SHTT, luận án áp dụng chọn mẫu phân tầng có kiểm soát theo ngành, quy mô và vùng, kết hợp tiếp cận có chủ đích thông qua hiệp hội doanh nghiệp, cơ quan hỗ trợ, tổ chức đại diện và mạng lưới chuyên môn. Cách chọn mẫu và giới hạn suy rộng sẽ được công bố rõ trong luận án.</w:t>
      </w:r>
    </w:p>
    <w:p>
      <w:pPr>
        <w:spacing w:line="360" w:lineRule="auto" w:after="60"/>
        <w:ind w:firstLine="567"/>
        <w:jc w:val="both"/>
        <w:widowControl w:val="1"/>
      </w:pPr>
      <w:r>
        <w:rPr>
          <w:rFonts w:ascii="Times New Roman" w:hAnsi="Times New Roman" w:eastAsia="Times New Roman"/>
          <w:b w:val="0"/>
          <w:i w:val="0"/>
          <w:color w:val="000000"/>
          <w:sz w:val="26"/>
        </w:rPr>
        <w:t>Bảng hỏi sử dụng thang Likert 5 mức đối với các nhận định đánh giá và các câu hỏi về tần suất hoặc mức độ sử dụng. Kết quả đổi mới được hỏi trong ba năm gần nhất nhằm thống nhất khoảng thời gian tham chiếu. Trước khảo sát chính thức, bảng hỏi được phản biện bởi chuyên gia và thử nghiệm với khoảng 30–50 doanh nghiệp để kiểm tra ngôn ngữ, thời lượng trả lời, độ phân tán của chỉ báo và khả năng phân biệt giữa “tiếp cận” và “sử dụng”.</w:t>
      </w:r>
    </w:p>
    <w:p>
      <w:pPr>
        <w:spacing w:line="360" w:lineRule="auto" w:after="60"/>
        <w:ind w:firstLine="567"/>
        <w:jc w:val="both"/>
        <w:widowControl w:val="1"/>
      </w:pPr>
      <w:r>
        <w:rPr>
          <w:rFonts w:ascii="Times New Roman" w:hAnsi="Times New Roman" w:eastAsia="Times New Roman"/>
          <w:b w:val="0"/>
          <w:i w:val="0"/>
          <w:color w:val="000000"/>
          <w:sz w:val="26"/>
        </w:rPr>
        <w:t>Dữ liệu được làm sạch trước khi phân tích. Các bước dự kiến gồm thống kê mô tả, kiểm định độ tin cậy, phân tích nhân tố khám phá, phân tích nhân tố khẳng định và kiểm định mô hình cấu trúc. Tác động trung gian được đánh giá bằng bootstrap với khoảng tin cậy. Nếu cấu trúc bậc cao của chất lượng QLNN không được dữ liệu hỗ trợ, bốn thành phần quản lý được đưa vào mô hình như các khái niệm độc lập thay vì gộp cơ học thành một chỉ số chung.</w:t>
      </w:r>
    </w:p>
    <w:p>
      <w:pPr>
        <w:spacing w:line="360" w:lineRule="auto" w:after="60"/>
        <w:ind w:firstLine="567"/>
        <w:jc w:val="both"/>
        <w:widowControl w:val="1"/>
      </w:pPr>
      <w:r>
        <w:rPr>
          <w:rFonts w:ascii="Times New Roman" w:hAnsi="Times New Roman" w:eastAsia="Times New Roman"/>
          <w:b w:val="0"/>
          <w:i w:val="0"/>
          <w:color w:val="000000"/>
          <w:sz w:val="26"/>
        </w:rPr>
        <w:t>Các yếu tố kiểm soát gồm quy mô, tuổi, ngành, hình thức sở hữu, hoạt động R&amp;D, mức độ số hóa, xuất khẩu và tình trạng sở hữu quyền SHTT. Luận án thực hiện phân tích độ nhạy bằng các mô hình thay thế và phân tích theo nhóm khi cỡ mẫu cho phép. Do dữ liệu khảo sát chủ yếu mang tính cắt ngang, kết quả được diễn giải thận trọng như bằng chứng về mối quan hệ phù hợp với cơ chế lý thuyết, không đồng nhất với bằng chứng nhân quả tuyệt đối.</w:t>
      </w:r>
    </w:p>
    <w:p>
      <w:pPr>
        <w:spacing w:line="360" w:lineRule="auto" w:after="60"/>
        <w:ind w:firstLine="567"/>
        <w:jc w:val="both"/>
        <w:widowControl w:val="1"/>
      </w:pPr>
      <w:r>
        <w:rPr>
          <w:rFonts w:ascii="Times New Roman" w:hAnsi="Times New Roman" w:eastAsia="Times New Roman"/>
          <w:b w:val="0"/>
          <w:i w:val="0"/>
          <w:color w:val="000000"/>
          <w:sz w:val="26"/>
        </w:rPr>
        <w:t>Để hạn chế sai lệch phương pháp chung, bảng hỏi được thiết kế ẩn danh, tách các nhóm câu hỏi, sử dụng cách diễn đạt trung tính và tránh để người trả lời suy đoán giả thuyết nghiên cứu. Sau thu thập, luận án kiểm tra sai lệch không trả lời, cấu trúc một nhân tố và các chỉ số cộng tuyến phù hợp với phương pháp ước lượng được lựa chọn.</w:t>
      </w:r>
    </w:p>
    <w:p>
      <w:pPr>
        <w:pStyle w:val="Heading3"/>
        <w:jc w:val="left"/>
        <w:widowControl w:val="1"/>
      </w:pPr>
      <w:r>
        <w:rPr>
          <w:rFonts w:ascii="Times New Roman" w:hAnsi="Times New Roman" w:eastAsia="Times New Roman"/>
          <w:b/>
          <w:color w:val="000000"/>
          <w:sz w:val="26"/>
        </w:rPr>
        <w:t>6.4. Dữ liệu và phương pháp theo câu hỏi nghiên cứu</w:t>
      </w:r>
    </w:p>
    <w:p>
      <w:pPr>
        <w:pStyle w:val="CaptionVN"/>
        <w:widowControl w:val="1"/>
      </w:pPr>
      <w:r>
        <w:rPr>
          <w:rFonts w:ascii="Times New Roman" w:hAnsi="Times New Roman" w:eastAsia="Times New Roman"/>
          <w:b/>
          <w:i w:val="0"/>
          <w:color w:val="000000"/>
          <w:sz w:val="23"/>
        </w:rPr>
        <w:t>Bảng 2. Liên hệ giữa câu hỏi nghiên cứu, dữ liệu và phương pháp</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1757"/>
            <w:vAlign w:val="center"/>
            <w:shd w:fill="E7E6E6"/>
          </w:tcPr>
          <w:p>
            <w:pPr>
              <w:spacing w:after="0" w:line="276" w:lineRule="auto"/>
              <w:ind w:firstLine="0"/>
              <w:jc w:val="center"/>
            </w:pPr>
            <w:r/>
            <w:r>
              <w:rPr>
                <w:rFonts w:ascii="Times New Roman" w:hAnsi="Times New Roman" w:eastAsia="Times New Roman"/>
                <w:b/>
                <w:color w:val="000000"/>
                <w:sz w:val="22"/>
              </w:rPr>
              <w:t>Câu hỏi</w:t>
            </w:r>
          </w:p>
        </w:tc>
        <w:tc>
          <w:tcPr>
            <w:tcW w:type="dxa" w:w="3515"/>
            <w:vAlign w:val="center"/>
            <w:shd w:fill="E7E6E6"/>
          </w:tcPr>
          <w:p>
            <w:pPr>
              <w:spacing w:after="0" w:line="276" w:lineRule="auto"/>
              <w:ind w:firstLine="0"/>
              <w:jc w:val="center"/>
            </w:pPr>
            <w:r/>
            <w:r>
              <w:rPr>
                <w:rFonts w:ascii="Times New Roman" w:hAnsi="Times New Roman" w:eastAsia="Times New Roman"/>
                <w:b/>
                <w:color w:val="000000"/>
                <w:sz w:val="22"/>
              </w:rPr>
              <w:t>Dữ liệu chủ yếu</w:t>
            </w:r>
          </w:p>
        </w:tc>
        <w:tc>
          <w:tcPr>
            <w:tcW w:type="dxa" w:w="3515"/>
            <w:vAlign w:val="center"/>
            <w:shd w:fill="E7E6E6"/>
          </w:tcPr>
          <w:p>
            <w:pPr>
              <w:spacing w:after="0" w:line="276" w:lineRule="auto"/>
              <w:ind w:firstLine="0"/>
              <w:jc w:val="center"/>
            </w:pPr>
            <w:r/>
            <w:r>
              <w:rPr>
                <w:rFonts w:ascii="Times New Roman" w:hAnsi="Times New Roman" w:eastAsia="Times New Roman"/>
                <w:b/>
                <w:color w:val="000000"/>
                <w:sz w:val="22"/>
              </w:rPr>
              <w:t>Phương pháp phân tích</w:t>
            </w:r>
          </w:p>
        </w:tc>
      </w:tr>
      <w:tr>
        <w:tc>
          <w:tcPr>
            <w:tcW w:type="dxa" w:w="1757"/>
            <w:vAlign w:val="center"/>
          </w:tcPr>
          <w:p>
            <w:pPr>
              <w:spacing w:after="0" w:line="276" w:lineRule="auto"/>
              <w:ind w:firstLine="0"/>
              <w:jc w:val="left"/>
            </w:pPr>
            <w:r/>
            <w:r>
              <w:rPr>
                <w:rFonts w:ascii="Times New Roman" w:hAnsi="Times New Roman" w:eastAsia="Times New Roman"/>
                <w:b w:val="0"/>
                <w:color w:val="000000"/>
                <w:sz w:val="21"/>
              </w:rPr>
              <w:t>Câu hỏi 1</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Tài liệu lý thuyết, nghiên cứu trước, văn bản chính sách</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Tổng quan, phân tích khái niệm, tổng hợp và lập luận lý thuyết</w:t>
            </w:r>
          </w:p>
        </w:tc>
      </w:tr>
      <w:tr>
        <w:tc>
          <w:tcPr>
            <w:tcW w:type="dxa" w:w="1757"/>
            <w:vAlign w:val="center"/>
          </w:tcPr>
          <w:p>
            <w:pPr>
              <w:spacing w:after="0" w:line="276" w:lineRule="auto"/>
              <w:ind w:firstLine="0"/>
              <w:jc w:val="left"/>
            </w:pPr>
            <w:r/>
            <w:r>
              <w:rPr>
                <w:rFonts w:ascii="Times New Roman" w:hAnsi="Times New Roman" w:eastAsia="Times New Roman"/>
                <w:b w:val="0"/>
                <w:color w:val="000000"/>
                <w:sz w:val="21"/>
              </w:rPr>
              <w:t>Câu hỏi 2</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Văn bản, báo cáo, số liệu thứ cấp, phỏng vấn chuyên gia</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Phân tích chính sách, thống kê mô tả, phân tích chủ đề và đối chiếu bằng chứng</w:t>
            </w:r>
          </w:p>
        </w:tc>
      </w:tr>
      <w:tr>
        <w:tc>
          <w:tcPr>
            <w:tcW w:type="dxa" w:w="1757"/>
            <w:vAlign w:val="center"/>
          </w:tcPr>
          <w:p>
            <w:pPr>
              <w:spacing w:after="0" w:line="276" w:lineRule="auto"/>
              <w:ind w:firstLine="0"/>
              <w:jc w:val="left"/>
            </w:pPr>
            <w:r/>
            <w:r>
              <w:rPr>
                <w:rFonts w:ascii="Times New Roman" w:hAnsi="Times New Roman" w:eastAsia="Times New Roman"/>
                <w:b w:val="0"/>
                <w:color w:val="000000"/>
                <w:sz w:val="21"/>
              </w:rPr>
              <w:t>Câu hỏi 3–5</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Khảo sát doanh nghiệp, kết quả phỏng vấn bổ sung</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Kiểm định thang đo, CFA/SEM hoặc mô hình tương đương, bootstrap trung gian, phân tích theo nhóm</w:t>
            </w:r>
          </w:p>
        </w:tc>
      </w:tr>
      <w:tr>
        <w:tc>
          <w:tcPr>
            <w:tcW w:type="dxa" w:w="1757"/>
            <w:vAlign w:val="center"/>
          </w:tcPr>
          <w:p>
            <w:pPr>
              <w:spacing w:after="0" w:line="276" w:lineRule="auto"/>
              <w:ind w:firstLine="0"/>
              <w:jc w:val="left"/>
            </w:pPr>
            <w:r/>
            <w:r>
              <w:rPr>
                <w:rFonts w:ascii="Times New Roman" w:hAnsi="Times New Roman" w:eastAsia="Times New Roman"/>
                <w:b w:val="0"/>
                <w:color w:val="000000"/>
                <w:sz w:val="21"/>
              </w:rPr>
              <w:t>Câu hỏi 6</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Kết quả các chương trước, kinh nghiệm quốc tế, phỏng vấn</w:t>
            </w:r>
          </w:p>
        </w:tc>
        <w:tc>
          <w:tcPr>
            <w:tcW w:type="dxa" w:w="3515"/>
            <w:vAlign w:val="center"/>
          </w:tcPr>
          <w:p>
            <w:pPr>
              <w:spacing w:after="0" w:line="276" w:lineRule="auto"/>
              <w:ind w:firstLine="0"/>
              <w:jc w:val="left"/>
            </w:pPr>
            <w:r/>
            <w:r>
              <w:rPr>
                <w:rFonts w:ascii="Times New Roman" w:hAnsi="Times New Roman" w:eastAsia="Times New Roman"/>
                <w:b w:val="0"/>
                <w:color w:val="000000"/>
                <w:sz w:val="21"/>
              </w:rPr>
              <w:t>Tổng hợp, so sánh, đánh giá tính khả thi và xây dựng nhóm giải pháp</w:t>
            </w:r>
          </w:p>
        </w:tc>
      </w:tr>
    </w:tbl>
    <w:p>
      <w:pPr>
        <w:pStyle w:val="CaptionVN"/>
        <w:widowControl w:val="1"/>
      </w:pPr>
      <w:r>
        <w:rPr>
          <w:rFonts w:ascii="Times New Roman" w:hAnsi="Times New Roman" w:eastAsia="Times New Roman"/>
          <w:b w:val="0"/>
          <w:i/>
          <w:color w:val="000000"/>
          <w:sz w:val="23"/>
        </w:rPr>
        <w:t>Nguồn: Nghiên cứu sinh đề xuất</w:t>
      </w:r>
    </w:p>
    <w:p>
      <w:pPr>
        <w:pStyle w:val="Heading2"/>
        <w:jc w:val="left"/>
        <w:widowControl w:val="1"/>
      </w:pPr>
      <w:r>
        <w:rPr>
          <w:rFonts w:ascii="Times New Roman" w:hAnsi="Times New Roman" w:eastAsia="Times New Roman"/>
          <w:b/>
          <w:color w:val="000000"/>
          <w:sz w:val="28"/>
        </w:rPr>
        <w:t>7. Những đóng góp dự kiến của luận án</w:t>
      </w:r>
    </w:p>
    <w:p>
      <w:pPr>
        <w:pStyle w:val="Heading3"/>
        <w:jc w:val="left"/>
        <w:widowControl w:val="1"/>
      </w:pPr>
      <w:r>
        <w:rPr>
          <w:rFonts w:ascii="Times New Roman" w:hAnsi="Times New Roman" w:eastAsia="Times New Roman"/>
          <w:b/>
          <w:color w:val="000000"/>
          <w:sz w:val="26"/>
        </w:rPr>
        <w:t>7.1. Đóng góp về lý luận</w:t>
      </w:r>
    </w:p>
    <w:p>
      <w:pPr>
        <w:spacing w:line="360" w:lineRule="auto" w:after="60"/>
        <w:ind w:firstLine="567"/>
        <w:jc w:val="both"/>
        <w:widowControl w:val="1"/>
      </w:pPr>
      <w:r>
        <w:rPr>
          <w:rFonts w:ascii="Times New Roman" w:hAnsi="Times New Roman" w:eastAsia="Times New Roman"/>
          <w:b w:val="0"/>
          <w:i w:val="0"/>
          <w:color w:val="000000"/>
          <w:sz w:val="26"/>
        </w:rPr>
        <w:t>Luận án dự kiến làm rõ QLNN về quyền SHTT trong nền kinh tế số như một cơ chế thể chế tác động đến hành vi doanh nghiệp, chứ không chỉ là hệ thống văn bản và hoạt động hành chính. Trên cơ sở tích hợp lý thuyết thất bại thị trường, quyền tài sản, thể chế và hệ thống đổi mới quốc gia, luận án đề xuất khung phân tích nối hoạt động quản lý với khả năng doanh nghiệp tiếp cận, sử dụng hệ thống SHTT và kết quả đổi mới sáng tạo.</w:t>
      </w:r>
    </w:p>
    <w:p>
      <w:pPr>
        <w:pStyle w:val="Heading3"/>
        <w:jc w:val="left"/>
        <w:widowControl w:val="1"/>
      </w:pPr>
      <w:r>
        <w:rPr>
          <w:rFonts w:ascii="Times New Roman" w:hAnsi="Times New Roman" w:eastAsia="Times New Roman"/>
          <w:b/>
          <w:color w:val="000000"/>
          <w:sz w:val="26"/>
        </w:rPr>
        <w:t>7.2. Đóng góp về phương pháp</w:t>
      </w:r>
    </w:p>
    <w:p>
      <w:pPr>
        <w:spacing w:line="360" w:lineRule="auto" w:after="60"/>
        <w:ind w:firstLine="567"/>
        <w:jc w:val="both"/>
        <w:widowControl w:val="1"/>
      </w:pPr>
      <w:r>
        <w:rPr>
          <w:rFonts w:ascii="Times New Roman" w:hAnsi="Times New Roman" w:eastAsia="Times New Roman"/>
          <w:b w:val="0"/>
          <w:i w:val="0"/>
          <w:color w:val="000000"/>
          <w:sz w:val="26"/>
        </w:rPr>
        <w:t>Luận án dự kiến xây dựng và kiểm định bộ chỉ báo đánh giá chất lượng QLNN về quyền SHTT từ góc nhìn doanh nghiệp; đồng thời phân biệt rõ khả năng tiếp cận với hành vi sử dụng thực tế. Việc kiểm định vai trò trung gian giúp làm rõ con đường mà hoạt động quản lý có thể chuyển thành kết quả ở cấp doanh nghiệp.</w:t>
      </w:r>
    </w:p>
    <w:p>
      <w:pPr>
        <w:pStyle w:val="Heading3"/>
        <w:jc w:val="left"/>
        <w:widowControl w:val="1"/>
      </w:pPr>
      <w:r>
        <w:rPr>
          <w:rFonts w:ascii="Times New Roman" w:hAnsi="Times New Roman" w:eastAsia="Times New Roman"/>
          <w:b/>
          <w:color w:val="000000"/>
          <w:sz w:val="26"/>
        </w:rPr>
        <w:t>7.3. Đóng góp về thực tiễn</w:t>
      </w:r>
    </w:p>
    <w:p>
      <w:pPr>
        <w:spacing w:line="360" w:lineRule="auto" w:after="60"/>
        <w:ind w:firstLine="567"/>
        <w:jc w:val="both"/>
        <w:widowControl w:val="1"/>
      </w:pPr>
      <w:r>
        <w:rPr>
          <w:rFonts w:ascii="Times New Roman" w:hAnsi="Times New Roman" w:eastAsia="Times New Roman"/>
          <w:b w:val="0"/>
          <w:i w:val="0"/>
          <w:color w:val="000000"/>
          <w:sz w:val="26"/>
        </w:rPr>
        <w:t>Kết quả nghiên cứu dự kiến xác định những nội dung quản lý có liên hệ mạnh hơn với hành vi sử dụng hệ thống SHTT và đổi mới sáng tạo, qua đó hỗ trợ lựa chọn thứ tự ưu tiên chính sách. Các giải pháp được xây dựng theo từng nhóm: hoàn thiện chính sách và pháp luật; cải thiện dịch vụ công và dữ liệu; nâng cao chất lượng hỗ trợ; củng cố thực thi; phát triển năng lực phối hợp và nguồn lực quản lý.</w:t>
      </w:r>
    </w:p>
    <w:p>
      <w:pPr>
        <w:pStyle w:val="Heading2"/>
        <w:jc w:val="left"/>
        <w:widowControl w:val="1"/>
      </w:pPr>
      <w:r>
        <w:rPr>
          <w:rFonts w:ascii="Times New Roman" w:hAnsi="Times New Roman" w:eastAsia="Times New Roman"/>
          <w:b/>
          <w:color w:val="000000"/>
          <w:sz w:val="28"/>
        </w:rPr>
        <w:t>8. Kết cấu dự kiến của luận án</w:t>
      </w:r>
    </w:p>
    <w:p>
      <w:pPr>
        <w:spacing w:line="360" w:lineRule="auto" w:after="60"/>
        <w:ind w:firstLine="567"/>
        <w:jc w:val="both"/>
        <w:widowControl w:val="1"/>
      </w:pPr>
      <w:r>
        <w:rPr>
          <w:rFonts w:ascii="Times New Roman" w:hAnsi="Times New Roman" w:eastAsia="Times New Roman"/>
          <w:b w:val="0"/>
          <w:i w:val="0"/>
          <w:color w:val="000000"/>
          <w:sz w:val="26"/>
        </w:rPr>
        <w:t>Ngoài phần mở đầu, kết luận, danh mục tài liệu tham khảo và phụ lục, luận án được kết cấu thành bốn chương. Cấu trúc này kế thừa cách tổ chức phổ biến của luận án ngành kinh tế và quản lý ở Việt Nam, đồng thời dành một phần riêng cho mô hình và kết quả thực nghiệm.</w:t>
      </w:r>
    </w:p>
    <w:p>
      <w:pPr>
        <w:spacing w:line="360" w:lineRule="auto" w:after="40"/>
        <w:ind w:left="397" w:hanging="255"/>
        <w:jc w:val="both"/>
        <w:widowControl w:val="1"/>
      </w:pPr>
      <w:r>
        <w:rPr>
          <w:rFonts w:ascii="Times New Roman" w:hAnsi="Times New Roman" w:eastAsia="Times New Roman"/>
          <w:color w:val="000000"/>
          <w:sz w:val="26"/>
        </w:rPr>
        <w:t>– Chương 1. Tổng quan tình hình nghiên cứu và phương pháp nghiên cứu.</w:t>
      </w:r>
    </w:p>
    <w:p>
      <w:pPr>
        <w:spacing w:line="360" w:lineRule="auto" w:after="40"/>
        <w:ind w:left="397" w:hanging="255"/>
        <w:jc w:val="both"/>
        <w:widowControl w:val="1"/>
      </w:pPr>
      <w:r>
        <w:rPr>
          <w:rFonts w:ascii="Times New Roman" w:hAnsi="Times New Roman" w:eastAsia="Times New Roman"/>
          <w:color w:val="000000"/>
          <w:sz w:val="26"/>
        </w:rPr>
        <w:t>– Chương 2. Cơ sở lý luận và kinh nghiệm thực tiễn về QLNN đối với quyền SHTT trong nền kinh tế số.</w:t>
      </w:r>
    </w:p>
    <w:p>
      <w:pPr>
        <w:spacing w:line="360" w:lineRule="auto" w:after="40"/>
        <w:ind w:left="397" w:hanging="255"/>
        <w:jc w:val="both"/>
        <w:widowControl w:val="1"/>
      </w:pPr>
      <w:r>
        <w:rPr>
          <w:rFonts w:ascii="Times New Roman" w:hAnsi="Times New Roman" w:eastAsia="Times New Roman"/>
          <w:color w:val="000000"/>
          <w:sz w:val="26"/>
        </w:rPr>
        <w:t>– Chương 3. Thực trạng QLNN về quyền SHTT và kết quả nghiên cứu thực nghiệm ở Việt Nam.</w:t>
      </w:r>
    </w:p>
    <w:p>
      <w:pPr>
        <w:spacing w:line="360" w:lineRule="auto" w:after="40"/>
        <w:ind w:left="397" w:hanging="255"/>
        <w:jc w:val="both"/>
        <w:widowControl w:val="1"/>
      </w:pPr>
      <w:r>
        <w:rPr>
          <w:rFonts w:ascii="Times New Roman" w:hAnsi="Times New Roman" w:eastAsia="Times New Roman"/>
          <w:color w:val="000000"/>
          <w:sz w:val="26"/>
        </w:rPr>
        <w:t>– Chương 4. Quan điểm, định hướng và giải pháp hoàn thiện QLNN về quyền SHTT trong nền kinh tế số ở Việt Nam đến năm 2035.</w:t>
      </w:r>
    </w:p>
    <w:p>
      <w:pPr>
        <w:pStyle w:val="Heading1"/>
        <w:jc w:val="center"/>
        <w:widowControl w:val="1"/>
      </w:pPr>
      <w:r>
        <w:rPr>
          <w:rFonts w:ascii="Times New Roman" w:hAnsi="Times New Roman" w:eastAsia="Times New Roman"/>
          <w:b/>
          <w:color w:val="000000"/>
          <w:sz w:val="30"/>
        </w:rPr>
        <w:t>DỰ KIẾN KHUNG NỘI DUNG CHI TIẾT CỦA LUẬN ÁN</w:t>
      </w:r>
    </w:p>
    <w:p>
      <w:pPr>
        <w:pStyle w:val="Heading1"/>
        <w:jc w:val="center"/>
        <w:widowControl w:val="1"/>
      </w:pPr>
      <w:r>
        <w:rPr>
          <w:rFonts w:ascii="Times New Roman" w:hAnsi="Times New Roman" w:eastAsia="Times New Roman"/>
          <w:b/>
          <w:color w:val="000000"/>
          <w:sz w:val="30"/>
        </w:rPr>
        <w:t>CHƯƠNG 1. TỔNG QUAN TÌNH HÌNH NGHIÊN CỨU VÀ PHƯƠNG PHÁP NGHIÊN CỨU</w:t>
      </w:r>
    </w:p>
    <w:p>
      <w:pPr>
        <w:pStyle w:val="Heading2"/>
        <w:jc w:val="left"/>
        <w:widowControl w:val="1"/>
      </w:pPr>
      <w:r>
        <w:rPr>
          <w:rFonts w:ascii="Times New Roman" w:hAnsi="Times New Roman" w:eastAsia="Times New Roman"/>
          <w:b/>
          <w:color w:val="000000"/>
          <w:sz w:val="28"/>
        </w:rPr>
        <w:t>1.1. Tổng quan các công trình nghiên cứu liên quan</w:t>
      </w:r>
    </w:p>
    <w:p>
      <w:pPr>
        <w:pStyle w:val="Heading3"/>
        <w:jc w:val="left"/>
        <w:widowControl w:val="1"/>
      </w:pPr>
      <w:r>
        <w:rPr>
          <w:rFonts w:ascii="Times New Roman" w:hAnsi="Times New Roman" w:eastAsia="Times New Roman"/>
          <w:b/>
          <w:color w:val="000000"/>
          <w:sz w:val="26"/>
        </w:rPr>
        <w:t>1.1.1. Nghiên cứu về QLNN đối với quyền SHTT trong nền kinh tế số</w:t>
      </w:r>
    </w:p>
    <w:p>
      <w:pPr>
        <w:pStyle w:val="Heading3"/>
        <w:jc w:val="left"/>
        <w:widowControl w:val="1"/>
      </w:pPr>
      <w:r>
        <w:rPr>
          <w:rFonts w:ascii="Times New Roman" w:hAnsi="Times New Roman" w:eastAsia="Times New Roman"/>
          <w:b/>
          <w:color w:val="000000"/>
          <w:sz w:val="26"/>
        </w:rPr>
        <w:t>1.1.2. Nghiên cứu về khả năng doanh nghiệp tiếp cận và sử dụng hệ thống SHTT</w:t>
      </w:r>
    </w:p>
    <w:p>
      <w:pPr>
        <w:pStyle w:val="Heading3"/>
        <w:jc w:val="left"/>
        <w:widowControl w:val="1"/>
      </w:pPr>
      <w:r>
        <w:rPr>
          <w:rFonts w:ascii="Times New Roman" w:hAnsi="Times New Roman" w:eastAsia="Times New Roman"/>
          <w:b/>
          <w:color w:val="000000"/>
          <w:sz w:val="26"/>
        </w:rPr>
        <w:t>1.1.3. Nghiên cứu về thể chế SHTT và kết quả đổi mới sáng tạo của doanh nghiệp</w:t>
      </w:r>
    </w:p>
    <w:p>
      <w:pPr>
        <w:pStyle w:val="Heading3"/>
        <w:jc w:val="left"/>
        <w:widowControl w:val="1"/>
      </w:pPr>
      <w:r>
        <w:rPr>
          <w:rFonts w:ascii="Times New Roman" w:hAnsi="Times New Roman" w:eastAsia="Times New Roman"/>
          <w:b/>
          <w:color w:val="000000"/>
          <w:sz w:val="26"/>
        </w:rPr>
        <w:t>1.1.4. Nghiên cứu về SHTT, AI, dữ liệu và đổi mới tích lũy</w:t>
      </w:r>
    </w:p>
    <w:p>
      <w:pPr>
        <w:pStyle w:val="Heading2"/>
        <w:jc w:val="left"/>
        <w:widowControl w:val="1"/>
      </w:pPr>
      <w:r>
        <w:rPr>
          <w:rFonts w:ascii="Times New Roman" w:hAnsi="Times New Roman" w:eastAsia="Times New Roman"/>
          <w:b/>
          <w:color w:val="000000"/>
          <w:sz w:val="28"/>
        </w:rPr>
        <w:t>1.2. Đánh giá tình hình nghiên cứu và xác định khoảng trống</w:t>
      </w:r>
    </w:p>
    <w:p>
      <w:pPr>
        <w:pStyle w:val="Heading3"/>
        <w:jc w:val="left"/>
        <w:widowControl w:val="1"/>
      </w:pPr>
      <w:r>
        <w:rPr>
          <w:rFonts w:ascii="Times New Roman" w:hAnsi="Times New Roman" w:eastAsia="Times New Roman"/>
          <w:b/>
          <w:color w:val="000000"/>
          <w:sz w:val="26"/>
        </w:rPr>
        <w:t>1.2.1. Những kết quả luận án kế thừa</w:t>
      </w:r>
    </w:p>
    <w:p>
      <w:pPr>
        <w:pStyle w:val="Heading3"/>
        <w:jc w:val="left"/>
        <w:widowControl w:val="1"/>
      </w:pPr>
      <w:r>
        <w:rPr>
          <w:rFonts w:ascii="Times New Roman" w:hAnsi="Times New Roman" w:eastAsia="Times New Roman"/>
          <w:b/>
          <w:color w:val="000000"/>
          <w:sz w:val="26"/>
        </w:rPr>
        <w:t>1.2.2. Những vấn đề còn tranh luận hoặc chưa được giải thích đầy đủ</w:t>
      </w:r>
    </w:p>
    <w:p>
      <w:pPr>
        <w:pStyle w:val="Heading3"/>
        <w:jc w:val="left"/>
        <w:widowControl w:val="1"/>
      </w:pPr>
      <w:r>
        <w:rPr>
          <w:rFonts w:ascii="Times New Roman" w:hAnsi="Times New Roman" w:eastAsia="Times New Roman"/>
          <w:b/>
          <w:color w:val="000000"/>
          <w:sz w:val="26"/>
        </w:rPr>
        <w:t>1.2.3. Khoảng trống và hướng nghiên cứu của luận án</w:t>
      </w:r>
    </w:p>
    <w:p>
      <w:pPr>
        <w:pStyle w:val="Heading2"/>
        <w:jc w:val="left"/>
        <w:widowControl w:val="1"/>
      </w:pPr>
      <w:r>
        <w:rPr>
          <w:rFonts w:ascii="Times New Roman" w:hAnsi="Times New Roman" w:eastAsia="Times New Roman"/>
          <w:b/>
          <w:color w:val="000000"/>
          <w:sz w:val="28"/>
        </w:rPr>
        <w:t>1.3. Quy trình và thiết kế nghiên cứu</w:t>
      </w:r>
    </w:p>
    <w:p>
      <w:pPr>
        <w:pStyle w:val="Heading3"/>
        <w:jc w:val="left"/>
        <w:widowControl w:val="1"/>
      </w:pPr>
      <w:r>
        <w:rPr>
          <w:rFonts w:ascii="Times New Roman" w:hAnsi="Times New Roman" w:eastAsia="Times New Roman"/>
          <w:b/>
          <w:color w:val="000000"/>
          <w:sz w:val="26"/>
        </w:rPr>
        <w:t>1.3.1. Quy trình nghiên cứu tổng thể</w:t>
      </w:r>
    </w:p>
    <w:p>
      <w:pPr>
        <w:pStyle w:val="Heading3"/>
        <w:jc w:val="left"/>
        <w:widowControl w:val="1"/>
      </w:pPr>
      <w:r>
        <w:rPr>
          <w:rFonts w:ascii="Times New Roman" w:hAnsi="Times New Roman" w:eastAsia="Times New Roman"/>
          <w:b/>
          <w:color w:val="000000"/>
          <w:sz w:val="26"/>
        </w:rPr>
        <w:t>1.3.2. Thiết kế nghiên cứu hỗn hợp và cách tích hợp kết quả</w:t>
      </w:r>
    </w:p>
    <w:p>
      <w:pPr>
        <w:pStyle w:val="Heading2"/>
        <w:jc w:val="left"/>
        <w:widowControl w:val="1"/>
      </w:pPr>
      <w:r>
        <w:rPr>
          <w:rFonts w:ascii="Times New Roman" w:hAnsi="Times New Roman" w:eastAsia="Times New Roman"/>
          <w:b/>
          <w:color w:val="000000"/>
          <w:sz w:val="28"/>
        </w:rPr>
        <w:t>1.4. Phương pháp nghiên cứu</w:t>
      </w:r>
    </w:p>
    <w:p>
      <w:pPr>
        <w:pStyle w:val="Heading3"/>
        <w:jc w:val="left"/>
        <w:widowControl w:val="1"/>
      </w:pPr>
      <w:r>
        <w:rPr>
          <w:rFonts w:ascii="Times New Roman" w:hAnsi="Times New Roman" w:eastAsia="Times New Roman"/>
          <w:b/>
          <w:color w:val="000000"/>
          <w:sz w:val="26"/>
        </w:rPr>
        <w:t>1.4.1. Phương pháp thu thập và phân tích dữ liệu thứ cấp</w:t>
      </w:r>
    </w:p>
    <w:p>
      <w:pPr>
        <w:pStyle w:val="Heading3"/>
        <w:jc w:val="left"/>
        <w:widowControl w:val="1"/>
      </w:pPr>
      <w:r>
        <w:rPr>
          <w:rFonts w:ascii="Times New Roman" w:hAnsi="Times New Roman" w:eastAsia="Times New Roman"/>
          <w:b/>
          <w:color w:val="000000"/>
          <w:sz w:val="26"/>
        </w:rPr>
        <w:t>1.4.2. Phỏng vấn chuyên gia và phân tích dữ liệu định tính</w:t>
      </w:r>
    </w:p>
    <w:p>
      <w:pPr>
        <w:pStyle w:val="Heading3"/>
        <w:jc w:val="left"/>
        <w:widowControl w:val="1"/>
      </w:pPr>
      <w:r>
        <w:rPr>
          <w:rFonts w:ascii="Times New Roman" w:hAnsi="Times New Roman" w:eastAsia="Times New Roman"/>
          <w:b/>
          <w:color w:val="000000"/>
          <w:sz w:val="26"/>
        </w:rPr>
        <w:t>1.4.3. Xây dựng thang đo, khảo sát thử và khảo sát chính thức</w:t>
      </w:r>
    </w:p>
    <w:p>
      <w:pPr>
        <w:pStyle w:val="Heading3"/>
        <w:jc w:val="left"/>
        <w:widowControl w:val="1"/>
      </w:pPr>
      <w:r>
        <w:rPr>
          <w:rFonts w:ascii="Times New Roman" w:hAnsi="Times New Roman" w:eastAsia="Times New Roman"/>
          <w:b/>
          <w:color w:val="000000"/>
          <w:sz w:val="26"/>
        </w:rPr>
        <w:t>1.4.4. Phương pháp phân tích dữ liệu định lượng và kiểm định mô hình</w:t>
      </w:r>
    </w:p>
    <w:p>
      <w:pPr>
        <w:pStyle w:val="Heading3"/>
        <w:jc w:val="left"/>
        <w:widowControl w:val="1"/>
      </w:pPr>
      <w:r>
        <w:rPr>
          <w:rFonts w:ascii="Times New Roman" w:hAnsi="Times New Roman" w:eastAsia="Times New Roman"/>
          <w:b/>
          <w:color w:val="000000"/>
          <w:sz w:val="26"/>
        </w:rPr>
        <w:t>1.4.5. Đạo đức nghiên cứu, độ tin cậy và giới hạn phương pháp</w:t>
      </w:r>
    </w:p>
    <w:p>
      <w:pPr>
        <w:pStyle w:val="Heading1"/>
        <w:jc w:val="center"/>
        <w:widowControl w:val="1"/>
      </w:pPr>
      <w:r>
        <w:rPr>
          <w:rFonts w:ascii="Times New Roman" w:hAnsi="Times New Roman" w:eastAsia="Times New Roman"/>
          <w:b/>
          <w:color w:val="000000"/>
          <w:sz w:val="30"/>
        </w:rPr>
        <w:t>CHƯƠNG 2. CƠ SỞ LÝ LUẬN VÀ KINH NGHIỆM THỰC TIỄN VỀ QUẢN LÝ NHÀ NƯỚC ĐỐI VỚI QUYỀN SỞ HỮU TRÍ TUỆ TRONG NỀN KINH TẾ SỐ</w:t>
      </w:r>
    </w:p>
    <w:p>
      <w:pPr>
        <w:pStyle w:val="Heading2"/>
        <w:jc w:val="left"/>
        <w:widowControl w:val="1"/>
      </w:pPr>
      <w:r>
        <w:rPr>
          <w:rFonts w:ascii="Times New Roman" w:hAnsi="Times New Roman" w:eastAsia="Times New Roman"/>
          <w:b/>
          <w:color w:val="000000"/>
          <w:sz w:val="28"/>
        </w:rPr>
        <w:t>2.1. Các khái niệm cơ bản</w:t>
      </w:r>
    </w:p>
    <w:p>
      <w:pPr>
        <w:pStyle w:val="Heading3"/>
        <w:jc w:val="left"/>
        <w:widowControl w:val="1"/>
      </w:pPr>
      <w:r>
        <w:rPr>
          <w:rFonts w:ascii="Times New Roman" w:hAnsi="Times New Roman" w:eastAsia="Times New Roman"/>
          <w:b/>
          <w:color w:val="000000"/>
          <w:sz w:val="26"/>
        </w:rPr>
        <w:t>2.1.1. Quyền SHTT và hệ thống SHTT</w:t>
      </w:r>
    </w:p>
    <w:p>
      <w:pPr>
        <w:pStyle w:val="Heading3"/>
        <w:jc w:val="left"/>
        <w:widowControl w:val="1"/>
      </w:pPr>
      <w:r>
        <w:rPr>
          <w:rFonts w:ascii="Times New Roman" w:hAnsi="Times New Roman" w:eastAsia="Times New Roman"/>
          <w:b/>
          <w:color w:val="000000"/>
          <w:sz w:val="26"/>
        </w:rPr>
        <w:t>2.1.2. Kinh tế số và những thay đổi đối với việc tạo lập, bảo hộ và khai thác tài sản trí tuệ</w:t>
      </w:r>
    </w:p>
    <w:p>
      <w:pPr>
        <w:pStyle w:val="Heading3"/>
        <w:jc w:val="left"/>
        <w:widowControl w:val="1"/>
      </w:pPr>
      <w:r>
        <w:rPr>
          <w:rFonts w:ascii="Times New Roman" w:hAnsi="Times New Roman" w:eastAsia="Times New Roman"/>
          <w:b/>
          <w:color w:val="000000"/>
          <w:sz w:val="26"/>
        </w:rPr>
        <w:t>2.1.3. QLNN về quyền SHTT trong nền kinh tế số</w:t>
      </w:r>
    </w:p>
    <w:p>
      <w:pPr>
        <w:pStyle w:val="Heading3"/>
        <w:jc w:val="left"/>
        <w:widowControl w:val="1"/>
      </w:pPr>
      <w:r>
        <w:rPr>
          <w:rFonts w:ascii="Times New Roman" w:hAnsi="Times New Roman" w:eastAsia="Times New Roman"/>
          <w:b/>
          <w:color w:val="000000"/>
          <w:sz w:val="26"/>
        </w:rPr>
        <w:t>2.1.4. Tiếp cận và sử dụng hệ thống SHTT của doanh nghiệp</w:t>
      </w:r>
    </w:p>
    <w:p>
      <w:pPr>
        <w:pStyle w:val="Heading3"/>
        <w:jc w:val="left"/>
        <w:widowControl w:val="1"/>
      </w:pPr>
      <w:r>
        <w:rPr>
          <w:rFonts w:ascii="Times New Roman" w:hAnsi="Times New Roman" w:eastAsia="Times New Roman"/>
          <w:b/>
          <w:color w:val="000000"/>
          <w:sz w:val="26"/>
        </w:rPr>
        <w:t>2.1.5. Kết quả đổi mới sáng tạo của doanh nghiệp</w:t>
      </w:r>
    </w:p>
    <w:p>
      <w:pPr>
        <w:pStyle w:val="Heading2"/>
        <w:jc w:val="left"/>
        <w:widowControl w:val="1"/>
      </w:pPr>
      <w:r>
        <w:rPr>
          <w:rFonts w:ascii="Times New Roman" w:hAnsi="Times New Roman" w:eastAsia="Times New Roman"/>
          <w:b/>
          <w:color w:val="000000"/>
          <w:sz w:val="28"/>
        </w:rPr>
        <w:t>2.2. Cơ sở kinh tế và các lý thuyết nền tảng</w:t>
      </w:r>
    </w:p>
    <w:p>
      <w:pPr>
        <w:pStyle w:val="Heading3"/>
        <w:jc w:val="left"/>
        <w:widowControl w:val="1"/>
      </w:pPr>
      <w:r>
        <w:rPr>
          <w:rFonts w:ascii="Times New Roman" w:hAnsi="Times New Roman" w:eastAsia="Times New Roman"/>
          <w:b/>
          <w:color w:val="000000"/>
          <w:sz w:val="26"/>
        </w:rPr>
        <w:t>2.2.1. Tri thức, thất bại thị trường và sự cần thiết của can thiệp nhà nước</w:t>
      </w:r>
    </w:p>
    <w:p>
      <w:pPr>
        <w:pStyle w:val="Heading3"/>
        <w:jc w:val="left"/>
        <w:widowControl w:val="1"/>
      </w:pPr>
      <w:r>
        <w:rPr>
          <w:rFonts w:ascii="Times New Roman" w:hAnsi="Times New Roman" w:eastAsia="Times New Roman"/>
          <w:b/>
          <w:color w:val="000000"/>
          <w:sz w:val="26"/>
        </w:rPr>
        <w:t>2.2.2. Quyền tài sản, khả năng thu hồi lợi ích và cân bằng bảo hộ - tiếp cận</w:t>
      </w:r>
    </w:p>
    <w:p>
      <w:pPr>
        <w:pStyle w:val="Heading3"/>
        <w:jc w:val="left"/>
        <w:widowControl w:val="1"/>
      </w:pPr>
      <w:r>
        <w:rPr>
          <w:rFonts w:ascii="Times New Roman" w:hAnsi="Times New Roman" w:eastAsia="Times New Roman"/>
          <w:b/>
          <w:color w:val="000000"/>
          <w:sz w:val="26"/>
        </w:rPr>
        <w:t>2.2.3. Thể chế và cơ chế tác động đến hành vi doanh nghiệp</w:t>
      </w:r>
    </w:p>
    <w:p>
      <w:pPr>
        <w:pStyle w:val="Heading3"/>
        <w:jc w:val="left"/>
        <w:widowControl w:val="1"/>
      </w:pPr>
      <w:r>
        <w:rPr>
          <w:rFonts w:ascii="Times New Roman" w:hAnsi="Times New Roman" w:eastAsia="Times New Roman"/>
          <w:b/>
          <w:color w:val="000000"/>
          <w:sz w:val="26"/>
        </w:rPr>
        <w:t>2.2.4. Hệ thống đổi mới quốc gia và sự chuyển hóa tài sản trí tuệ thành đổi mới</w:t>
      </w:r>
    </w:p>
    <w:p>
      <w:pPr>
        <w:pStyle w:val="Heading2"/>
        <w:jc w:val="left"/>
        <w:widowControl w:val="1"/>
      </w:pPr>
      <w:r>
        <w:rPr>
          <w:rFonts w:ascii="Times New Roman" w:hAnsi="Times New Roman" w:eastAsia="Times New Roman"/>
          <w:b/>
          <w:color w:val="000000"/>
          <w:sz w:val="28"/>
        </w:rPr>
        <w:t>2.3. Nội dung QLNN về quyền SHTT trong nền kinh tế số</w:t>
      </w:r>
    </w:p>
    <w:p>
      <w:pPr>
        <w:pStyle w:val="Heading3"/>
        <w:jc w:val="left"/>
        <w:widowControl w:val="1"/>
      </w:pPr>
      <w:r>
        <w:rPr>
          <w:rFonts w:ascii="Times New Roman" w:hAnsi="Times New Roman" w:eastAsia="Times New Roman"/>
          <w:b/>
          <w:color w:val="000000"/>
          <w:sz w:val="26"/>
        </w:rPr>
        <w:t>2.3.1. Xây dựng chiến lược, chính sách và pháp luật</w:t>
      </w:r>
    </w:p>
    <w:p>
      <w:pPr>
        <w:pStyle w:val="Heading3"/>
        <w:jc w:val="left"/>
        <w:widowControl w:val="1"/>
      </w:pPr>
      <w:r>
        <w:rPr>
          <w:rFonts w:ascii="Times New Roman" w:hAnsi="Times New Roman" w:eastAsia="Times New Roman"/>
          <w:b/>
          <w:color w:val="000000"/>
          <w:sz w:val="26"/>
        </w:rPr>
        <w:t>2.3.2. Tổ chức bộ máy, phân cấp và phối hợp quản lý</w:t>
      </w:r>
    </w:p>
    <w:p>
      <w:pPr>
        <w:pStyle w:val="Heading3"/>
        <w:jc w:val="left"/>
        <w:widowControl w:val="1"/>
      </w:pPr>
      <w:r>
        <w:rPr>
          <w:rFonts w:ascii="Times New Roman" w:hAnsi="Times New Roman" w:eastAsia="Times New Roman"/>
          <w:b/>
          <w:color w:val="000000"/>
          <w:sz w:val="26"/>
        </w:rPr>
        <w:t>2.3.3. Tổ chức thực hiện, dịch vụ công và hỗ trợ doanh nghiệp</w:t>
      </w:r>
    </w:p>
    <w:p>
      <w:pPr>
        <w:pStyle w:val="Heading3"/>
        <w:jc w:val="left"/>
        <w:widowControl w:val="1"/>
      </w:pPr>
      <w:r>
        <w:rPr>
          <w:rFonts w:ascii="Times New Roman" w:hAnsi="Times New Roman" w:eastAsia="Times New Roman"/>
          <w:b/>
          <w:color w:val="000000"/>
          <w:sz w:val="26"/>
        </w:rPr>
        <w:t>2.3.4. Kiểm tra, giám sát, thực thi và xử lý vi phạm trên môi trường số</w:t>
      </w:r>
    </w:p>
    <w:p>
      <w:pPr>
        <w:pStyle w:val="Heading2"/>
        <w:jc w:val="left"/>
        <w:widowControl w:val="1"/>
      </w:pPr>
      <w:r>
        <w:rPr>
          <w:rFonts w:ascii="Times New Roman" w:hAnsi="Times New Roman" w:eastAsia="Times New Roman"/>
          <w:b/>
          <w:color w:val="000000"/>
          <w:sz w:val="28"/>
        </w:rPr>
        <w:t>2.4. Tiêu chí đánh giá và điều kiện bảo đảm</w:t>
      </w:r>
    </w:p>
    <w:p>
      <w:pPr>
        <w:pStyle w:val="Heading3"/>
        <w:jc w:val="left"/>
        <w:widowControl w:val="1"/>
      </w:pPr>
      <w:r>
        <w:rPr>
          <w:rFonts w:ascii="Times New Roman" w:hAnsi="Times New Roman" w:eastAsia="Times New Roman"/>
          <w:b/>
          <w:color w:val="000000"/>
          <w:sz w:val="26"/>
        </w:rPr>
        <w:t>2.4.1. Hiệu lực, hiệu quả, tính phù hợp và khả năng thích ứng</w:t>
      </w:r>
    </w:p>
    <w:p>
      <w:pPr>
        <w:pStyle w:val="Heading3"/>
        <w:jc w:val="left"/>
        <w:widowControl w:val="1"/>
      </w:pPr>
      <w:r>
        <w:rPr>
          <w:rFonts w:ascii="Times New Roman" w:hAnsi="Times New Roman" w:eastAsia="Times New Roman"/>
          <w:b/>
          <w:color w:val="000000"/>
          <w:sz w:val="26"/>
        </w:rPr>
        <w:t>2.4.2. Tính minh bạch, khả năng tiếp cận và mức độ đáp ứng nhu cầu doanh nghiệp</w:t>
      </w:r>
    </w:p>
    <w:p>
      <w:pPr>
        <w:pStyle w:val="Heading3"/>
        <w:jc w:val="left"/>
        <w:widowControl w:val="1"/>
      </w:pPr>
      <w:r>
        <w:rPr>
          <w:rFonts w:ascii="Times New Roman" w:hAnsi="Times New Roman" w:eastAsia="Times New Roman"/>
          <w:b/>
          <w:color w:val="000000"/>
          <w:sz w:val="26"/>
        </w:rPr>
        <w:t>2.4.3. Nhân lực, tài chính, hạ tầng số, dữ liệu và tổ chức trung gian</w:t>
      </w:r>
    </w:p>
    <w:p>
      <w:pPr>
        <w:pStyle w:val="Heading2"/>
        <w:jc w:val="left"/>
        <w:widowControl w:val="1"/>
      </w:pPr>
      <w:r>
        <w:rPr>
          <w:rFonts w:ascii="Times New Roman" w:hAnsi="Times New Roman" w:eastAsia="Times New Roman"/>
          <w:b/>
          <w:color w:val="000000"/>
          <w:sz w:val="28"/>
        </w:rPr>
        <w:t>2.5. Cơ chế tác động của QLNN đến doanh nghiệp</w:t>
      </w:r>
    </w:p>
    <w:p>
      <w:pPr>
        <w:pStyle w:val="Heading3"/>
        <w:jc w:val="left"/>
        <w:widowControl w:val="1"/>
      </w:pPr>
      <w:r>
        <w:rPr>
          <w:rFonts w:ascii="Times New Roman" w:hAnsi="Times New Roman" w:eastAsia="Times New Roman"/>
          <w:b/>
          <w:color w:val="000000"/>
          <w:sz w:val="26"/>
        </w:rPr>
        <w:t>2.5.1. Chất lượng QLNN và khả năng tiếp cận hệ thống SHTT</w:t>
      </w:r>
    </w:p>
    <w:p>
      <w:pPr>
        <w:pStyle w:val="Heading3"/>
        <w:jc w:val="left"/>
        <w:widowControl w:val="1"/>
      </w:pPr>
      <w:r>
        <w:rPr>
          <w:rFonts w:ascii="Times New Roman" w:hAnsi="Times New Roman" w:eastAsia="Times New Roman"/>
          <w:b/>
          <w:color w:val="000000"/>
          <w:sz w:val="26"/>
        </w:rPr>
        <w:t>2.5.2. Chất lượng QLNN và hành vi sử dụng hệ thống SHTT</w:t>
      </w:r>
    </w:p>
    <w:p>
      <w:pPr>
        <w:pStyle w:val="Heading3"/>
        <w:jc w:val="left"/>
        <w:widowControl w:val="1"/>
      </w:pPr>
      <w:r>
        <w:rPr>
          <w:rFonts w:ascii="Times New Roman" w:hAnsi="Times New Roman" w:eastAsia="Times New Roman"/>
          <w:b/>
          <w:color w:val="000000"/>
          <w:sz w:val="26"/>
        </w:rPr>
        <w:t>2.5.3. Tiếp cận, sử dụng hệ thống SHTT và kết quả đổi mới sáng tạo</w:t>
      </w:r>
    </w:p>
    <w:p>
      <w:pPr>
        <w:pStyle w:val="Heading3"/>
        <w:jc w:val="left"/>
        <w:widowControl w:val="1"/>
      </w:pPr>
      <w:r>
        <w:rPr>
          <w:rFonts w:ascii="Times New Roman" w:hAnsi="Times New Roman" w:eastAsia="Times New Roman"/>
          <w:b/>
          <w:color w:val="000000"/>
          <w:sz w:val="26"/>
        </w:rPr>
        <w:t>2.5.4. Vai trò trung gian và sự khác biệt theo đặc điểm doanh nghiệp</w:t>
      </w:r>
    </w:p>
    <w:p>
      <w:pPr>
        <w:pStyle w:val="Heading2"/>
        <w:jc w:val="left"/>
        <w:widowControl w:val="1"/>
      </w:pPr>
      <w:r>
        <w:rPr>
          <w:rFonts w:ascii="Times New Roman" w:hAnsi="Times New Roman" w:eastAsia="Times New Roman"/>
          <w:b/>
          <w:color w:val="000000"/>
          <w:sz w:val="28"/>
        </w:rPr>
        <w:t>2.6. Kinh nghiệm quốc tế và bài học cho Việt Nam</w:t>
      </w:r>
    </w:p>
    <w:p>
      <w:pPr>
        <w:pStyle w:val="Heading3"/>
        <w:jc w:val="left"/>
        <w:widowControl w:val="1"/>
      </w:pPr>
      <w:r>
        <w:rPr>
          <w:rFonts w:ascii="Times New Roman" w:hAnsi="Times New Roman" w:eastAsia="Times New Roman"/>
          <w:b/>
          <w:color w:val="000000"/>
          <w:sz w:val="26"/>
        </w:rPr>
        <w:t>2.6.1. Kinh nghiệm của Singapore</w:t>
      </w:r>
    </w:p>
    <w:p>
      <w:pPr>
        <w:pStyle w:val="Heading3"/>
        <w:jc w:val="left"/>
        <w:widowControl w:val="1"/>
      </w:pPr>
      <w:r>
        <w:rPr>
          <w:rFonts w:ascii="Times New Roman" w:hAnsi="Times New Roman" w:eastAsia="Times New Roman"/>
          <w:b/>
          <w:color w:val="000000"/>
          <w:sz w:val="26"/>
        </w:rPr>
        <w:t>2.6.2. Kinh nghiệm của Hàn Quốc</w:t>
      </w:r>
    </w:p>
    <w:p>
      <w:pPr>
        <w:pStyle w:val="Heading3"/>
        <w:jc w:val="left"/>
        <w:widowControl w:val="1"/>
      </w:pPr>
      <w:r>
        <w:rPr>
          <w:rFonts w:ascii="Times New Roman" w:hAnsi="Times New Roman" w:eastAsia="Times New Roman"/>
          <w:b/>
          <w:color w:val="000000"/>
          <w:sz w:val="26"/>
        </w:rPr>
        <w:t>2.6.3. Kinh nghiệm của Liên minh châu Âu</w:t>
      </w:r>
    </w:p>
    <w:p>
      <w:pPr>
        <w:pStyle w:val="Heading3"/>
        <w:jc w:val="left"/>
        <w:widowControl w:val="1"/>
      </w:pPr>
      <w:r>
        <w:rPr>
          <w:rFonts w:ascii="Times New Roman" w:hAnsi="Times New Roman" w:eastAsia="Times New Roman"/>
          <w:b/>
          <w:color w:val="000000"/>
          <w:sz w:val="26"/>
        </w:rPr>
        <w:t>2.6.4. Bài học có điều kiện áp dụng đối với Việt Nam</w:t>
      </w:r>
    </w:p>
    <w:p>
      <w:pPr>
        <w:pStyle w:val="Heading2"/>
        <w:jc w:val="left"/>
        <w:widowControl w:val="1"/>
      </w:pPr>
      <w:r>
        <w:rPr>
          <w:rFonts w:ascii="Times New Roman" w:hAnsi="Times New Roman" w:eastAsia="Times New Roman"/>
          <w:b/>
          <w:color w:val="000000"/>
          <w:sz w:val="28"/>
        </w:rPr>
        <w:t>2.7. Khung phân tích, mô hình và giả thuyết nghiên cứu</w:t>
      </w:r>
    </w:p>
    <w:p>
      <w:pPr>
        <w:pStyle w:val="Heading1"/>
        <w:jc w:val="center"/>
        <w:widowControl w:val="1"/>
      </w:pPr>
      <w:r>
        <w:rPr>
          <w:rFonts w:ascii="Times New Roman" w:hAnsi="Times New Roman" w:eastAsia="Times New Roman"/>
          <w:b/>
          <w:color w:val="000000"/>
          <w:sz w:val="30"/>
        </w:rPr>
        <w:t>CHƯƠNG 3. THỰC TRẠNG QUẢN LÝ NHÀ NƯỚC VỀ QUYỀN SỞ HỮU TRÍ TUỆ VÀ KẾT QUẢ NGHIÊN CỨU THỰC NGHIỆM Ở VIỆT NAM</w:t>
      </w:r>
    </w:p>
    <w:p>
      <w:pPr>
        <w:pStyle w:val="Heading2"/>
        <w:jc w:val="left"/>
        <w:widowControl w:val="1"/>
      </w:pPr>
      <w:r>
        <w:rPr>
          <w:rFonts w:ascii="Times New Roman" w:hAnsi="Times New Roman" w:eastAsia="Times New Roman"/>
          <w:b/>
          <w:color w:val="000000"/>
          <w:sz w:val="28"/>
        </w:rPr>
        <w:t>3.1. Bối cảnh và yêu cầu đặt ra đối với QLNN về quyền SHTT</w:t>
      </w:r>
    </w:p>
    <w:p>
      <w:pPr>
        <w:pStyle w:val="Heading3"/>
        <w:jc w:val="left"/>
        <w:widowControl w:val="1"/>
      </w:pPr>
      <w:r>
        <w:rPr>
          <w:rFonts w:ascii="Times New Roman" w:hAnsi="Times New Roman" w:eastAsia="Times New Roman"/>
          <w:b/>
          <w:color w:val="000000"/>
          <w:sz w:val="26"/>
        </w:rPr>
        <w:t>3.1.1. Phát triển kinh tế số, đổi mới sáng tạo và các loại tài sản trí tuệ mới</w:t>
      </w:r>
    </w:p>
    <w:p>
      <w:pPr>
        <w:pStyle w:val="Heading3"/>
        <w:jc w:val="left"/>
        <w:widowControl w:val="1"/>
      </w:pPr>
      <w:r>
        <w:rPr>
          <w:rFonts w:ascii="Times New Roman" w:hAnsi="Times New Roman" w:eastAsia="Times New Roman"/>
          <w:b/>
          <w:color w:val="000000"/>
          <w:sz w:val="26"/>
        </w:rPr>
        <w:t>3.1.2. Đặc điểm hoạt động SHTT của doanh nghiệp Việt Nam</w:t>
      </w:r>
    </w:p>
    <w:p>
      <w:pPr>
        <w:pStyle w:val="Heading3"/>
        <w:jc w:val="left"/>
        <w:widowControl w:val="1"/>
      </w:pPr>
      <w:r>
        <w:rPr>
          <w:rFonts w:ascii="Times New Roman" w:hAnsi="Times New Roman" w:eastAsia="Times New Roman"/>
          <w:b/>
          <w:color w:val="000000"/>
          <w:sz w:val="26"/>
        </w:rPr>
        <w:t>3.1.3. Yêu cầu đổi mới QLNN trong giai đoạn nghiên cứu</w:t>
      </w:r>
    </w:p>
    <w:p>
      <w:pPr>
        <w:pStyle w:val="Heading2"/>
        <w:jc w:val="left"/>
        <w:widowControl w:val="1"/>
      </w:pPr>
      <w:r>
        <w:rPr>
          <w:rFonts w:ascii="Times New Roman" w:hAnsi="Times New Roman" w:eastAsia="Times New Roman"/>
          <w:b/>
          <w:color w:val="000000"/>
          <w:sz w:val="28"/>
        </w:rPr>
        <w:t>3.2. Thực trạng QLNN về quyền SHTT giai đoạn 2019–2025</w:t>
      </w:r>
    </w:p>
    <w:p>
      <w:pPr>
        <w:pStyle w:val="Heading3"/>
        <w:jc w:val="left"/>
        <w:widowControl w:val="1"/>
      </w:pPr>
      <w:r>
        <w:rPr>
          <w:rFonts w:ascii="Times New Roman" w:hAnsi="Times New Roman" w:eastAsia="Times New Roman"/>
          <w:b/>
          <w:color w:val="000000"/>
          <w:sz w:val="26"/>
        </w:rPr>
        <w:t>3.2.1. Xây dựng chiến lược, chính sách và pháp luật</w:t>
      </w:r>
    </w:p>
    <w:p>
      <w:pPr>
        <w:pStyle w:val="Heading3"/>
        <w:jc w:val="left"/>
        <w:widowControl w:val="1"/>
      </w:pPr>
      <w:r>
        <w:rPr>
          <w:rFonts w:ascii="Times New Roman" w:hAnsi="Times New Roman" w:eastAsia="Times New Roman"/>
          <w:b/>
          <w:color w:val="000000"/>
          <w:sz w:val="26"/>
        </w:rPr>
        <w:t>3.2.2. Tổ chức bộ máy và phối hợp quản lý</w:t>
      </w:r>
    </w:p>
    <w:p>
      <w:pPr>
        <w:pStyle w:val="Heading3"/>
        <w:jc w:val="left"/>
        <w:widowControl w:val="1"/>
      </w:pPr>
      <w:r>
        <w:rPr>
          <w:rFonts w:ascii="Times New Roman" w:hAnsi="Times New Roman" w:eastAsia="Times New Roman"/>
          <w:b/>
          <w:color w:val="000000"/>
          <w:sz w:val="26"/>
        </w:rPr>
        <w:t>3.2.3. Tổ chức thực hiện, dịch vụ công và hỗ trợ doanh nghiệp</w:t>
      </w:r>
    </w:p>
    <w:p>
      <w:pPr>
        <w:pStyle w:val="Heading3"/>
        <w:jc w:val="left"/>
        <w:widowControl w:val="1"/>
      </w:pPr>
      <w:r>
        <w:rPr>
          <w:rFonts w:ascii="Times New Roman" w:hAnsi="Times New Roman" w:eastAsia="Times New Roman"/>
          <w:b/>
          <w:color w:val="000000"/>
          <w:sz w:val="26"/>
        </w:rPr>
        <w:t>3.2.4. Kiểm tra, giám sát, thực thi và xử lý vi phạm</w:t>
      </w:r>
    </w:p>
    <w:p>
      <w:pPr>
        <w:pStyle w:val="Heading2"/>
        <w:jc w:val="left"/>
        <w:widowControl w:val="1"/>
      </w:pPr>
      <w:r>
        <w:rPr>
          <w:rFonts w:ascii="Times New Roman" w:hAnsi="Times New Roman" w:eastAsia="Times New Roman"/>
          <w:b/>
          <w:color w:val="000000"/>
          <w:sz w:val="28"/>
        </w:rPr>
        <w:t>3.3. Đánh giá theo tiêu chí và điều kiện bảo đảm</w:t>
      </w:r>
    </w:p>
    <w:p>
      <w:pPr>
        <w:pStyle w:val="Heading3"/>
        <w:jc w:val="left"/>
        <w:widowControl w:val="1"/>
      </w:pPr>
      <w:r>
        <w:rPr>
          <w:rFonts w:ascii="Times New Roman" w:hAnsi="Times New Roman" w:eastAsia="Times New Roman"/>
          <w:b/>
          <w:color w:val="000000"/>
          <w:sz w:val="26"/>
        </w:rPr>
        <w:t>3.3.1. Đánh giá hiệu lực, hiệu quả, tính phù hợp và khả năng thích ứng</w:t>
      </w:r>
    </w:p>
    <w:p>
      <w:pPr>
        <w:pStyle w:val="Heading3"/>
        <w:jc w:val="left"/>
        <w:widowControl w:val="1"/>
      </w:pPr>
      <w:r>
        <w:rPr>
          <w:rFonts w:ascii="Times New Roman" w:hAnsi="Times New Roman" w:eastAsia="Times New Roman"/>
          <w:b/>
          <w:color w:val="000000"/>
          <w:sz w:val="26"/>
        </w:rPr>
        <w:t>3.3.2. Đánh giá tính minh bạch, khả năng tiếp cận và mức độ đáp ứng</w:t>
      </w:r>
    </w:p>
    <w:p>
      <w:pPr>
        <w:pStyle w:val="Heading3"/>
        <w:jc w:val="left"/>
        <w:widowControl w:val="1"/>
      </w:pPr>
      <w:r>
        <w:rPr>
          <w:rFonts w:ascii="Times New Roman" w:hAnsi="Times New Roman" w:eastAsia="Times New Roman"/>
          <w:b/>
          <w:color w:val="000000"/>
          <w:sz w:val="26"/>
        </w:rPr>
        <w:t>3.3.3. Thực trạng nhân lực, tài chính, hạ tầng số và dữ liệu</w:t>
      </w:r>
    </w:p>
    <w:p>
      <w:pPr>
        <w:pStyle w:val="Heading2"/>
        <w:jc w:val="left"/>
        <w:widowControl w:val="1"/>
      </w:pPr>
      <w:r>
        <w:rPr>
          <w:rFonts w:ascii="Times New Roman" w:hAnsi="Times New Roman" w:eastAsia="Times New Roman"/>
          <w:b/>
          <w:color w:val="000000"/>
          <w:sz w:val="28"/>
        </w:rPr>
        <w:t>3.4. Kết quả khảo sát doanh nghiệp</w:t>
      </w:r>
    </w:p>
    <w:p>
      <w:pPr>
        <w:pStyle w:val="Heading3"/>
        <w:jc w:val="left"/>
        <w:widowControl w:val="1"/>
      </w:pPr>
      <w:r>
        <w:rPr>
          <w:rFonts w:ascii="Times New Roman" w:hAnsi="Times New Roman" w:eastAsia="Times New Roman"/>
          <w:b/>
          <w:color w:val="000000"/>
          <w:sz w:val="26"/>
        </w:rPr>
        <w:t>3.4.1. Đặc điểm mẫu và đánh giá dữ liệu</w:t>
      </w:r>
    </w:p>
    <w:p>
      <w:pPr>
        <w:pStyle w:val="Heading3"/>
        <w:jc w:val="left"/>
        <w:widowControl w:val="1"/>
      </w:pPr>
      <w:r>
        <w:rPr>
          <w:rFonts w:ascii="Times New Roman" w:hAnsi="Times New Roman" w:eastAsia="Times New Roman"/>
          <w:b/>
          <w:color w:val="000000"/>
          <w:sz w:val="26"/>
        </w:rPr>
        <w:t>3.4.2. Kiểm định thang đo và mô hình đo lường</w:t>
      </w:r>
    </w:p>
    <w:p>
      <w:pPr>
        <w:pStyle w:val="Heading3"/>
        <w:jc w:val="left"/>
        <w:widowControl w:val="1"/>
      </w:pPr>
      <w:r>
        <w:rPr>
          <w:rFonts w:ascii="Times New Roman" w:hAnsi="Times New Roman" w:eastAsia="Times New Roman"/>
          <w:b/>
          <w:color w:val="000000"/>
          <w:sz w:val="26"/>
        </w:rPr>
        <w:t>3.4.3. Kiểm định các mối quan hệ trực tiếp</w:t>
      </w:r>
    </w:p>
    <w:p>
      <w:pPr>
        <w:pStyle w:val="Heading3"/>
        <w:jc w:val="left"/>
        <w:widowControl w:val="1"/>
      </w:pPr>
      <w:r>
        <w:rPr>
          <w:rFonts w:ascii="Times New Roman" w:hAnsi="Times New Roman" w:eastAsia="Times New Roman"/>
          <w:b/>
          <w:color w:val="000000"/>
          <w:sz w:val="26"/>
        </w:rPr>
        <w:t>3.4.4. Kiểm định vai trò trung gian của mức độ tiếp cận và sử dụng</w:t>
      </w:r>
    </w:p>
    <w:p>
      <w:pPr>
        <w:pStyle w:val="Heading3"/>
        <w:jc w:val="left"/>
        <w:widowControl w:val="1"/>
      </w:pPr>
      <w:r>
        <w:rPr>
          <w:rFonts w:ascii="Times New Roman" w:hAnsi="Times New Roman" w:eastAsia="Times New Roman"/>
          <w:b/>
          <w:color w:val="000000"/>
          <w:sz w:val="26"/>
        </w:rPr>
        <w:t>3.4.5. Phân tích khác biệt giữa các nhóm doanh nghiệp và kiểm tra độ bền</w:t>
      </w:r>
    </w:p>
    <w:p>
      <w:pPr>
        <w:pStyle w:val="Heading2"/>
        <w:jc w:val="left"/>
        <w:widowControl w:val="1"/>
      </w:pPr>
      <w:r>
        <w:rPr>
          <w:rFonts w:ascii="Times New Roman" w:hAnsi="Times New Roman" w:eastAsia="Times New Roman"/>
          <w:b/>
          <w:color w:val="000000"/>
          <w:sz w:val="28"/>
        </w:rPr>
        <w:t>3.5. Thảo luận và đánh giá chung</w:t>
      </w:r>
    </w:p>
    <w:p>
      <w:pPr>
        <w:pStyle w:val="Heading3"/>
        <w:jc w:val="left"/>
        <w:widowControl w:val="1"/>
      </w:pPr>
      <w:r>
        <w:rPr>
          <w:rFonts w:ascii="Times New Roman" w:hAnsi="Times New Roman" w:eastAsia="Times New Roman"/>
          <w:b/>
          <w:color w:val="000000"/>
          <w:sz w:val="26"/>
        </w:rPr>
        <w:t>3.5.1. Đối chiếu kết quả thực nghiệm với lý thuyết và nghiên cứu trước</w:t>
      </w:r>
    </w:p>
    <w:p>
      <w:pPr>
        <w:pStyle w:val="Heading3"/>
        <w:jc w:val="left"/>
        <w:widowControl w:val="1"/>
      </w:pPr>
      <w:r>
        <w:rPr>
          <w:rFonts w:ascii="Times New Roman" w:hAnsi="Times New Roman" w:eastAsia="Times New Roman"/>
          <w:b/>
          <w:color w:val="000000"/>
          <w:sz w:val="26"/>
        </w:rPr>
        <w:t>3.5.2. Những kết quả đạt được trong QLNN</w:t>
      </w:r>
    </w:p>
    <w:p>
      <w:pPr>
        <w:pStyle w:val="Heading3"/>
        <w:jc w:val="left"/>
        <w:widowControl w:val="1"/>
      </w:pPr>
      <w:r>
        <w:rPr>
          <w:rFonts w:ascii="Times New Roman" w:hAnsi="Times New Roman" w:eastAsia="Times New Roman"/>
          <w:b/>
          <w:color w:val="000000"/>
          <w:sz w:val="26"/>
        </w:rPr>
        <w:t>3.5.3. Hạn chế và nguyên nhân</w:t>
      </w:r>
    </w:p>
    <w:p>
      <w:pPr>
        <w:pStyle w:val="Heading1"/>
        <w:jc w:val="center"/>
        <w:widowControl w:val="1"/>
      </w:pPr>
      <w:r>
        <w:rPr>
          <w:rFonts w:ascii="Times New Roman" w:hAnsi="Times New Roman" w:eastAsia="Times New Roman"/>
          <w:b/>
          <w:color w:val="000000"/>
          <w:sz w:val="30"/>
        </w:rPr>
        <w:t>CHƯƠNG 4. QUAN ĐIỂM, ĐỊNH HƯỚNG VÀ GIẢI PHÁP HOÀN THIỆN QUẢN LÝ NHÀ NƯỚC VỀ QUYỀN SỞ HỮU TRÍ TUỆ TRONG NỀN KINH TẾ SỐ Ở VIỆT NAM ĐẾN NĂM 2035</w:t>
      </w:r>
    </w:p>
    <w:p>
      <w:pPr>
        <w:pStyle w:val="Heading2"/>
        <w:jc w:val="left"/>
        <w:widowControl w:val="1"/>
      </w:pPr>
      <w:r>
        <w:rPr>
          <w:rFonts w:ascii="Times New Roman" w:hAnsi="Times New Roman" w:eastAsia="Times New Roman"/>
          <w:b/>
          <w:color w:val="000000"/>
          <w:sz w:val="28"/>
        </w:rPr>
        <w:t>4.1. Bối cảnh, cơ hội và thách thức đến năm 2035</w:t>
      </w:r>
    </w:p>
    <w:p>
      <w:pPr>
        <w:pStyle w:val="Heading3"/>
        <w:jc w:val="left"/>
        <w:widowControl w:val="1"/>
      </w:pPr>
      <w:r>
        <w:rPr>
          <w:rFonts w:ascii="Times New Roman" w:hAnsi="Times New Roman" w:eastAsia="Times New Roman"/>
          <w:b/>
          <w:color w:val="000000"/>
          <w:sz w:val="26"/>
        </w:rPr>
        <w:t>4.1.1. Xu hướng công nghệ, AI, dữ liệu và mô hình kinh doanh số</w:t>
      </w:r>
    </w:p>
    <w:p>
      <w:pPr>
        <w:pStyle w:val="Heading3"/>
        <w:jc w:val="left"/>
        <w:widowControl w:val="1"/>
      </w:pPr>
      <w:r>
        <w:rPr>
          <w:rFonts w:ascii="Times New Roman" w:hAnsi="Times New Roman" w:eastAsia="Times New Roman"/>
          <w:b/>
          <w:color w:val="000000"/>
          <w:sz w:val="26"/>
        </w:rPr>
        <w:t>4.1.2. Chủ trương phát triển khoa học, công nghệ, đổi mới sáng tạo và chuyển đổi số</w:t>
      </w:r>
    </w:p>
    <w:p>
      <w:pPr>
        <w:pStyle w:val="Heading3"/>
        <w:jc w:val="left"/>
        <w:widowControl w:val="1"/>
      </w:pPr>
      <w:r>
        <w:rPr>
          <w:rFonts w:ascii="Times New Roman" w:hAnsi="Times New Roman" w:eastAsia="Times New Roman"/>
          <w:b/>
          <w:color w:val="000000"/>
          <w:sz w:val="26"/>
        </w:rPr>
        <w:t>4.1.3. Những yêu cầu mới đối với hệ thống SHTT và QLNN</w:t>
      </w:r>
    </w:p>
    <w:p>
      <w:pPr>
        <w:pStyle w:val="Heading2"/>
        <w:jc w:val="left"/>
        <w:widowControl w:val="1"/>
      </w:pPr>
      <w:r>
        <w:rPr>
          <w:rFonts w:ascii="Times New Roman" w:hAnsi="Times New Roman" w:eastAsia="Times New Roman"/>
          <w:b/>
          <w:color w:val="000000"/>
          <w:sz w:val="28"/>
        </w:rPr>
        <w:t>4.2. Quan điểm và định hướng hoàn thiện</w:t>
      </w:r>
    </w:p>
    <w:p>
      <w:pPr>
        <w:pStyle w:val="Heading3"/>
        <w:jc w:val="left"/>
        <w:widowControl w:val="1"/>
      </w:pPr>
      <w:r>
        <w:rPr>
          <w:rFonts w:ascii="Times New Roman" w:hAnsi="Times New Roman" w:eastAsia="Times New Roman"/>
          <w:b/>
          <w:color w:val="000000"/>
          <w:sz w:val="26"/>
        </w:rPr>
        <w:t>4.2.1. Quan điểm hoàn thiện QLNN về quyền SHTT</w:t>
      </w:r>
    </w:p>
    <w:p>
      <w:pPr>
        <w:pStyle w:val="Heading3"/>
        <w:jc w:val="left"/>
        <w:widowControl w:val="1"/>
      </w:pPr>
      <w:r>
        <w:rPr>
          <w:rFonts w:ascii="Times New Roman" w:hAnsi="Times New Roman" w:eastAsia="Times New Roman"/>
          <w:b/>
          <w:color w:val="000000"/>
          <w:sz w:val="26"/>
        </w:rPr>
        <w:t>4.2.2. Định hướng đến năm 2035</w:t>
      </w:r>
    </w:p>
    <w:p>
      <w:pPr>
        <w:pStyle w:val="Heading2"/>
        <w:jc w:val="left"/>
        <w:widowControl w:val="1"/>
      </w:pPr>
      <w:r>
        <w:rPr>
          <w:rFonts w:ascii="Times New Roman" w:hAnsi="Times New Roman" w:eastAsia="Times New Roman"/>
          <w:b/>
          <w:color w:val="000000"/>
          <w:sz w:val="28"/>
        </w:rPr>
        <w:t>4.3. Giải pháp hoàn thiện các nội dung QLNN</w:t>
      </w:r>
    </w:p>
    <w:p>
      <w:pPr>
        <w:pStyle w:val="Heading3"/>
        <w:jc w:val="left"/>
        <w:widowControl w:val="1"/>
      </w:pPr>
      <w:r>
        <w:rPr>
          <w:rFonts w:ascii="Times New Roman" w:hAnsi="Times New Roman" w:eastAsia="Times New Roman"/>
          <w:b/>
          <w:color w:val="000000"/>
          <w:sz w:val="26"/>
        </w:rPr>
        <w:t>4.3.1. Hoàn thiện chiến lược, chính sách và pháp luật theo hướng thích ứng với môi trường số</w:t>
      </w:r>
    </w:p>
    <w:p>
      <w:pPr>
        <w:pStyle w:val="Heading3"/>
        <w:jc w:val="left"/>
        <w:widowControl w:val="1"/>
      </w:pPr>
      <w:r>
        <w:rPr>
          <w:rFonts w:ascii="Times New Roman" w:hAnsi="Times New Roman" w:eastAsia="Times New Roman"/>
          <w:b/>
          <w:color w:val="000000"/>
          <w:sz w:val="26"/>
        </w:rPr>
        <w:t>4.3.2. Kiện toàn bộ máy, phân cấp và cơ chế phối hợp</w:t>
      </w:r>
    </w:p>
    <w:p>
      <w:pPr>
        <w:pStyle w:val="Heading3"/>
        <w:jc w:val="left"/>
        <w:widowControl w:val="1"/>
      </w:pPr>
      <w:r>
        <w:rPr>
          <w:rFonts w:ascii="Times New Roman" w:hAnsi="Times New Roman" w:eastAsia="Times New Roman"/>
          <w:b/>
          <w:color w:val="000000"/>
          <w:sz w:val="26"/>
        </w:rPr>
        <w:t>4.3.3. Cải thiện dịch vụ công, dữ liệu và hỗ trợ doanh nghiệp tiếp cận, sử dụng hệ thống SHTT</w:t>
      </w:r>
    </w:p>
    <w:p>
      <w:pPr>
        <w:pStyle w:val="Heading3"/>
        <w:jc w:val="left"/>
        <w:widowControl w:val="1"/>
      </w:pPr>
      <w:r>
        <w:rPr>
          <w:rFonts w:ascii="Times New Roman" w:hAnsi="Times New Roman" w:eastAsia="Times New Roman"/>
          <w:b/>
          <w:color w:val="000000"/>
          <w:sz w:val="26"/>
        </w:rPr>
        <w:t>4.3.4. Nâng cao hiệu quả thực thi và xử lý vi phạm trên môi trường số</w:t>
      </w:r>
    </w:p>
    <w:p>
      <w:pPr>
        <w:pStyle w:val="Heading2"/>
        <w:jc w:val="left"/>
        <w:widowControl w:val="1"/>
      </w:pPr>
      <w:r>
        <w:rPr>
          <w:rFonts w:ascii="Times New Roman" w:hAnsi="Times New Roman" w:eastAsia="Times New Roman"/>
          <w:b/>
          <w:color w:val="000000"/>
          <w:sz w:val="28"/>
        </w:rPr>
        <w:t>4.4. Giải pháp về điều kiện bảo đảm</w:t>
      </w:r>
    </w:p>
    <w:p>
      <w:pPr>
        <w:pStyle w:val="Heading3"/>
        <w:jc w:val="left"/>
        <w:widowControl w:val="1"/>
      </w:pPr>
      <w:r>
        <w:rPr>
          <w:rFonts w:ascii="Times New Roman" w:hAnsi="Times New Roman" w:eastAsia="Times New Roman"/>
          <w:b/>
          <w:color w:val="000000"/>
          <w:sz w:val="26"/>
        </w:rPr>
        <w:t>4.4.1. Phát triển nguồn nhân lực và năng lực phân tích chính sách</w:t>
      </w:r>
    </w:p>
    <w:p>
      <w:pPr>
        <w:pStyle w:val="Heading3"/>
        <w:jc w:val="left"/>
        <w:widowControl w:val="1"/>
      </w:pPr>
      <w:r>
        <w:rPr>
          <w:rFonts w:ascii="Times New Roman" w:hAnsi="Times New Roman" w:eastAsia="Times New Roman"/>
          <w:b/>
          <w:color w:val="000000"/>
          <w:sz w:val="26"/>
        </w:rPr>
        <w:t>4.4.2. Hoàn thiện hạ tầng số, dữ liệu và khả năng liên thông</w:t>
      </w:r>
    </w:p>
    <w:p>
      <w:pPr>
        <w:pStyle w:val="Heading3"/>
        <w:jc w:val="left"/>
        <w:widowControl w:val="1"/>
      </w:pPr>
      <w:r>
        <w:rPr>
          <w:rFonts w:ascii="Times New Roman" w:hAnsi="Times New Roman" w:eastAsia="Times New Roman"/>
          <w:b/>
          <w:color w:val="000000"/>
          <w:sz w:val="26"/>
        </w:rPr>
        <w:t>4.4.3. Phát triển tổ chức trung gian và cơ chế phối hợp công - tư</w:t>
      </w:r>
    </w:p>
    <w:p>
      <w:pPr>
        <w:pStyle w:val="Heading2"/>
        <w:jc w:val="left"/>
        <w:widowControl w:val="1"/>
      </w:pPr>
      <w:r>
        <w:rPr>
          <w:rFonts w:ascii="Times New Roman" w:hAnsi="Times New Roman" w:eastAsia="Times New Roman"/>
          <w:b/>
          <w:color w:val="000000"/>
          <w:sz w:val="28"/>
        </w:rPr>
        <w:t>4.5. Điều kiện thực hiện và lộ trình ưu tiên</w:t>
      </w:r>
    </w:p>
    <w:p>
      <w:pPr>
        <w:pStyle w:val="Heading1"/>
        <w:jc w:val="center"/>
        <w:widowControl w:val="1"/>
      </w:pPr>
      <w:r>
        <w:rPr>
          <w:rFonts w:ascii="Times New Roman" w:hAnsi="Times New Roman" w:eastAsia="Times New Roman"/>
          <w:b/>
          <w:color w:val="000000"/>
          <w:sz w:val="30"/>
        </w:rPr>
        <w:t>DANH MỤC TÀI LIỆU THAM KHẢO DỰ KIẾN</w:t>
      </w:r>
    </w:p>
    <w:p>
      <w:pPr>
        <w:spacing w:line="312" w:lineRule="auto" w:after="60"/>
        <w:ind w:left="454" w:hanging="454"/>
        <w:jc w:val="both"/>
        <w:widowControl w:val="1"/>
      </w:pPr>
      <w:r>
        <w:rPr>
          <w:rFonts w:ascii="Times New Roman" w:hAnsi="Times New Roman" w:eastAsia="Times New Roman"/>
          <w:color w:val="000000"/>
          <w:sz w:val="25"/>
        </w:rPr>
        <w:t>1. Arrow, K. J. (1962). Economic welfare and the allocation of resources for invention. In R. R. Nelson (Ed.), The Rate and Direction of Inventive Activity. Princeton University Press.</w:t>
      </w:r>
    </w:p>
    <w:p>
      <w:pPr>
        <w:spacing w:line="312" w:lineRule="auto" w:after="60"/>
        <w:ind w:left="454" w:hanging="454"/>
        <w:jc w:val="both"/>
        <w:widowControl w:val="1"/>
      </w:pPr>
      <w:r>
        <w:rPr>
          <w:rFonts w:ascii="Times New Roman" w:hAnsi="Times New Roman" w:eastAsia="Times New Roman"/>
          <w:color w:val="000000"/>
          <w:sz w:val="25"/>
        </w:rPr>
        <w:t>2. Cohen, W. M., &amp; Levinthal, D. A. (1990). Absorptive capacity: A new perspective on learning and innovation. Administrative Science Quarterly, 35(1), 128–152.</w:t>
      </w:r>
    </w:p>
    <w:p>
      <w:pPr>
        <w:spacing w:line="312" w:lineRule="auto" w:after="60"/>
        <w:ind w:left="454" w:hanging="454"/>
        <w:jc w:val="both"/>
        <w:widowControl w:val="1"/>
      </w:pPr>
      <w:r>
        <w:rPr>
          <w:rFonts w:ascii="Times New Roman" w:hAnsi="Times New Roman" w:eastAsia="Times New Roman"/>
          <w:color w:val="000000"/>
          <w:sz w:val="25"/>
        </w:rPr>
        <w:t>3. Cuntz, A., Fink, C., &amp; Stamm, H. (2024). Artificial Intelligence and Intellectual Property: An Economic Perspective. WIPO Economic Research Working Paper No. 77. World Intellectual Property Organization.</w:t>
      </w:r>
    </w:p>
    <w:p>
      <w:pPr>
        <w:spacing w:line="312" w:lineRule="auto" w:after="60"/>
        <w:ind w:left="454" w:hanging="454"/>
        <w:jc w:val="both"/>
        <w:widowControl w:val="1"/>
      </w:pPr>
      <w:r>
        <w:rPr>
          <w:rFonts w:ascii="Times New Roman" w:hAnsi="Times New Roman" w:eastAsia="Times New Roman"/>
          <w:color w:val="000000"/>
          <w:sz w:val="25"/>
        </w:rPr>
        <w:t>4. Cuntz, A., Mueller-Langer, F., Muscarnera, A., Oguguo, P. C., &amp; Scheufen, M. (2024). Access to Science and Innovation in the Developing World. WIPO Economic Research Working Paper No. 78. World Intellectual Property Organization.</w:t>
      </w:r>
    </w:p>
    <w:p>
      <w:pPr>
        <w:spacing w:line="312" w:lineRule="auto" w:after="60"/>
        <w:ind w:left="454" w:hanging="454"/>
        <w:jc w:val="both"/>
        <w:widowControl w:val="1"/>
      </w:pPr>
      <w:r>
        <w:rPr>
          <w:rFonts w:ascii="Times New Roman" w:hAnsi="Times New Roman" w:eastAsia="Times New Roman"/>
          <w:color w:val="000000"/>
          <w:sz w:val="25"/>
        </w:rPr>
        <w:t>5. Nelson, R. R. (Ed.). (1993). National Innovation Systems: A Comparative Analysis. Oxford University Press.</w:t>
      </w:r>
    </w:p>
    <w:p>
      <w:pPr>
        <w:spacing w:line="312" w:lineRule="auto" w:after="60"/>
        <w:ind w:left="454" w:hanging="454"/>
        <w:jc w:val="both"/>
        <w:widowControl w:val="1"/>
      </w:pPr>
      <w:r>
        <w:rPr>
          <w:rFonts w:ascii="Times New Roman" w:hAnsi="Times New Roman" w:eastAsia="Times New Roman"/>
          <w:color w:val="000000"/>
          <w:sz w:val="25"/>
        </w:rPr>
        <w:t>6. North, D. C. (1990). Institutions, Institutional Change and Economic Performance. Cambridge University Press.</w:t>
      </w:r>
    </w:p>
    <w:p>
      <w:pPr>
        <w:spacing w:line="312" w:lineRule="auto" w:after="60"/>
        <w:ind w:left="454" w:hanging="454"/>
        <w:jc w:val="both"/>
        <w:widowControl w:val="1"/>
      </w:pPr>
      <w:r>
        <w:rPr>
          <w:rFonts w:ascii="Times New Roman" w:hAnsi="Times New Roman" w:eastAsia="Times New Roman"/>
          <w:color w:val="000000"/>
          <w:sz w:val="25"/>
        </w:rPr>
        <w:t>7. OECD/Eurostat. (2018). Oslo Manual 2018: Guidelines for Collecting, Reporting and Using Data on Innovation (4th ed.). OECD Publishing.</w:t>
      </w:r>
    </w:p>
    <w:p>
      <w:pPr>
        <w:spacing w:line="312" w:lineRule="auto" w:after="60"/>
        <w:ind w:left="454" w:hanging="454"/>
        <w:jc w:val="both"/>
        <w:widowControl w:val="1"/>
      </w:pPr>
      <w:r>
        <w:rPr>
          <w:rFonts w:ascii="Times New Roman" w:hAnsi="Times New Roman" w:eastAsia="Times New Roman"/>
          <w:color w:val="000000"/>
          <w:sz w:val="25"/>
        </w:rPr>
        <w:t>8. Scotchmer, S. (2004). Innovation and Incentives. MIT Press.</w:t>
      </w:r>
    </w:p>
    <w:p>
      <w:pPr>
        <w:spacing w:line="312" w:lineRule="auto" w:after="60"/>
        <w:ind w:left="454" w:hanging="454"/>
        <w:jc w:val="both"/>
        <w:widowControl w:val="1"/>
      </w:pPr>
      <w:r>
        <w:rPr>
          <w:rFonts w:ascii="Times New Roman" w:hAnsi="Times New Roman" w:eastAsia="Times New Roman"/>
          <w:color w:val="000000"/>
          <w:sz w:val="25"/>
        </w:rPr>
        <w:t>9. Williamson, O. E. (1985). The Economic Institutions of Capitalism. Free Press.</w:t>
      </w:r>
    </w:p>
    <w:p>
      <w:pPr>
        <w:spacing w:line="312" w:lineRule="auto" w:after="60"/>
        <w:ind w:left="454" w:hanging="454"/>
        <w:jc w:val="both"/>
        <w:widowControl w:val="1"/>
      </w:pPr>
      <w:r>
        <w:rPr>
          <w:rFonts w:ascii="Times New Roman" w:hAnsi="Times New Roman" w:eastAsia="Times New Roman"/>
          <w:color w:val="000000"/>
          <w:sz w:val="25"/>
        </w:rPr>
        <w:t>10. WIPO. (2011). World Intellectual Property Report 2011: The Changing Face of Innovation. World Intellectual Property Organization.</w:t>
      </w:r>
    </w:p>
    <w:p>
      <w:pPr>
        <w:spacing w:line="312" w:lineRule="auto" w:after="60"/>
        <w:ind w:left="454" w:hanging="454"/>
        <w:jc w:val="both"/>
        <w:widowControl w:val="1"/>
      </w:pPr>
      <w:r>
        <w:rPr>
          <w:rFonts w:ascii="Times New Roman" w:hAnsi="Times New Roman" w:eastAsia="Times New Roman"/>
          <w:color w:val="000000"/>
          <w:sz w:val="25"/>
        </w:rPr>
        <w:t>11. Bộ Chính trị. (2024). Nghị quyết số 57-NQ/TW ngày 22/12/2024 về đột phá phát triển khoa học, công nghệ, đổi mới sáng tạo và chuyển đổi số quốc gia.</w:t>
      </w:r>
    </w:p>
    <w:p>
      <w:pPr>
        <w:spacing w:line="312" w:lineRule="auto" w:after="60"/>
        <w:ind w:left="454" w:hanging="454"/>
        <w:jc w:val="both"/>
        <w:widowControl w:val="1"/>
      </w:pPr>
      <w:r>
        <w:rPr>
          <w:rFonts w:ascii="Times New Roman" w:hAnsi="Times New Roman" w:eastAsia="Times New Roman"/>
          <w:color w:val="000000"/>
          <w:sz w:val="25"/>
        </w:rPr>
        <w:t>12. Quốc hội. (2005). Luật Sở hữu trí tuệ số 50/2005/QH11 và các luật sửa đổi, bổ sung có liên quan.</w:t>
      </w:r>
    </w:p>
    <w:p>
      <w:pPr>
        <w:spacing w:line="312" w:lineRule="auto" w:after="60"/>
        <w:ind w:left="454" w:hanging="454"/>
        <w:jc w:val="both"/>
        <w:widowControl w:val="1"/>
      </w:pPr>
      <w:r>
        <w:rPr>
          <w:rFonts w:ascii="Times New Roman" w:hAnsi="Times New Roman" w:eastAsia="Times New Roman"/>
          <w:color w:val="000000"/>
          <w:sz w:val="25"/>
        </w:rPr>
        <w:t>13. Quốc hội. (2022). Luật số 07/2022/QH15 sửa đổi, bổ sung một số điều của Luật Sở hữu trí tuệ.</w:t>
      </w:r>
    </w:p>
    <w:p>
      <w:pPr>
        <w:spacing w:line="312" w:lineRule="auto" w:after="60"/>
        <w:ind w:left="454" w:hanging="454"/>
        <w:jc w:val="both"/>
        <w:widowControl w:val="1"/>
      </w:pPr>
      <w:r>
        <w:rPr>
          <w:rFonts w:ascii="Times New Roman" w:hAnsi="Times New Roman" w:eastAsia="Times New Roman"/>
          <w:color w:val="000000"/>
          <w:sz w:val="25"/>
        </w:rPr>
        <w:t>14. Thủ tướng Chính phủ. (2019). Quyết định số 1068/QĐ-TTg ngày 22/8/2019 phê duyệt Chiến lược sở hữu trí tuệ đến năm 2030.</w:t>
      </w:r>
    </w:p>
    <w:p>
      <w:pPr>
        <w:spacing w:line="312" w:lineRule="auto" w:after="60"/>
        <w:ind w:left="454" w:hanging="454"/>
        <w:jc w:val="both"/>
        <w:widowControl w:val="1"/>
      </w:pPr>
      <w:r>
        <w:rPr>
          <w:rFonts w:ascii="Times New Roman" w:hAnsi="Times New Roman" w:eastAsia="Times New Roman"/>
          <w:color w:val="000000"/>
          <w:sz w:val="25"/>
        </w:rPr>
        <w:t>15. Thủ tướng Chính phủ. (2020). Quyết định số 749/QĐ-TTg ngày 03/6/2020 phê duyệt Chương trình Chuyển đổi số quốc gia đến năm 2025, định hướng đến năm 2030.</w:t>
      </w:r>
    </w:p>
    <w:p>
      <w:pPr>
        <w:spacing w:line="312" w:lineRule="auto" w:after="60"/>
        <w:ind w:left="454" w:hanging="454"/>
        <w:jc w:val="both"/>
        <w:widowControl w:val="1"/>
      </w:pPr>
      <w:r>
        <w:rPr>
          <w:rFonts w:ascii="Times New Roman" w:hAnsi="Times New Roman" w:eastAsia="Times New Roman"/>
          <w:color w:val="000000"/>
          <w:sz w:val="25"/>
        </w:rPr>
        <w:t>16. Thủ tướng Chính phủ. (2022). Quyết định số 411/QĐ-TTg ngày 31/3/2022 phê duyệt Chiến lược quốc gia phát triển kinh tế số và xã hội số đến năm 2025, định hướng đến năm 2030.</w:t>
      </w:r>
    </w:p>
    <w:sectPr w:rsidR="00FC693F" w:rsidRPr="0006063C" w:rsidSect="00034616">
      <w:footerReference w:type="default" r:id="rId9"/>
      <w:pgSz w:w="11906" w:h="16838"/>
      <w:pgMar w:top="1134" w:right="1134" w:bottom="1134" w:left="19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olor w:val="00000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ind w:firstLine="0"/>
      <w:jc w:val="left"/>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20"/>
      <w:ind w:firstLine="0"/>
      <w:jc w:val="center"/>
    </w:pPr>
    <w:rPr>
      <w:rFonts w:ascii="Times New Roman" w:hAnsi="Times New Roman"/>
      <w:i/>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án tiến sĩ - Quản lý nhà nước về quyền sở hữu trí tuệ trong nền kinh tế số ở Việt Nam</dc:title>
  <dc:subject>Đề cương nghiên cứu luận án tiến sĩ ngành Quản lý kinh tế</dc:subject>
  <dc:creator>Nghiên cứu sinh</dc:creator>
  <cp:keywords>quản lý nhà nước; sở hữu trí tuệ; kinh tế số; đổi mới sáng tạo; doanh nghiệp</cp:keywords>
  <dc:description>generated by python-docx</dc:description>
  <cp:lastModifiedBy/>
  <cp:revision>1</cp:revision>
  <dcterms:created xsi:type="dcterms:W3CDTF">2013-12-23T23:15:00Z</dcterms:created>
  <dcterms:modified xsi:type="dcterms:W3CDTF">2013-12-23T23:15:00Z</dcterms:modified>
  <cp:category/>
</cp:coreProperties>
</file>