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KHUNG LÝ THUYẾT NGHIÊN CỨU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D9E1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LÝ THUYẾT NỀN TẢNG</w:t>
              <w:br/>
              <w:br/>
              <w:t>Lý thuyết quản lý công   |   Lý thuyết quản lý công mới   |   Lý thuyết quản trị số</w:t>
              <w:br/>
              <w:t>Lý thuyết quản trị thích ứng   |   Lý thuyết thể chế   |   Lý thuyết về quyền SHTT</w:t>
            </w:r>
          </w:p>
        </w:tc>
      </w:tr>
    </w:tbl>
    <w:p>
      <w:pPr>
        <w:jc w:val="center"/>
      </w:pPr>
      <w:r>
        <w:rPr>
          <w:color w:val="595959"/>
          <w:sz w:val="48"/>
        </w:rPr>
        <w:t>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FF2CC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KHÁI NIỆM CỐT LÕI</w:t>
              <w:br/>
              <w:br/>
              <w:t>Quyền sở hữu trí tuệ  -  Quản lý nhà nước  -  Kinh tế số  -  Quản trị số</w:t>
              <w:br/>
              <w:t>Quản lý nhà nước về quyền sở hữu trí tuệ trong nền kinh tế số</w:t>
            </w:r>
          </w:p>
        </w:tc>
      </w:tr>
    </w:tbl>
    <w:p>
      <w:pPr>
        <w:jc w:val="center"/>
      </w:pPr>
      <w:r>
        <w:rPr>
          <w:color w:val="595959"/>
          <w:sz w:val="48"/>
        </w:rPr>
        <w:t>⬇</w:t>
      </w:r>
    </w:p>
    <w:p>
      <w:pPr>
        <w:jc w:val="center"/>
      </w:pPr>
      <w:r>
        <w:rPr>
          <w:rFonts w:ascii="Times New Roman" w:hAnsi="Times New Roman"/>
          <w:b/>
          <w:i/>
        </w:rPr>
        <w:t>MÔ HÌNH NHÂN QUẢ GIỮA CÁC BIẾN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4320"/>
            <w:shd w:fill="E2F0D9"/>
          </w:tcPr>
          <w:p>
            <w:r>
              <w:rPr>
                <w:rFonts w:ascii="Times New Roman" w:hAnsi="Times New Roman"/>
                <w:sz w:val="22"/>
              </w:rPr>
              <w:t>BIẾN ĐỘC LẬP: NỘI DUNG QLNN</w:t>
              <w:br/>
              <w:br/>
              <w:t>X1. Xây dựng chiến lược, chính sách, pháp luật</w:t>
              <w:br/>
              <w:t>X2. Tổ chức thực hiện</w:t>
              <w:br/>
              <w:t>X3. Hỗ trợ xác lập, khai thác, thương mại hóa</w:t>
              <w:br/>
              <w:t>X4. Thanh tra, kiểm tra, giám sát, thực thi</w:t>
            </w:r>
          </w:p>
        </w:tc>
        <w:tc>
          <w:tcPr>
            <w:tcW w:type="dxa" w:w="720"/>
            <w:vMerge w:val="restart"/>
            <w:vAlign w:val="center"/>
          </w:tcPr>
          <w:p>
            <w:pPr>
              <w:jc w:val="center"/>
            </w:pPr>
            <w:r>
              <w:t>⬅</w:t>
            </w:r>
          </w:p>
        </w:tc>
        <w:tc>
          <w:tcPr>
            <w:tcW w:type="dxa" w:w="3600"/>
            <w:vMerge w:val="restart"/>
            <w:shd w:fill="EDE2F6"/>
            <w:vAlign w:val="center"/>
          </w:tcPr>
          <w:p>
            <w:r>
              <w:rPr>
                <w:rFonts w:ascii="Times New Roman" w:hAnsi="Times New Roman"/>
                <w:sz w:val="22"/>
              </w:rPr>
              <w:t>BIẾN ĐIỀU TIẾT</w:t>
              <w:br/>
              <w:br/>
              <w:t>NHÓM THỂ CHẾ:</w:t>
              <w:br/>
              <w:t>- Mức độ hoàn thiện pháp luật</w:t>
              <w:br/>
              <w:t>- Chính sách phát triển KT số</w:t>
              <w:br/>
              <w:br/>
              <w:t>NHÓM CÔNG NGHỆ:</w:t>
              <w:br/>
              <w:t>- Hạ tầng số, AI, Dữ liệu, Nền tảng</w:t>
              <w:br/>
              <w:br/>
              <w:t>NHÓM MÔI TRƯỜNG:</w:t>
              <w:br/>
              <w:t>- Trình độ phát triển kinh tế số</w:t>
              <w:br/>
              <w:t>- Năng lực đổi mới sáng tạo</w:t>
              <w:br/>
              <w:t>- Hội nhập, Nhận thức xã hội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⬇</w:t>
            </w:r>
          </w:p>
        </w:tc>
        <w:tc>
          <w:tcPr>
            <w:tcW w:type="dxa" w:w="720"/>
            <w:vMerge/>
          </w:tcPr>
          <w:p/>
        </w:tc>
        <w:tc>
          <w:tcPr>
            <w:tcW w:type="dxa" w:w="3600"/>
            <w:vMerge/>
          </w:tcPr>
          <w:p/>
        </w:tc>
      </w:tr>
      <w:tr>
        <w:tc>
          <w:tcPr>
            <w:tcW w:type="dxa" w:w="4320"/>
            <w:shd w:fill="FCE4D6"/>
          </w:tcPr>
          <w:p>
            <w:r>
              <w:rPr>
                <w:rFonts w:ascii="Times New Roman" w:hAnsi="Times New Roman"/>
                <w:sz w:val="22"/>
              </w:rPr>
              <w:t>BIẾN TRUNG GIAN: NĂNG LỰC QLNN</w:t>
              <w:br/>
              <w:br/>
              <w:t>M1. Năng lực hoạch định chính sách</w:t>
              <w:br/>
              <w:t>M2. Năng lực tổ chức thực hiện</w:t>
              <w:br/>
              <w:t>M3. Năng lực phối hợp liên ngành</w:t>
              <w:br/>
              <w:t>M4. Năng lực ứng dụng công nghệ số</w:t>
              <w:br/>
              <w:t>M5. Năng lực thanh tra, giám sát, thực thi</w:t>
            </w:r>
          </w:p>
        </w:tc>
        <w:tc>
          <w:tcPr>
            <w:tcW w:type="dxa" w:w="720"/>
            <w:vMerge/>
          </w:tcPr>
          <w:p/>
        </w:tc>
        <w:tc>
          <w:tcPr>
            <w:tcW w:type="dxa" w:w="3600"/>
            <w:vMerge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t>⬇</w:t>
            </w:r>
          </w:p>
        </w:tc>
        <w:tc>
          <w:tcPr>
            <w:tcW w:type="dxa" w:w="720"/>
            <w:vMerge/>
          </w:tcPr>
          <w:p/>
        </w:tc>
        <w:tc>
          <w:tcPr>
            <w:tcW w:type="dxa" w:w="3600"/>
            <w:vMerge/>
          </w:tcPr>
          <w:p/>
        </w:tc>
      </w:tr>
      <w:tr>
        <w:tc>
          <w:tcPr>
            <w:tcW w:type="dxa" w:w="4320"/>
            <w:shd w:fill="E2F0D9"/>
          </w:tcPr>
          <w:p>
            <w:r>
              <w:rPr>
                <w:rFonts w:ascii="Times New Roman" w:hAnsi="Times New Roman"/>
                <w:sz w:val="22"/>
              </w:rPr>
              <w:t>BIẾN PHỤ THUỘC: CHẤT LƯỢNG QLNN</w:t>
              <w:br/>
              <w:br/>
              <w:t>Y1. Hiệu lực</w:t>
              <w:br/>
              <w:t>Y2. Hiệu quả</w:t>
              <w:br/>
              <w:t>Y3. Tính phù hợp</w:t>
              <w:br/>
              <w:t>Y4. Tính đồng bộ và thống nhất</w:t>
              <w:br/>
              <w:t>Y5. Tính minh bạch</w:t>
            </w:r>
          </w:p>
        </w:tc>
        <w:tc>
          <w:tcPr>
            <w:tcW w:type="dxa" w:w="720"/>
            <w:vMerge/>
          </w:tcPr>
          <w:p/>
        </w:tc>
        <w:tc>
          <w:tcPr>
            <w:tcW w:type="dxa" w:w="3600"/>
            <w:vMerge/>
          </w:tcPr>
          <w:p/>
        </w:tc>
      </w:tr>
    </w:tbl>
    <w:p>
      <w:pPr>
        <w:jc w:val="center"/>
      </w:pPr>
      <w:r>
        <w:rPr>
          <w:color w:val="595959"/>
          <w:sz w:val="48"/>
        </w:rPr>
        <w:t>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FE69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KẾT QUẢ / TÁC ĐỘNG</w:t>
              <w:br/>
              <w:br/>
              <w:t>O1. Bảo vệ hiệu quả quyền SHTT   |   O2. Thúc đẩy đổi mới sáng tạo   |   O3. Phát triển tài sản trí tuệ</w:t>
              <w:br/>
              <w:t>O4. Nâng cao năng lực cạnh tranh quốc gia   |   O5. Thúc đẩy phát triển kinh tế số</w:t>
            </w:r>
          </w:p>
        </w:tc>
      </w:tr>
    </w:tbl>
    <w:p>
      <w:pPr>
        <w:jc w:val="center"/>
      </w:pPr>
      <w:r>
        <w:rPr>
          <w:color w:val="595959"/>
          <w:sz w:val="48"/>
        </w:rPr>
        <w:t>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VÒNG PHẢN HỒI CHÍNH SÁCH (FEEDBACK)</w:t>
              <w:br/>
              <w:br/>
              <w:t>Kết quả thực hiện ➔ Đánh giá ➔ Điều chỉnh (Chính sách, Thể chế, Công cụ) ➔ Hoàn thiện QLNN</w:t>
              <w:br/>
              <w:br/>
              <w:t>(Lưu ý: Quá trình này sẽ quay ngược trở lại tác động vào Nội dung QLNN ở trên)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