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Rule="auto" w:line="360"/>
        <w:jc w:val="center"/>
      </w:pPr>
      <w:r>
        <w:rPr>
          <w:rFonts w:eastAsia="Times New Roman" w:cs="Times New Roman"/>
          <w:rFonts w:ascii="Times New Roman" w:hAnsi="Times New Roman"/>
          <w:b/>
          <w:i w:val="0"/>
          <w:color w:val="000000"/>
          <w:sz w:val="26"/>
        </w:rPr>
        <w:t>Sơ đồ 2.x. Khung phân tích của luận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255" w:hRule="atLeast"/>
        </w:trPr>
        <w:tc>
          <w:tcPr>
            <w:tcW w:type="dxa" w:w="8617"/>
            <w:gridSpan w:val="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dashed" w:sz="6" w:space="0" w:color="888888"/>
              <w:bottom w:val="none" w:sz="0" w:space="0" w:color="FFFFFF"/>
              <w:left w:val="dashed" w:sz="6" w:space="0" w:color="888888"/>
              <w:right w:val="dashed" w:sz="6" w:space="0" w:color="888888"/>
            </w:tcBorders>
            <w:shd w:fill="F7F7F7"/>
            <w:tcMar>
              <w:top w:w="18" w:type="dxa"/>
              <w:bottom w:w="8" w:type="dxa"/>
              <w:start w:w="60" w:type="dxa"/>
              <w:end w:w="60" w:type="dxa"/>
            </w:tcMar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/>
                <w:color w:val="666666"/>
                <w:sz w:val="18"/>
              </w:rPr>
              <w:t>BỐI CẢNH: NỀN KINH TẾ SỐ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rPr>
          <w:trHeight w:val="907" w:hRule="atLeast"/>
        </w:trPr>
        <w:tc>
          <w:tcPr>
            <w:tcW w:type="dxa" w:w="8617"/>
            <w:gridSpan w:val="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single" w:sz="8" w:space="0" w:color="444444"/>
              <w:bottom w:val="single" w:sz="8" w:space="0" w:color="444444"/>
              <w:left w:val="single" w:sz="8" w:space="0" w:color="444444"/>
              <w:right w:val="single" w:sz="8" w:space="0" w:color="444444"/>
            </w:tcBorders>
            <w:shd w:fill="EBEBEB"/>
            <w:tcMar>
              <w:top w:w="35" w:type="dxa"/>
              <w:bottom w:w="35" w:type="dxa"/>
              <w:start w:w="80" w:type="dxa"/>
              <w:end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2"/>
              </w:rPr>
              <w:t>LÝ THUYẾT NỀN TẢNG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6"/>
              </w:rPr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333333"/>
                <w:sz w:val="18"/>
              </w:rPr>
              <w:t>Lý thuyết quản lý công mới  •  Lý thuyết thể chế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333333"/>
                <w:sz w:val="18"/>
              </w:rPr>
              <w:t>Lý thuyết quản trị số  •  Lý thuyết quyền sở hữu trí tuệ</w:t>
            </w:r>
          </w:p>
        </w:tc>
      </w:tr>
      <w:tr>
        <w:trPr>
          <w:trHeight w:val="283" w:hRule="atLeast"/>
        </w:trPr>
        <w:tc>
          <w:tcPr>
            <w:tcW w:type="dxa" w:w="8617"/>
            <w:gridSpan w:val="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dashed" w:sz="6" w:space="0" w:color="888888"/>
              <w:right w:val="dashed" w:sz="6" w:space="0" w:color="888888"/>
            </w:tcBorders>
            <w:shd w:fill="F7F7F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444444"/>
                <w:sz w:val="26"/>
              </w:rPr>
              <w:t>▼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rPr>
          <w:trHeight w:val="3118" w:hRule="atLeast"/>
        </w:trPr>
        <w:tc>
          <w:tcPr>
            <w:tcW w:type="dxa" w:w="19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single" w:sz="12" w:space="0" w:color="1a1a1a"/>
              <w:bottom w:val="single" w:sz="12" w:space="0" w:color="1a1a1a"/>
              <w:left w:val="single" w:sz="12" w:space="0" w:color="1a1a1a"/>
              <w:right w:val="single" w:sz="12" w:space="0" w:color="1a1a1a"/>
            </w:tcBorders>
            <w:tcMar>
              <w:top w:w="35" w:type="dxa"/>
              <w:bottom w:w="35" w:type="dxa"/>
              <w:start w:w="50" w:type="dxa"/>
              <w:end w:w="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CÁC YẾU TỐ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ẢNH HƯỞNG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(1) Khung pháp lý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và chính sách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(2) Năng lực tổ chức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và cán bộ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(3) Hạ tầng công nghệ số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(4) Nguồn lực tài chính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(5) Phối hợp thể chế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(6) Nhận thức xã hội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về SHTT</w:t>
            </w:r>
          </w:p>
        </w:tc>
        <w:tc>
          <w:tcPr>
            <w:tcW w:type="dxa" w:w="42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fill="FFFFFF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333333"/>
                <w:sz w:val="32"/>
              </w:rPr>
              <w:t>→</w:t>
            </w:r>
          </w:p>
        </w:tc>
        <w:tc>
          <w:tcPr>
            <w:tcW w:type="dxa" w:w="19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single" w:sz="12" w:space="0" w:color="1a1a1a"/>
              <w:bottom w:val="single" w:sz="12" w:space="0" w:color="1a1a1a"/>
              <w:left w:val="single" w:sz="12" w:space="0" w:color="1a1a1a"/>
              <w:right w:val="single" w:sz="12" w:space="0" w:color="1a1a1a"/>
            </w:tcBorders>
            <w:tcMar>
              <w:top w:w="35" w:type="dxa"/>
              <w:bottom w:w="35" w:type="dxa"/>
              <w:start w:w="50" w:type="dxa"/>
              <w:end w:w="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NỘI DUNG QLNN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VỀ QUYỀN SHTT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(1) Hoạch định chính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sách, chiến lược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(2) Hoàn thiện pháp luật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(3) Tổ chức bộ máy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quản lý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(4) Thanh tra, kiểm tra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xử lý vi phạm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(5) Ứng dụng công nghệ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số trong quản lý</w:t>
            </w:r>
          </w:p>
        </w:tc>
        <w:tc>
          <w:tcPr>
            <w:tcW w:type="dxa" w:w="42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333333"/>
                <w:sz w:val="32"/>
              </w:rPr>
              <w:t>→</w:t>
            </w:r>
          </w:p>
        </w:tc>
        <w:tc>
          <w:tcPr>
            <w:tcW w:type="dxa" w:w="175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single" w:sz="12" w:space="0" w:color="1a1a1a"/>
              <w:bottom w:val="single" w:sz="12" w:space="0" w:color="1a1a1a"/>
              <w:left w:val="single" w:sz="12" w:space="0" w:color="1a1a1a"/>
              <w:right w:val="single" w:sz="12" w:space="0" w:color="1a1a1a"/>
            </w:tcBorders>
            <w:tcMar>
              <w:top w:w="35" w:type="dxa"/>
              <w:bottom w:w="35" w:type="dxa"/>
              <w:start w:w="50" w:type="dxa"/>
              <w:end w:w="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HIỆU QUẢ QLNN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VỀ QUYỀN SHTT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(1) Hiệu lực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thực thi PL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(2) Bảo vệ quyền SHTT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trên không gian số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(3) Minh bạch,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công khai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(4) Hài lòng của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chủ thể quyền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(5) Thích ứng với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công nghệ mới</w:t>
            </w:r>
          </w:p>
        </w:tc>
        <w:tc>
          <w:tcPr>
            <w:tcW w:type="dxa" w:w="42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333333"/>
                <w:sz w:val="32"/>
              </w:rPr>
              <w:t>→</w:t>
            </w:r>
          </w:p>
        </w:tc>
        <w:tc>
          <w:tcPr>
            <w:tcW w:type="dxa" w:w="172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single" w:sz="12" w:space="0" w:color="1a1a1a"/>
              <w:bottom w:val="single" w:sz="12" w:space="0" w:color="1a1a1a"/>
              <w:left w:val="single" w:sz="12" w:space="0" w:color="1a1a1a"/>
              <w:right w:val="single" w:sz="12" w:space="0" w:color="1a1a1a"/>
            </w:tcBorders>
            <w:tcMar>
              <w:top w:w="35" w:type="dxa"/>
              <w:bottom w:w="35" w:type="dxa"/>
              <w:start w:w="50" w:type="dxa"/>
              <w:end w:w="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KẾT QUẢ,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1"/>
              </w:rPr>
              <w:t>TÁC ĐỘNG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(1) Thúc đẩy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đổi mới sáng tạo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(2) Phát triển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kinh tế số BV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(3) Bảo vệ quyền lợi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chủ thể sáng tạo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(4) Nâng cao NL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cạnh tranh QG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>(5) Thu hút đầu tư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18"/>
              </w:rPr>
              <w:t xml:space="preserve">     và CGCN</w:t>
            </w:r>
          </w:p>
        </w:tc>
      </w:tr>
      <w:tr>
        <w:trPr>
          <w:trHeight w:val="311" w:hRule="atLeast"/>
        </w:trPr>
        <w:tc>
          <w:tcPr>
            <w:tcW w:type="dxa" w:w="19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fill="FFFFFF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555555"/>
                <w:sz w:val="24"/>
              </w:rPr>
              <w:t>▲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/>
                <w:color w:val="777777"/>
                <w:sz w:val="14"/>
              </w:rPr>
              <w:t>phản hồi</w:t>
            </w:r>
          </w:p>
        </w:tc>
        <w:tc>
          <w:tcPr>
            <w:tcW w:type="dxa" w:w="4960"/>
            <w:gridSpan w:val="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fill="FFFFFF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666666"/>
                <w:sz w:val="18"/>
              </w:rPr>
              <w:t>◄ ─ ─ ─ ─ ─ ─ ─ ─ ─ ─ ─ ─ ─ ─ ─ ─ ─ ─ ─ ─ ─ ─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72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fill="FFFFFF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555555"/>
                <w:sz w:val="24"/>
              </w:rPr>
              <w:t>▼</w:t>
            </w:r>
          </w:p>
        </w:tc>
      </w:tr>
      <w:tr>
        <w:trPr>
          <w:trHeight w:val="850" w:hRule="atLeast"/>
        </w:trPr>
        <w:tc>
          <w:tcPr>
            <w:tcW w:type="dxa" w:w="8617"/>
            <w:gridSpan w:val="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dashed" w:sz="8" w:space="0" w:color="555555"/>
              <w:bottom w:val="dashed" w:sz="8" w:space="0" w:color="555555"/>
              <w:left w:val="dashed" w:sz="8" w:space="0" w:color="555555"/>
              <w:right w:val="dashed" w:sz="8" w:space="0" w:color="555555"/>
            </w:tcBorders>
            <w:shd w:fill="F0F0F0"/>
            <w:tcMar>
              <w:top w:w="35" w:type="dxa"/>
              <w:bottom w:w="35" w:type="dxa"/>
              <w:start w:w="80" w:type="dxa"/>
              <w:end w:w="8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i w:val="0"/>
                <w:color w:val="000000"/>
                <w:sz w:val="22"/>
              </w:rPr>
              <w:t>PHẢN HỒI CHÍNH SÁCH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6"/>
              </w:rPr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eastAsia="Times New Roman" w:cs="Times New Roman"/>
                <w:rFonts w:ascii="Times New Roman" w:hAnsi="Times New Roman"/>
                <w:b w:val="0"/>
                <w:i/>
                <w:color w:val="333333"/>
                <w:sz w:val="19"/>
              </w:rPr>
              <w:t>Thực tiễn thực thi  →  Đánh giá, tổng kết kết quả  →  Điều chỉnh chính sách  →  Hoàn thiện QLNN về SHTT</w:t>
            </w:r>
          </w:p>
        </w:tc>
      </w:tr>
      <w:tr>
        <w:trPr>
          <w:trHeight w:val="113" w:hRule="atLeast"/>
        </w:trPr>
        <w:tc>
          <w:tcPr>
            <w:tcW w:type="dxa" w:w="8617"/>
            <w:gridSpan w:val="7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tcBorders>
              <w:top w:val="none" w:sz="0" w:space="0" w:color="FFFFFF"/>
              <w:bottom w:val="dashed" w:sz="6" w:space="0" w:color="888888"/>
              <w:left w:val="dashed" w:sz="6" w:space="0" w:color="888888"/>
              <w:right w:val="dashed" w:sz="6" w:space="0" w:color="888888"/>
            </w:tcBorders>
            <w:shd w:fill="F7F7F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i w:val="0"/>
                <w:color w:val="000000"/>
                <w:sz w:val="6"/>
              </w:rPr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</w:tbl>
    <w:p>
      <w:pPr>
        <w:spacing w:before="120" w:after="4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/>
          <w:color w:val="000000"/>
          <w:sz w:val="22"/>
        </w:rPr>
        <w:t>Nguồn: Tác giả tự xây dựng trên cơ sở tổng quan lý thuyết</w:t>
      </w:r>
    </w:p>
    <w:p>
      <w:pPr>
        <w:spacing w:before="0" w:after="0" w:lineRule="auto" w:line="360"/>
        <w:jc w:val="left"/>
      </w:pPr>
      <w:r>
        <w:rPr>
          <w:rFonts w:eastAsia="Times New Roman" w:cs="Times New Roman"/>
          <w:rFonts w:ascii="Times New Roman" w:hAnsi="Times New Roman"/>
          <w:b w:val="0"/>
          <w:i/>
          <w:color w:val="555555"/>
          <w:sz w:val="17"/>
        </w:rPr>
        <w:t>→ Chiều tác động trực tiếp    ◄── Vòng phản hồi chính sách    ▼ Từ trên xuống dưới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