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Phối hợp đa chủ thể trong thực thi quyền sở hữu trí tuệ trên nền tảng số tại Việt Nam: Thực trạng và Giải pháp</w:t>
      </w:r>
      <w:r>
        <w:t xml:space="preserve"> </w:t>
      </w:r>
      <w:r>
        <w:t xml:space="preserve">-</w:t>
      </w:r>
      <w:r>
        <w:t xml:space="preserve"> </w:t>
      </w:r>
      <w:r>
        <w:rPr>
          <w:b/>
          <w:bCs/>
        </w:rPr>
        <w:t xml:space="preserve">Họ và tên tác giả:</w:t>
      </w:r>
      <w:r>
        <w:t xml:space="preserve"> </w:t>
      </w:r>
      <w:r>
        <w:t xml:space="preserve">[Điền họ và tên của bạn]</w:t>
      </w:r>
      <w:r>
        <w:t xml:space="preserve"> </w:t>
      </w:r>
      <w:r>
        <w:t xml:space="preserve">-</w:t>
      </w:r>
      <w:r>
        <w:t xml:space="preserve"> </w:t>
      </w:r>
      <w:r>
        <w:rPr>
          <w:b/>
          <w:bCs/>
        </w:rPr>
        <w:t xml:space="preserve">Đơn vị công tác:</w:t>
      </w:r>
      <w:r>
        <w:t xml:space="preserve"> </w:t>
      </w:r>
      <w:r>
        <w:t xml:space="preserve">[Điền tên cơ quan/trường học]</w:t>
      </w:r>
      <w:r>
        <w:t xml:space="preserve"> </w:t>
      </w:r>
      <w:r>
        <w:t xml:space="preserve">-</w:t>
      </w:r>
      <w:r>
        <w:t xml:space="preserve"> </w:t>
      </w:r>
      <w:r>
        <w:rPr>
          <w:b/>
          <w:bCs/>
        </w:rPr>
        <w:t xml:space="preserve">Email:</w:t>
      </w:r>
      <w:r>
        <w:t xml:space="preserve"> </w:t>
      </w:r>
      <w:r>
        <w:t xml:space="preserve">[Điền email của bạn]</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Sự phát triển của nền kinh tế số dẫn đến những thay đổi cấu trúc trong việc thực thi quyền sở hữu trí tuệ (SHTT). Nghiên cứu này nhằm mục tiêu đánh giá cơ chế phối hợp xử lý vi phạm SHTT trên nền tảng số tại Việt Nam. Sử dụng phương pháp phân tích luật học kết hợp nghiên cứu trường hợp, bài viết hệ thống hóa khung pháp lý hiện hành, từ đó phân tích các điểm nghẽn thực tiễn thông qua việc đối chiếu với thuyết vị lợi và thuyết quy hoạch xã hội. Kết quả nghiên cứu chỉ ra rằng gánh nặng chứng minh vi phạm hiện vẫn dồn lên chủ thể quyền, trong khi trách nhiệm chủ động rà soát của các nền tảng số còn hạn chế và thiếu vắng trục dữ liệu liên thông đa chủ thể. Từ những phát hiện trên, bài báo đề xuất hàm ý chính sách về việc chuyển đổi sang</w:t>
      </w:r>
      <w:r>
        <w:t xml:space="preserve"> </w:t>
      </w:r>
      <w:r>
        <w:t xml:space="preserve">“trách nhiệm giải trình chủ động”</w:t>
      </w:r>
      <w:r>
        <w:t xml:space="preserve"> </w:t>
      </w:r>
      <w:r>
        <w:t xml:space="preserve">của nền tảng số, đồng thời xây dựng hệ sinh thái dữ liệu dùng chung nhằm thúc đẩy nền kinh tế số phát triển bền vững.</w:t>
      </w:r>
    </w:p>
    <w:p>
      <w:pPr>
        <w:pStyle w:val="BodyText"/>
      </w:pPr>
      <w:r>
        <w:rPr>
          <w:b/>
          <w:bCs/>
        </w:rPr>
        <w:t xml:space="preserve">Từ khóa:</w:t>
      </w:r>
      <w:r>
        <w:t xml:space="preserve"> </w:t>
      </w:r>
      <w:r>
        <w:t xml:space="preserve">Kinh tế số; Nền tảng số; Phối hợp đa chủ thể; Quyền sở hữu trí tuệ; Trách nhiệm giải trình.</w:t>
      </w:r>
    </w:p>
    <w:bookmarkStart w:id="9" w:name="giới-thiệu"/>
    <w:p>
      <w:pPr>
        <w:pStyle w:val="Heading2"/>
      </w:pPr>
      <w:r>
        <w:t xml:space="preserve">1. Giới thiệu</w:t>
      </w:r>
    </w:p>
    <w:p>
      <w:pPr>
        <w:pStyle w:val="FirstParagraph"/>
      </w:pPr>
      <w:r>
        <w:t xml:space="preserve">Sự bùng nổ của nền kinh tế số và thương mại điện tử (TMĐT) toàn cầu đang định hình lại cấu trúc của các mô hình kinh doanh truyền thống. Tại Việt Nam, quy mô thị trường TMĐT bán lẻ trực tuyến đã ghi nhận sự tăng trưởng mạnh mẽ, từ 16,4 tỷ USD năm 2022 lên mức ước tính 25,0 tỷ USD vào năm 2024, đưa Việt Nam trở thành một trong những thị trường kinh tế số năng động nhất khu vực Đông Nam Á. Tuy nhiên, mặt trái của sự mở rộng nhanh chóng này là môi trường số đang trở thành không gian phức tạp đối với hoạt động bảo vệ quyền sở hữu trí tuệ (SHTT). Các tài sản vô hình, đặc biệt là nhãn hiệu và quyền tác giả, đang phải đối mặt với nguy cơ bị xâm phạm liên tục với tốc độ phát tán nhanh, quy mô lớn và khả năng ẩn danh tinh vi của các đối tượng vi phạm.</w:t>
      </w:r>
    </w:p>
    <w:p>
      <w:pPr>
        <w:pStyle w:val="BodyText"/>
      </w:pPr>
      <w:r>
        <w:t xml:space="preserve">Trong bối cảnh đó, các công cụ kiểm soát và thực thi quyền lực nhà nước theo mô hình truyền thống, vốn được thiết kế cho không gian vật lý, bộc lộ sự chậm trễ và quá tải trước khối lượng giao dịch điện tử khổng lồ. Mặc dù khung pháp lý tại Việt Nam đã có những bước tiến đáng kể, điển hình là Luật sửa đổi, bổ sung một số điều của Luật Sở hữu trí tuệ (Luật số 07/2022/QH15) có hiệu lực từ ngày 01/01/2023, trong đó quy định rõ hơn về trách nhiệm của các nhà cung cấp dịch vụ trung gian, nhưng cơ chế thực thi trên thực tế vẫn mang nặng tính hành chính và phản ứng thụ động. Sự phụ thuộc quá lớn vào quy trình</w:t>
      </w:r>
      <w:r>
        <w:t xml:space="preserve"> </w:t>
      </w:r>
      <w:r>
        <w:t xml:space="preserve">“thông báo và gỡ bỏ”</w:t>
      </w:r>
      <w:r>
        <w:t xml:space="preserve"> </w:t>
      </w:r>
      <w:r>
        <w:t xml:space="preserve">một chiều đã tạo ra một khoảng trống pháp lý và kỹ thuật, khi gánh nặng chứng minh vi phạm hoàn toàn thuộc về chủ sở hữu quyền, trong khi các nền tảng số chưa bị ràng buộc trách nhiệm chủ động một cách chặt chẽ.</w:t>
      </w:r>
    </w:p>
    <w:p>
      <w:pPr>
        <w:pStyle w:val="BodyText"/>
      </w:pPr>
      <w:r>
        <w:t xml:space="preserve">Hiện nay, nhiều nghiên cứu trên thế giới đã vận dụng các lý thuyết về SHTT để đề xuất mô hình chia sẻ trách nhiệm kiểm duyệt cho nền tảng số.</w:t>
      </w:r>
      <w:r>
        <w:t xml:space="preserve">11</w:t>
      </w:r>
      <w:r>
        <w:t xml:space="preserve"> </w:t>
      </w:r>
      <w:r>
        <w:t xml:space="preserve">Tuy nhiên, tại Việt Nam, mô hình thực thi quyền SHTT chủ yếu dựa vào cơ quan hành chính nhà nước, dẫn đến tình trạng chi phí thực thi cao và hiệu quả thấp.</w:t>
      </w:r>
      <w:r>
        <w:t xml:space="preserve">2</w:t>
      </w:r>
      <w:r>
        <w:t xml:space="preserve"> </w:t>
      </w:r>
      <w:r>
        <w:t xml:space="preserve">Sự thiếu vắng các nghiên cứu ứng dụng trực tiếp các khung lý thuyết kinh điển vào bối cảnh TMĐT đặc thù của Việt Nam, đặc biệt là việc định lượng năng lực công nghệ của nền tảng so với năng lực quản lý nhà nước, tạo ra một khoảng trống lý luận đáng kể.</w:t>
      </w:r>
    </w:p>
    <w:p>
      <w:pPr>
        <w:pStyle w:val="BodyText"/>
      </w:pPr>
      <w:r>
        <w:t xml:space="preserve">Nhằm thu hẹp khoảng trống này, bài báo đặt mục tiêu phân tích thực trạng phối hợp đa chủ thể trong thực thi quyền SHTT trên nền tảng số tại Việt Nam. Thông qua việc đối chiếu dữ liệu thực chứng về năng lực quản lý hành chính và khả năng tự điều tiết bằng công nghệ của các nền tảng số, nghiên cứu làm rõ các rào cản thể chế hiện tại. Từ đó, bài báo đề xuất một hệ thống giải pháp định hướng chính sách nhằm chuyển đổi mô hình từ thực thi hành chính đơn tuyến sang quản trị cộng tác, đảm bảo sự phát triển bền vững của nền kinh tế số quốc gia.</w:t>
      </w:r>
    </w:p>
    <w:bookmarkEnd w:id="9"/>
    <w:bookmarkStart w:id="12" w:name="tổng-quan-nghiên-cứu-và-khung-phân-tích"/>
    <w:p>
      <w:pPr>
        <w:pStyle w:val="Heading2"/>
      </w:pPr>
      <w:r>
        <w:t xml:space="preserve">2. Tổng quan nghiên cứu và Khung phân tích</w:t>
      </w:r>
    </w:p>
    <w:bookmarkStart w:id="10" w:name="tổng-quan-nghiên-cứu"/>
    <w:p>
      <w:pPr>
        <w:pStyle w:val="Heading3"/>
      </w:pPr>
      <w:r>
        <w:t xml:space="preserve">2.1. Tổng quan nghiên cứu</w:t>
      </w:r>
    </w:p>
    <w:p>
      <w:pPr>
        <w:pStyle w:val="FirstParagraph"/>
      </w:pPr>
      <w:r>
        <w:t xml:space="preserve">Quá trình tích lũy tri thức về thực thi quyền SHTT trên môi trường số ghi nhận sự thay đổi lớn khi các nền tảng trung gian dần trở thành chủ thể trung tâm. Các công trình nghiên cứu hiện nay được chia thành hai nhóm: nghiên cứu quốc tế chú trọng khung lý thuyết và nghiên cứu trong nước tập trung vào thực thi đặc thù tại Việt Nam.</w:t>
      </w:r>
    </w:p>
    <w:p>
      <w:pPr>
        <w:pStyle w:val="BodyText"/>
      </w:pPr>
      <w:r>
        <w:rPr>
          <w:b/>
          <w:bCs/>
        </w:rPr>
        <w:t xml:space="preserve">Các công trình nghiên cứu quốc tế:</w:t>
      </w:r>
      <w:r>
        <w:t xml:space="preserve"> </w:t>
      </w:r>
      <w:r>
        <w:t xml:space="preserve">Bagherpour</w:t>
      </w:r>
      <w:r>
        <w:t xml:space="preserve">1</w:t>
      </w:r>
      <w:r>
        <w:t xml:space="preserve"> </w:t>
      </w:r>
      <w:r>
        <w:t xml:space="preserve">chỉ ra sự đứt gãy của hệ thống pháp luật truyền thống (điển hình là TRIPS) khi áp dụng vào môi trường mạng. Kế thừa quan điểm này, báo cáo của OECD</w:t>
      </w:r>
      <w:r>
        <w:t xml:space="preserve">2</w:t>
      </w:r>
      <w:r>
        <w:t xml:space="preserve"> </w:t>
      </w:r>
      <w:r>
        <w:t xml:space="preserve">cung cấp bằng chứng thực nghiệm cho thấy các hàng rào kiểm soát biên giới đã bị vô hiệu hóa bởi thương mại điện tử. Để bù đắp sự thiếu hụt này, Torous</w:t>
      </w:r>
      <w:r>
        <w:t xml:space="preserve">3</w:t>
      </w:r>
      <w:r>
        <w:t xml:space="preserve"> </w:t>
      </w:r>
      <w:r>
        <w:t xml:space="preserve">định hình cách tiếp cận tích hợp công nghệ quản trị bản quyền số vào khung pháp lý. Sự bế tắc của các công cụ kiểm soát đơn lẻ thúc đẩy các nghiên cứu chuyển hướng sang các mô hình quản trị chia sẻ. Sahak và cộng sự</w:t>
      </w:r>
      <w:r>
        <w:t xml:space="preserve">4</w:t>
      </w:r>
      <w:r>
        <w:t xml:space="preserve"> </w:t>
      </w:r>
      <w:r>
        <w:t xml:space="preserve">đóng góp bằng chứng làm rõ sự bất cập của việc áp đặt trách nhiệm đơn phương lên nhà nước, từ đó định hình xu hướng mới: chuyển từ kiểm soát hành chính sang cơ chế chia sẻ trách nhiệm với doanh nghiệp nền tảng. William Fisher</w:t>
      </w:r>
      <w:r>
        <w:t xml:space="preserve">11</w:t>
      </w:r>
      <w:r>
        <w:t xml:space="preserve"> </w:t>
      </w:r>
      <w:r>
        <w:t xml:space="preserve">đã hệ thống hóa các lý thuyết cốt lõi về SHTT, tạo bệ đỡ lý thuyết cho các nghiên cứu ứng dụng về cơ chế phối hợp này.</w:t>
      </w:r>
    </w:p>
    <w:p>
      <w:pPr>
        <w:pStyle w:val="BodyText"/>
      </w:pPr>
      <w:r>
        <w:rPr>
          <w:b/>
          <w:bCs/>
        </w:rPr>
        <w:t xml:space="preserve">Các công trình nghiên cứu trong nước:</w:t>
      </w:r>
      <w:r>
        <w:t xml:space="preserve"> </w:t>
      </w:r>
      <w:r>
        <w:t xml:space="preserve">Dưới góc độ vi mô, Phạm Quốc Trung và Đặng Nhựt Minh</w:t>
      </w:r>
      <w:r>
        <w:t xml:space="preserve">5</w:t>
      </w:r>
      <w:r>
        <w:t xml:space="preserve"> </w:t>
      </w:r>
      <w:r>
        <w:t xml:space="preserve">đóng góp bằng chứng thực nghiệm về yếu tố hành vi, làm rõ cơ chế tác động của nhận thức rủi ro đến quyết định vi phạm bản quyền số. Ở tầm vĩ mô, Trần Thị Lan</w:t>
      </w:r>
      <w:r>
        <w:t xml:space="preserve">6</w:t>
      </w:r>
      <w:r>
        <w:t xml:space="preserve"> </w:t>
      </w:r>
      <w:r>
        <w:t xml:space="preserve">và Trần Nguyễn Mỹ Linh cùng cộng sự</w:t>
      </w:r>
      <w:r>
        <w:t xml:space="preserve">7</w:t>
      </w:r>
      <w:r>
        <w:t xml:space="preserve"> </w:t>
      </w:r>
      <w:r>
        <w:t xml:space="preserve">định lượng sự chênh lệch giữa tốc độ phát triển của nền tảng số và năng lực đáp ứng của cơ quan hành chính. Về mặt pháp lý, Nguyễn Trọng Quang</w:t>
      </w:r>
      <w:r>
        <w:t xml:space="preserve">8</w:t>
      </w:r>
      <w:r>
        <w:t xml:space="preserve"> </w:t>
      </w:r>
      <w:r>
        <w:t xml:space="preserve">làm rõ việc các cơ chế kiểm tra truyền thống bị vô hiệu hóa trước thuật toán AI. Lâm Xuân Hùng</w:t>
      </w:r>
      <w:r>
        <w:t xml:space="preserve">9</w:t>
      </w:r>
      <w:r>
        <w:t xml:space="preserve"> </w:t>
      </w:r>
      <w:r>
        <w:t xml:space="preserve">chỉ ra nhu cầu thay thế cơ chế thực thi đơn tuyến, và Nguyễn Hồ Bích Hằng</w:t>
      </w:r>
      <w:r>
        <w:t xml:space="preserve">10</w:t>
      </w:r>
      <w:r>
        <w:t xml:space="preserve"> </w:t>
      </w:r>
      <w:r>
        <w:t xml:space="preserve">đề xuất mô hình liên thông dữ liệu trực tiếp giữa hải quan, quản lý thị trường và các sàn thương mại điện tử.</w:t>
      </w:r>
    </w:p>
    <w:p>
      <w:pPr>
        <w:pStyle w:val="BodyText"/>
      </w:pPr>
      <w:r>
        <w:rPr>
          <w:b/>
          <w:bCs/>
        </w:rPr>
        <w:t xml:space="preserve">Khoảng trống nghiên cứu:</w:t>
      </w:r>
      <w:r>
        <w:t xml:space="preserve"> </w:t>
      </w:r>
      <w:r>
        <w:t xml:space="preserve">Mặc dù các nền tảng lý thuyết SHTT</w:t>
      </w:r>
      <w:r>
        <w:t xml:space="preserve">11</w:t>
      </w:r>
      <w:r>
        <w:t xml:space="preserve"> </w:t>
      </w:r>
      <w:r>
        <w:t xml:space="preserve">cung cấp công cụ phân tích mạnh mẽ và các nghiên cứu trong nước</w:t>
      </w:r>
      <w:r>
        <w:t xml:space="preserve">9,10</w:t>
      </w:r>
      <w:r>
        <w:t xml:space="preserve"> </w:t>
      </w:r>
      <w:r>
        <w:t xml:space="preserve">đã chạm đến nhu cầu phối hợp liên ngành, song vẫn tồn tại khoảng cách lớn giữa lý thuyết và ứng dụng. Hiện nay còn thiếu vắng các nghiên cứu vận dụng trực tiếp các lý thuyết SHTT kết hợp với dữ liệu định lượng của nền tảng tư nhân để làm rõ bản chất trách nhiệm và năng lực thực thi. Đây chính là khoảng trống nghiên cứu mà bài viết tập trung giải quyết.</w:t>
      </w:r>
    </w:p>
    <w:bookmarkEnd w:id="10"/>
    <w:bookmarkStart w:id="11" w:name="khung-phân-tích-và-cơ-sở-lý-luận"/>
    <w:p>
      <w:pPr>
        <w:pStyle w:val="Heading3"/>
      </w:pPr>
      <w:r>
        <w:t xml:space="preserve">2.2. Khung phân tích và Cơ sở lý luận</w:t>
      </w:r>
    </w:p>
    <w:p>
      <w:pPr>
        <w:pStyle w:val="FirstParagraph"/>
      </w:pPr>
      <w:r>
        <w:t xml:space="preserve">Để giải quyết bài toán phối hợp đa chủ thể trong bảo vệ SHTT trên nền tảng số, bài viết vận dụng hai luồng lý thuyết nền tảng do William Fisher</w:t>
      </w:r>
      <w:r>
        <w:t xml:space="preserve">11</w:t>
      </w:r>
      <w:r>
        <w:t xml:space="preserve"> </w:t>
      </w:r>
      <w:r>
        <w:t xml:space="preserve">hệ thống hóa: Thuyết vị lợi và Thuyết quy hoạch xã hội. Các lý thuyết này giải thích nguyên do tất yếu của việc dịch chuyển mô hình thực thi SHTT.</w:t>
      </w:r>
    </w:p>
    <w:p>
      <w:pPr>
        <w:pStyle w:val="BodyText"/>
      </w:pPr>
      <w:r>
        <w:t xml:space="preserve">Về mặt cụ thể,</w:t>
      </w:r>
      <w:r>
        <w:t xml:space="preserve"> </w:t>
      </w:r>
      <w:r>
        <w:rPr>
          <w:b/>
          <w:bCs/>
        </w:rPr>
        <w:t xml:space="preserve">Thuyết vị lợi</w:t>
      </w:r>
      <w:r>
        <w:t xml:space="preserve"> </w:t>
      </w:r>
      <w:r>
        <w:t xml:space="preserve">nhấn mạnh mục tiêu tối đa hóa phúc lợi xã hội thông qua việc tìm ra điểm cân bằng tối ưu giữa tạo động lực sáng tạo và đảm bảo quyền tiếp cận của công chúng. Trong môi trường số, đặc tính ẩn danh và chi phí sao chép thấp gây ra tổn thất vô ích nặng nề do chi phí thực thi của Nhà nước và chủ thể quyền tăng cao. Thuyết vị lợi lý giải rằng, để khôi phục sự cân bằng, bắt buộc phải dịch chuyển một phần gánh nặng giám sát sang cho các doanh nghiệp nền tảng, nơi có lợi thế kinh tế nhờ quy mô công nghệ và thuật toán.</w:t>
      </w:r>
    </w:p>
    <w:p>
      <w:pPr>
        <w:pStyle w:val="BodyText"/>
      </w:pPr>
      <w:r>
        <w:t xml:space="preserve">Bên cạnh đó,</w:t>
      </w:r>
      <w:r>
        <w:t xml:space="preserve"> </w:t>
      </w:r>
      <w:r>
        <w:rPr>
          <w:b/>
          <w:bCs/>
        </w:rPr>
        <w:t xml:space="preserve">Thuyết quy hoạch xã hội</w:t>
      </w:r>
      <w:r>
        <w:t xml:space="preserve"> </w:t>
      </w:r>
      <w:r>
        <w:t xml:space="preserve">hướng đến việc thiết lập quyền SHTT để kiến tạo một môi trường văn hóa - kinh tế công bằng. Nền tảng số hiện đại không chỉ là một kênh phân phối mà là một hệ sinh thái. Theo góc nhìn này, việc duy trì tính liêm chính của hệ sinh thái không thể phó mặc cho chế tài hành chính đơn thuần, mà cần có cơ chế đồng quản lý.</w:t>
      </w:r>
      <w:r>
        <w:t xml:space="preserve">11</w:t>
      </w:r>
      <w:r>
        <w:t xml:space="preserve"> </w:t>
      </w:r>
      <w:r>
        <w:t xml:space="preserve">Trong đó, trách nhiệm giải trình chủ động của nền tảng và sự tham gia giám sát của cộng đồng đóng vai trò then chốt để duy trì một môi trường thương mại minh bạch.</w:t>
      </w:r>
    </w:p>
    <w:p>
      <w:pPr>
        <w:pStyle w:val="BodyText"/>
      </w:pPr>
      <w:r>
        <w:t xml:space="preserve">Sự giao thoa của hai lý thuyết trên khẳng định việc phối hợp đa chủ thể mang tính cấu trúc là yêu cầu thiết yếu nhằm duy trì sự bền vững của nền kinh tế số. Mô hình quản trị này được vận hành dựa trên sự phân bổ trách nhiệm dựa trên lợi thế của từng bên: cơ quan nhà nước giữ vai trò tạo lập thể chế và định hướng vĩ mô, nền tảng số đóng vai trò người gác cổng chủ động nhờ năng lực thuật toán, trong khi chủ thể quyền và người tiêu dùng đóng vai trò lực lượng giám sát thực tế liên tục.</w:t>
      </w:r>
      <w:r>
        <w:t xml:space="preserve">12</w:t>
      </w:r>
    </w:p>
    <w:bookmarkEnd w:id="11"/>
    <w:bookmarkEnd w:id="12"/>
    <w:bookmarkStart w:id="13" w:name="phương-pháp-nghiên-cứu"/>
    <w:p>
      <w:pPr>
        <w:pStyle w:val="Heading2"/>
      </w:pPr>
      <w:r>
        <w:t xml:space="preserve">3. Phương pháp nghiên cứu</w:t>
      </w:r>
    </w:p>
    <w:p>
      <w:pPr>
        <w:pStyle w:val="FirstParagraph"/>
      </w:pPr>
      <w:r>
        <w:t xml:space="preserve">Để giải quyết câu hỏi nghiên cứu về mức độ hiệu quả của cơ chế phối hợp đa chủ thể, bài viết thiết kế cấu trúc phương pháp luận kết hợp giữa nghiên cứu định tính (phân tích luật pháp, tổng hợp tài liệu) và phân tích định lượng dựa trên bộ dữ liệu thứ cấp. Cụ thể, các phương pháp được sử dụng như sau:</w:t>
      </w:r>
    </w:p>
    <w:p>
      <w:pPr>
        <w:pStyle w:val="BodyText"/>
      </w:pPr>
      <w:r>
        <w:rPr>
          <w:b/>
          <w:bCs/>
        </w:rPr>
        <w:t xml:space="preserve">Thứ nhất, phương pháp phân tích và tổng hợp tài liệu:</w:t>
      </w:r>
      <w:r>
        <w:t xml:space="preserve"> </w:t>
      </w:r>
      <w:r>
        <w:t xml:space="preserve">Phương pháp này được sử dụng xuyên suốt để xây dựng khung lý thuyết và tổng hợp số liệu thực chứng. Nghiên cứu thực hiện thu thập và hệ thống hóa các công trình nghiên cứu học thuật quốc tế và trong nước về SHTT trên nền kinh tế số. Dữ liệu thứ cấp được trích xuất từ các báo cáo quốc gia và quốc tế uy tín trong giai đoạn 2022–2025, bao gồm: Báo cáo thường niên của Cục Sở hữu trí tuệ, Sách Trắng Thương mại điện tử của Bộ Công Thương, và các báo cáo quốc tế về sở hữu trí tuệ từ Tổ chức Sở hữu Trí tuệ Thế giới (WIPO)</w:t>
      </w:r>
      <w:r>
        <w:t xml:space="preserve">13</w:t>
      </w:r>
      <w:r>
        <w:t xml:space="preserve">, Tổ chức Hợp tác và Phát triển Kinh tế (OECD), và Cơ quan Sở hữu trí tuệ Liên minh Châu Âu (EUIPO). Việc đối chiếu các báo cáo vĩ mô này giúp nhận diện xu hướng vi phạm quy mô lớn.</w:t>
      </w:r>
    </w:p>
    <w:p>
      <w:pPr>
        <w:pStyle w:val="BodyText"/>
      </w:pPr>
      <w:r>
        <w:rPr>
          <w:b/>
          <w:bCs/>
        </w:rPr>
        <w:t xml:space="preserve">Thứ hai, phương pháp nghiên cứu trường hợp và phân tích định lượng thứ cấp:</w:t>
      </w:r>
      <w:r>
        <w:t xml:space="preserve"> </w:t>
      </w:r>
      <w:r>
        <w:t xml:space="preserve">Để làm rõ năng lực công nghệ và hiệu quả tự điều tiết của khu vực tư nhân, bài viết phân tích chuyên sâu dữ liệu từ chuỗi Báo cáo bảo vệ thương hiệu giai đoạn 2022-2025 của Shopee, đại diện cho hệ sinh thái nền tảng số có quy mô lớn nhất khu vực. Việc phân tích định lượng sự thay đổi của các chỉ số kỹ thuật (số lượng thương hiệu trên Cổng thông tin sở hữu trí tuệ, số lượng mô hình AI phân tích, và tỷ lệ gỡ bỏ chủ động) cung cấp minh chứng rõ ràng về khoảng cách năng lực thực thi giữa cơ quan hành chính nhà nước và các tập đoàn công nghệ số. Bằng cách so sánh chuỗi dữ liệu tăng trưởng của TMĐT quốc gia với dữ liệu xử lý khiếu nại tại Cục SHTT, nghiên cứu lượng hóa được rào cản và tính phi đối xứng của hệ thống.</w:t>
      </w:r>
    </w:p>
    <w:p>
      <w:pPr>
        <w:pStyle w:val="BodyText"/>
      </w:pPr>
      <w:r>
        <w:rPr>
          <w:b/>
          <w:bCs/>
        </w:rPr>
        <w:t xml:space="preserve">Thứ ba, phương pháp phân tích, đối chiếu pháp luật:</w:t>
      </w:r>
      <w:r>
        <w:t xml:space="preserve"> </w:t>
      </w:r>
      <w:r>
        <w:t xml:space="preserve">Nghiên cứu áp dụng phương pháp này để mổ xẻ các văn bản quy phạm pháp luật hiện hành tại Việt Nam, trọng tâm là Luật sửa đổi, bổ sung một số điều của Luật Sở hữu trí tuệ (Luật số 07/2022/QH15) và quy định tại Điều 198b. Nghiên cứu tiến hành so sánh cơ chế</w:t>
      </w:r>
      <w:r>
        <w:t xml:space="preserve"> </w:t>
      </w:r>
      <w:r>
        <w:t xml:space="preserve">“thông báo và gỡ bỏ”</w:t>
      </w:r>
      <w:r>
        <w:t xml:space="preserve"> </w:t>
      </w:r>
      <w:r>
        <w:t xml:space="preserve">đang được áp dụng tại Việt Nam với các mô hình trách nhiệm giải trình chủ động của nền tảng tại Liên minh Châu Âu, như Đạo luật Dịch vụ Kỹ thuật số, nhằm phát hiện những điểm nghẽn thể chế. Phương pháp này đóng vai trò quan trọng trong việc lý giải các nguyên nhân gốc rễ của sự thiếu liên thông dữ liệu và đứt gãy trách nhiệm giữa các chủ thể.</w:t>
      </w:r>
    </w:p>
    <w:bookmarkEnd w:id="13"/>
    <w:bookmarkStart w:id="17" w:name="kết-quả-nghiên-cứu"/>
    <w:p>
      <w:pPr>
        <w:pStyle w:val="Heading2"/>
      </w:pPr>
      <w:r>
        <w:t xml:space="preserve">4. Kết quả nghiên cứu</w:t>
      </w:r>
    </w:p>
    <w:bookmarkStart w:id="14" w:name="X4a08af16bea581d6f2d968a5011d28afcb7a916"/>
    <w:p>
      <w:pPr>
        <w:pStyle w:val="Heading3"/>
      </w:pPr>
      <w:r>
        <w:t xml:space="preserve">3.1. Thực trạng khung thể chế và pháp lý hiện hành</w:t>
      </w:r>
    </w:p>
    <w:p>
      <w:pPr>
        <w:pStyle w:val="FirstParagraph"/>
      </w:pPr>
      <w:r>
        <w:t xml:space="preserve">Khung pháp lý về bảo vệ quyền SHTT trên nền tảng số tại Việt Nam được xây dựng theo cấu trúc phân tầng. Ở tầm chiến lược, Nghị quyết số 52-NQ/TW và Nghị quyết số 57-NQ/TW của Bộ Chính trị xác định bảo hộ quyền SHTT là nội dung cốt lõi của chiến lược phát triển kinh tế số quốc gia. Định hướng này được cụ thể hóa trong quá trình hoàn thiện thể chế những năm gần đây.</w:t>
      </w:r>
    </w:p>
    <w:p>
      <w:pPr>
        <w:pStyle w:val="BodyText"/>
      </w:pPr>
      <w:r>
        <w:t xml:space="preserve">Ở cấp độ thực thi, Luật sửa đổi, bổ sung một số điều của Luật Sở hữu trí tuệ (Luật số 07/2022/QH15), có hiệu lực từ ngày 01/01/2023, đã bổ sung Điều 198b nhằm quy định trách nhiệm pháp lý của doanh nghiệp cung cấp dịch vụ trung gian trong việc xử lý hành vi xâm phạm quyền tác giả và quyền liên quan. Đây là bước tiến pháp lý xác lập nghĩa vụ tham gia bảo vệ quyền SHTT đối với các nền tảng số. Đồng thời, Luật Công nghiệp công nghệ số (Luật số 71/2025/QH15) bước đầu bổ sung cơ chế kiểm soát nội dung và nhận dạng sản phẩm trên môi trường kỹ thuật số. Về mặt điều hành, Chỉ thị số 02/CT-TTg và Công điện số 38/CĐ-TTg của Thủ tướng Chính phủ chỉ đạo thành lập Tổ công tác liên ngành giám sát các sàn thương mại điện tử, tạo cơ sở cho việc triển khai mô hình phối hợp.</w:t>
      </w:r>
    </w:p>
    <w:p>
      <w:pPr>
        <w:pStyle w:val="BodyText"/>
      </w:pPr>
      <w:r>
        <w:t xml:space="preserve">Tuy nhiên, trong thực tiễn áp dụng, mô hình phối hợp xử lý vi phạm chủ yếu vẫn vận hành theo cơ chế</w:t>
      </w:r>
      <w:r>
        <w:t xml:space="preserve"> </w:t>
      </w:r>
      <w:r>
        <w:t xml:space="preserve">“thông báo và gỡ bỏ”</w:t>
      </w:r>
      <w:r>
        <w:t xml:space="preserve"> </w:t>
      </w:r>
      <w:r>
        <w:t xml:space="preserve">một chiều. Cơ chế này đặt gánh nặng chứng minh vi phạm lên chủ thể quyền, nền tảng số can thiệp khi có yêu cầu cụ thể, và cơ quan quản lý nhà nước thường can thiệp ở khâu xử lý hậu quả.</w:t>
      </w:r>
      <w:r>
        <w:t xml:space="preserve">4</w:t>
      </w:r>
      <w:r>
        <w:t xml:space="preserve"> </w:t>
      </w:r>
      <w:r>
        <w:t xml:space="preserve">Việc chưa hoàn thiện các quy định chi tiết và thiếu hụt hệ thống dữ liệu liên thông thời gian thực khiến hiệu quả của cơ chế pháp lý chưa theo kịp tốc độ gia tăng vi phạm trên môi trường số.</w:t>
      </w:r>
    </w:p>
    <w:bookmarkEnd w:id="14"/>
    <w:bookmarkStart w:id="15" w:name="X80b76e26c27cecee4068b587b20bc3676841ea2"/>
    <w:p>
      <w:pPr>
        <w:pStyle w:val="Heading3"/>
      </w:pPr>
      <w:r>
        <w:t xml:space="preserve">3.2. Thực trạng thực thi quyền SHTT và hoạt động của nền tảng số</w:t>
      </w:r>
    </w:p>
    <w:p>
      <w:pPr>
        <w:pStyle w:val="FirstParagraph"/>
      </w:pPr>
      <w:r>
        <w:t xml:space="preserve">Dữ liệu thống kê giai đoạn 2022–2024 cho thấy có sự chênh lệch lớn giữa quy mô phát triển thương mại điện tử và năng lực đáp ứng của hệ thống quản lý quyền SHTT quốc gia.</w:t>
      </w:r>
    </w:p>
    <w:p>
      <w:pPr>
        <w:pStyle w:val="BodyText"/>
      </w:pPr>
      <w:r>
        <w:rPr>
          <w:b/>
          <w:bCs/>
        </w:rPr>
        <w:t xml:space="preserve">Bảng 1: Tương quan giữa quy mô TMĐT và các chỉ số hoạt động sở hữu công nghiệp tại Việt Nam (2022–2024)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tiêu phân tích</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Xu hướng biến động thực tế</w:t>
            </w:r>
          </w:p>
        </w:tc>
      </w:tr>
      <w:tr>
        <w:tc>
          <w:tcPr/>
          <w:p>
            <w:pPr>
              <w:pStyle w:val="Compact"/>
            </w:pPr>
            <w:r>
              <w:t xml:space="preserve">Quy mô TMĐT bán lẻ trực tuyến (tỷ USD)</w:t>
            </w:r>
          </w:p>
        </w:tc>
        <w:tc>
          <w:tcPr/>
          <w:p>
            <w:pPr>
              <w:pStyle w:val="Compact"/>
            </w:pPr>
            <w:r>
              <w:t xml:space="preserve">16,4</w:t>
            </w:r>
          </w:p>
        </w:tc>
        <w:tc>
          <w:tcPr/>
          <w:p>
            <w:pPr>
              <w:pStyle w:val="Compact"/>
            </w:pPr>
            <w:r>
              <w:t xml:space="preserve">20,5</w:t>
            </w:r>
          </w:p>
        </w:tc>
        <w:tc>
          <w:tcPr/>
          <w:p>
            <w:pPr>
              <w:pStyle w:val="Compact"/>
            </w:pPr>
            <w:r>
              <w:t xml:space="preserve">21,0 / 25,0*</w:t>
            </w:r>
          </w:p>
        </w:tc>
        <w:tc>
          <w:tcPr/>
          <w:p>
            <w:pPr>
              <w:pStyle w:val="Compact"/>
            </w:pPr>
            <w:r>
              <w:t xml:space="preserve">Gia tăng trung bình 13,1–22%/năm</w:t>
            </w:r>
          </w:p>
        </w:tc>
      </w:tr>
      <w:tr>
        <w:tc>
          <w:tcPr/>
          <w:p>
            <w:pPr>
              <w:pStyle w:val="Compact"/>
            </w:pPr>
            <w:r>
              <w:t xml:space="preserve">Tổng đơn các loại tiếp nhận</w:t>
            </w:r>
          </w:p>
        </w:tc>
        <w:tc>
          <w:tcPr/>
          <w:p>
            <w:pPr>
              <w:pStyle w:val="Compact"/>
            </w:pPr>
            <w:r>
              <w:t xml:space="preserve">140.903</w:t>
            </w:r>
          </w:p>
        </w:tc>
        <w:tc>
          <w:tcPr/>
          <w:p>
            <w:pPr>
              <w:pStyle w:val="Compact"/>
            </w:pPr>
            <w:r>
              <w:t xml:space="preserve">156.413</w:t>
            </w:r>
          </w:p>
        </w:tc>
        <w:tc>
          <w:tcPr/>
          <w:p>
            <w:pPr>
              <w:pStyle w:val="Compact"/>
            </w:pPr>
            <w:r>
              <w:t xml:space="preserve">152.619</w:t>
            </w:r>
          </w:p>
        </w:tc>
        <w:tc>
          <w:tcPr/>
          <w:p>
            <w:pPr>
              <w:pStyle w:val="Compact"/>
            </w:pPr>
            <w:r>
              <w:t xml:space="preserve">Duy trì mức trên 140.000 đơn/năm</w:t>
            </w:r>
          </w:p>
        </w:tc>
      </w:tr>
      <w:tr>
        <w:tc>
          <w:tcPr/>
          <w:p>
            <w:pPr>
              <w:pStyle w:val="Compact"/>
            </w:pPr>
            <w:r>
              <w:t xml:space="preserve">Văn bằng bảo hộ được cấp thực tế</w:t>
            </w:r>
          </w:p>
        </w:tc>
        <w:tc>
          <w:tcPr/>
          <w:p>
            <w:pPr>
              <w:pStyle w:val="Compact"/>
            </w:pPr>
            <w:r>
              <w:t xml:space="preserve">42.279</w:t>
            </w:r>
          </w:p>
        </w:tc>
        <w:tc>
          <w:tcPr/>
          <w:p>
            <w:pPr>
              <w:pStyle w:val="Compact"/>
            </w:pPr>
            <w:r>
              <w:t xml:space="preserve">36.977</w:t>
            </w:r>
          </w:p>
        </w:tc>
        <w:tc>
          <w:tcPr/>
          <w:p>
            <w:pPr>
              <w:pStyle w:val="Compact"/>
            </w:pPr>
            <w:r>
              <w:t xml:space="preserve">53.674</w:t>
            </w:r>
          </w:p>
        </w:tc>
        <w:tc>
          <w:tcPr/>
          <w:p>
            <w:pPr>
              <w:pStyle w:val="Compact"/>
            </w:pPr>
            <w:r>
              <w:t xml:space="preserve">Giảm 12,5% (2023), tăng 45,2% (2024)</w:t>
            </w:r>
          </w:p>
        </w:tc>
      </w:tr>
      <w:tr>
        <w:tc>
          <w:tcPr/>
          <w:p>
            <w:pPr>
              <w:pStyle w:val="Compact"/>
            </w:pPr>
            <w:r>
              <w:t xml:space="preserve">Tổng số đơn khiếu nại SHCN tiếp nhận</w:t>
            </w:r>
          </w:p>
        </w:tc>
        <w:tc>
          <w:tcPr/>
          <w:p>
            <w:pPr>
              <w:pStyle w:val="Compact"/>
            </w:pPr>
            <w:r>
              <w:t xml:space="preserve">1.456</w:t>
            </w:r>
          </w:p>
        </w:tc>
        <w:tc>
          <w:tcPr/>
          <w:p>
            <w:pPr>
              <w:pStyle w:val="Compact"/>
            </w:pPr>
            <w:r>
              <w:t xml:space="preserve">865</w:t>
            </w:r>
          </w:p>
        </w:tc>
        <w:tc>
          <w:tcPr/>
          <w:p>
            <w:pPr>
              <w:pStyle w:val="Compact"/>
            </w:pPr>
            <w:r>
              <w:t xml:space="preserve">959</w:t>
            </w:r>
          </w:p>
        </w:tc>
        <w:tc>
          <w:tcPr/>
          <w:p>
            <w:pPr>
              <w:pStyle w:val="Compact"/>
            </w:pPr>
            <w:r>
              <w:t xml:space="preserve">Đạt mức cao nhất năm 2022</w:t>
            </w:r>
          </w:p>
        </w:tc>
      </w:tr>
      <w:tr>
        <w:tc>
          <w:tcPr/>
          <w:p>
            <w:pPr>
              <w:pStyle w:val="Compact"/>
            </w:pPr>
            <w:r>
              <w:t xml:space="preserve">Trong đó: đơn khiếu nại về nhãn hiệu</w:t>
            </w:r>
          </w:p>
        </w:tc>
        <w:tc>
          <w:tcPr/>
          <w:p>
            <w:pPr>
              <w:pStyle w:val="Compact"/>
            </w:pPr>
            <w:r>
              <w:t xml:space="preserve">1.351 (92,8%)</w:t>
            </w:r>
          </w:p>
        </w:tc>
        <w:tc>
          <w:tcPr/>
          <w:p>
            <w:pPr>
              <w:pStyle w:val="Compact"/>
            </w:pPr>
            <w:r>
              <w:t xml:space="preserve">800 (92,5%)</w:t>
            </w:r>
          </w:p>
        </w:tc>
        <w:tc>
          <w:tcPr/>
          <w:p>
            <w:pPr>
              <w:pStyle w:val="Compact"/>
            </w:pPr>
            <w:r>
              <w:t xml:space="preserve">885 (92,3%)</w:t>
            </w:r>
          </w:p>
        </w:tc>
        <w:tc>
          <w:tcPr/>
          <w:p>
            <w:pPr>
              <w:pStyle w:val="Compact"/>
            </w:pPr>
            <w:r>
              <w:t xml:space="preserve">Chiếm tỷ trọng đa số (&gt;92%) liên tục</w:t>
            </w:r>
          </w:p>
        </w:tc>
      </w:tr>
    </w:tbl>
    <w:p>
      <w:pPr>
        <w:pStyle w:val="BodyText"/>
      </w:pPr>
      <w:r>
        <w:rPr>
          <w:i/>
          <w:iCs/>
        </w:rPr>
        <w:t xml:space="preserve">Ghi chú: Số liệu TMĐT năm 2024 theo Google, Temasek, Bain &amp; Company là 21 tỷ USD (GMV);</w:t>
      </w:r>
      <w:r>
        <w:rPr>
          <w:i/>
          <w:iCs/>
        </w:rPr>
        <w:t xml:space="preserve">15</w:t>
      </w:r>
      <w:r>
        <w:rPr>
          <w:i/>
          <w:iCs/>
        </w:rPr>
        <w:t xml:space="preserve"> </w:t>
      </w:r>
      <w:r>
        <w:rPr>
          <w:i/>
          <w:iCs/>
        </w:rPr>
        <w:t xml:space="preserve">con số 25 tỷ USD là ước tính mở rộng bao gồm kênh TMĐT xã hội và phi chính thức theo Sách Trắng TMĐT 2024.</w:t>
      </w:r>
      <w:r>
        <w:rPr>
          <w:i/>
          <w:iCs/>
        </w:rPr>
        <w:t xml:space="preserve">14</w:t>
      </w:r>
    </w:p>
    <w:p>
      <w:pPr>
        <w:pStyle w:val="BodyText"/>
      </w:pPr>
      <w:r>
        <w:rPr>
          <w:i/>
          <w:iCs/>
        </w:rPr>
        <w:t xml:space="preserve">Nguồn: Tổng hợp từ Báo cáo thường niên Cục Sở hữu trí tuệ 2022, 2023, 2024;</w:t>
      </w:r>
      <w:r>
        <w:rPr>
          <w:i/>
          <w:iCs/>
        </w:rPr>
        <w:t xml:space="preserve">12</w:t>
      </w:r>
      <w:r>
        <w:rPr>
          <w:i/>
          <w:iCs/>
        </w:rPr>
        <w:t xml:space="preserve"> </w:t>
      </w:r>
      <w:r>
        <w:rPr>
          <w:i/>
          <w:iCs/>
        </w:rPr>
        <w:t xml:space="preserve">Sách Trắng TMĐT Việt Nam 2023, 2024;</w:t>
      </w:r>
      <w:r>
        <w:rPr>
          <w:i/>
          <w:iCs/>
        </w:rPr>
        <w:t xml:space="preserve">14</w:t>
      </w:r>
      <w:r>
        <w:rPr>
          <w:i/>
          <w:iCs/>
        </w:rPr>
        <w:t xml:space="preserve"> </w:t>
      </w:r>
      <w:r>
        <w:rPr>
          <w:i/>
          <w:iCs/>
        </w:rPr>
        <w:t xml:space="preserve">Google, Temasek, Bain &amp; Company – e-Conomy SEA 2024.</w:t>
      </w:r>
      <w:r>
        <w:rPr>
          <w:i/>
          <w:iCs/>
        </w:rPr>
        <w:t xml:space="preserve">15</w:t>
      </w:r>
    </w:p>
    <w:p>
      <w:pPr>
        <w:pStyle w:val="BodyText"/>
      </w:pPr>
      <w:r>
        <w:t xml:space="preserve">Dữ liệu tại Bảng 1 phản ánh một thực trạng rõ rệt về khoảng cách giữa tốc độ giao dịch điện tử và quy trình xử lý pháp lý. Năm 2022 ghi nhận lượng đơn khiếu nại cao nhất (1.456 đơn), trong đó đơn khiếu nại liên quan đến nhãn hiệu chiếm 92,8%.</w:t>
      </w:r>
      <w:r>
        <w:t xml:space="preserve">12</w:t>
      </w:r>
      <w:r>
        <w:t xml:space="preserve"> </w:t>
      </w:r>
      <w:r>
        <w:t xml:space="preserve">Tỷ lệ khiếu nại về nhãn hiệu luôn duy trì trên 92% trong ba năm, cho thấy môi trường số đã làm gia tăng đáng kể các hành vi xâm phạm nhóm tài sản này do đặc tính dễ sao chép và khó truy xuất người bán. Sự chậm trễ trong việc cấp văn bằng bảo hộ hoặc xử lý khiếu nại khiến các doanh nghiệp gặp khó khăn trong việc cung cấp chứng cứ pháp lý hợp lệ cho nền tảng số để yêu cầu gỡ bỏ vi phạm.</w:t>
      </w:r>
      <w:r>
        <w:t xml:space="preserve">12</w:t>
      </w:r>
    </w:p>
    <w:p>
      <w:pPr>
        <w:pStyle w:val="BodyText"/>
      </w:pPr>
      <w:r>
        <w:t xml:space="preserve">Thêm vào đó, số lượng văn bằng bảo hộ được cấp có sự biến động lớn: giảm 12,5% từ năm 2022 xuống 2023 (thời điểm Luật số 07/2022/QH15 bắt đầu có hiệu lực) và sau đó tăng 45,2% vào năm 2024 nhờ áp dụng số hóa trong thẩm định.</w:t>
      </w:r>
      <w:r>
        <w:t xml:space="preserve">12</w:t>
      </w:r>
      <w:r>
        <w:t xml:space="preserve"> </w:t>
      </w:r>
      <w:r>
        <w:t xml:space="preserve">Điều này cho thấy năng lực xử lý kỹ thuật của hệ thống hành chính có tác động trực tiếp đến kết quả bảo hộ trên thực tế. Theo Thuyết vị lợi,</w:t>
      </w:r>
      <w:r>
        <w:t xml:space="preserve">11</w:t>
      </w:r>
      <w:r>
        <w:t xml:space="preserve"> </w:t>
      </w:r>
      <w:r>
        <w:t xml:space="preserve">hệ thống pháp luật cần tối thiểu hóa chi phí giao dịch nhằm đạt phúc lợi tối ưu. Tuy nhiên, số liệu cho thấy phần lớn chi phí chứng minh và thu thập chứng cứ vi phạm hiện đang do chủ sở hữu quyền gánh chịu.</w:t>
      </w:r>
      <w:r>
        <w:t xml:space="preserve">11</w:t>
      </w:r>
    </w:p>
    <w:p>
      <w:pPr>
        <w:pStyle w:val="BodyText"/>
      </w:pPr>
      <w:r>
        <w:t xml:space="preserve">Ở khu vực tư nhân, các nền tảng số đã bắt đầu triển khai các công cụ tự điều tiết để quản lý vi phạm. Bảng 2 tóm tắt kết quả vận hành các công cụ bảo vệ quyền SHTT của một nền tảng quy mô lớn mang tính tham chiếu.</w:t>
      </w:r>
    </w:p>
    <w:p>
      <w:pPr>
        <w:pStyle w:val="BodyText"/>
      </w:pPr>
      <w:r>
        <w:rPr>
          <w:b/>
          <w:bCs/>
        </w:rPr>
        <w:t xml:space="preserve">Bảng 2: Hoạt động tự điều tiết và bảo vệ quyền SHTT của nền tảng số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tiêu phân tích định lượng</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Tốc độ biến động</w:t>
            </w:r>
          </w:p>
        </w:tc>
      </w:tr>
      <w:tr>
        <w:tc>
          <w:tcPr/>
          <w:p>
            <w:pPr>
              <w:pStyle w:val="Compact"/>
            </w:pPr>
            <w:r>
              <w:t xml:space="preserve">Thương hiệu đăng ký trên Cổng thông tin sở hữu trí tuệ</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Tăng 4,7 lần (2024); +47,7% (2025)</w:t>
            </w:r>
          </w:p>
        </w:tc>
      </w:tr>
      <w:tr>
        <w:tc>
          <w:tcPr/>
          <w:p>
            <w:pPr>
              <w:pStyle w:val="Compact"/>
            </w:pPr>
            <w:r>
              <w:t xml:space="preserve">Hệ thống nhận diện vi phạm tự động theo thương hiệu</w:t>
            </w:r>
          </w:p>
        </w:tc>
        <w:tc>
          <w:tcPr/>
          <w:p>
            <w:pPr>
              <w:pStyle w:val="Compact"/>
            </w:pPr>
            <w:r>
              <w:t xml:space="preserve">0</w:t>
            </w:r>
          </w:p>
        </w:tc>
        <w:tc>
          <w:tcPr/>
          <w:p>
            <w:pPr>
              <w:pStyle w:val="Compact"/>
            </w:pPr>
            <w:r>
              <w:t xml:space="preserve">24</w:t>
            </w:r>
          </w:p>
        </w:tc>
        <w:tc>
          <w:tcPr/>
          <w:p>
            <w:pPr>
              <w:pStyle w:val="Compact"/>
            </w:pPr>
            <w:r>
              <w:t xml:space="preserve">78</w:t>
            </w:r>
          </w:p>
        </w:tc>
        <w:tc>
          <w:tcPr/>
          <w:p>
            <w:pPr>
              <w:pStyle w:val="Compact"/>
            </w:pPr>
            <w:r>
              <w:t xml:space="preserve">Nâng cấp mô hình ngôn ngữ lớn (V3)</w:t>
            </w:r>
          </w:p>
        </w:tc>
        <w:tc>
          <w:tcPr/>
          <w:p>
            <w:pPr>
              <w:pStyle w:val="Compact"/>
            </w:pPr>
            <w:r>
              <w:t xml:space="preserve">Bổ sung hệ thống tự học đa ngôn ngữ</w:t>
            </w:r>
          </w:p>
        </w:tc>
      </w:tr>
      <w:tr>
        <w:tc>
          <w:tcPr/>
          <w:p>
            <w:pPr>
              <w:pStyle w:val="Compact"/>
            </w:pPr>
            <w:r>
              <w:t xml:space="preserve">Thời gian phản hồi khiếu nại (ngày)</w:t>
            </w:r>
          </w:p>
        </w:tc>
        <w:tc>
          <w:tcPr/>
          <w:p>
            <w:pPr>
              <w:pStyle w:val="Compact"/>
            </w:pPr>
            <w:r>
              <w:t xml:space="preserve">2,0</w:t>
            </w:r>
          </w:p>
        </w:tc>
        <w:tc>
          <w:tcPr/>
          <w:p>
            <w:pPr>
              <w:pStyle w:val="Compact"/>
            </w:pPr>
            <w:r>
              <w:t xml:space="preserve">N/A</w:t>
            </w:r>
          </w:p>
        </w:tc>
        <w:tc>
          <w:tcPr/>
          <w:p>
            <w:pPr>
              <w:pStyle w:val="Compact"/>
            </w:pPr>
            <w:r>
              <w:t xml:space="preserve">2,7</w:t>
            </w:r>
          </w:p>
        </w:tc>
        <w:tc>
          <w:tcPr/>
          <w:p>
            <w:pPr>
              <w:pStyle w:val="Compact"/>
            </w:pPr>
            <w:r>
              <w:t xml:space="preserve">1,6</w:t>
            </w:r>
          </w:p>
        </w:tc>
        <w:tc>
          <w:tcPr/>
          <w:p>
            <w:pPr>
              <w:pStyle w:val="Compact"/>
            </w:pPr>
            <w:r>
              <w:t xml:space="preserve">Giảm 40,7% trong năm 2025</w:t>
            </w:r>
          </w:p>
        </w:tc>
      </w:tr>
      <w:tr>
        <w:tc>
          <w:tcPr/>
          <w:p>
            <w:pPr>
              <w:pStyle w:val="Compact"/>
            </w:pPr>
            <w:r>
              <w:t xml:space="preserve">Tỷ lệ gỡ bỏ vi phạm chủ động</w:t>
            </w:r>
          </w:p>
        </w:tc>
        <w:tc>
          <w:tcPr/>
          <w:p>
            <w:pPr>
              <w:pStyle w:val="Compact"/>
            </w:pPr>
            <w:r>
              <w:t xml:space="preserve">N/A</w:t>
            </w:r>
          </w:p>
        </w:tc>
        <w:tc>
          <w:tcPr/>
          <w:p>
            <w:pPr>
              <w:pStyle w:val="Compact"/>
            </w:pPr>
            <w:r>
              <w:t xml:space="preserve">N/A</w:t>
            </w:r>
          </w:p>
        </w:tc>
        <w:tc>
          <w:tcPr/>
          <w:p>
            <w:pPr>
              <w:pStyle w:val="Compact"/>
            </w:pPr>
            <w:r>
              <w:t xml:space="preserve">&gt;97,0%</w:t>
            </w:r>
          </w:p>
        </w:tc>
        <w:tc>
          <w:tcPr/>
          <w:p>
            <w:pPr>
              <w:pStyle w:val="Compact"/>
            </w:pPr>
            <w:r>
              <w:t xml:space="preserve">96,6%</w:t>
            </w:r>
          </w:p>
        </w:tc>
        <w:tc>
          <w:tcPr/>
          <w:p>
            <w:pPr>
              <w:pStyle w:val="Compact"/>
            </w:pPr>
            <w:r>
              <w:t xml:space="preserve">Duy trì trên 96% trước khi có giao dịch</w:t>
            </w:r>
          </w:p>
        </w:tc>
      </w:tr>
      <w:tr>
        <w:tc>
          <w:tcPr/>
          <w:p>
            <w:pPr>
              <w:pStyle w:val="Compact"/>
            </w:pPr>
            <w:r>
              <w:t xml:space="preserve">Tần suất gỡ bỏ chủ động so với thụ động</w:t>
            </w:r>
          </w:p>
        </w:tc>
        <w:tc>
          <w:tcPr/>
          <w:p>
            <w:pPr>
              <w:pStyle w:val="Compact"/>
            </w:pPr>
            <w:r>
              <w:t xml:space="preserve">N/A</w:t>
            </w:r>
          </w:p>
        </w:tc>
        <w:tc>
          <w:tcPr/>
          <w:p>
            <w:pPr>
              <w:pStyle w:val="Compact"/>
            </w:pPr>
            <w:r>
              <w:t xml:space="preserve">7,9 lần*</w:t>
            </w:r>
          </w:p>
        </w:tc>
        <w:tc>
          <w:tcPr/>
          <w:p>
            <w:pPr>
              <w:pStyle w:val="Compact"/>
            </w:pPr>
            <w:r>
              <w:t xml:space="preserve">4,0 lần</w:t>
            </w:r>
          </w:p>
        </w:tc>
        <w:tc>
          <w:tcPr/>
          <w:p>
            <w:pPr>
              <w:pStyle w:val="Compact"/>
            </w:pPr>
            <w:r>
              <w:t xml:space="preserve">8,5 lần**</w:t>
            </w:r>
          </w:p>
        </w:tc>
        <w:tc>
          <w:tcPr/>
          <w:p>
            <w:pPr>
              <w:pStyle w:val="Compact"/>
            </w:pPr>
            <w:r>
              <w:t xml:space="preserve">Hiệu suất cao hơn cơ chế báo cáo thụ động</w:t>
            </w:r>
          </w:p>
        </w:tc>
      </w:tr>
    </w:tbl>
    <w:p>
      <w:pPr>
        <w:pStyle w:val="BodyText"/>
      </w:pPr>
      <w:r>
        <w:rPr>
          <w:i/>
          <w:iCs/>
        </w:rPr>
        <w:t xml:space="preserve">Ghi chú: (</w:t>
      </w:r>
      <w:r>
        <w:t xml:space="preserve">) 7,9 lần là kết quả đo trong 30 ngày thí điểm vận hành hệ thống nhận diện tự động năm 2023. (**) Năm 2025, lượng quét chủ động đạt 52 triệu listings bị gỡ bỏ, gấp 8,5 lần mức 6,1 triệu listings năm 2024.*</w:t>
      </w:r>
    </w:p>
    <w:p>
      <w:pPr>
        <w:pStyle w:val="BodyText"/>
      </w:pPr>
      <w:r>
        <w:rPr>
          <w:i/>
          <w:iCs/>
        </w:rPr>
        <w:t xml:space="preserve">Nguồn: Tổng hợp và tính toán từ Shopee Brand Protection Annual Report 2022, 2023, 2024, 2025.</w:t>
      </w:r>
      <w:r>
        <w:rPr>
          <w:i/>
          <w:iCs/>
        </w:rPr>
        <w:t xml:space="preserve">16</w:t>
      </w:r>
    </w:p>
    <w:p>
      <w:pPr>
        <w:pStyle w:val="BodyText"/>
      </w:pPr>
      <w:r>
        <w:t xml:space="preserve">Bảng 2 cho thấy sự gia tăng rõ rệt về ứng dụng công nghệ trong thực thi quyền SHTT của nền tảng số. Đáng chú ý, năm 2022 mới chỉ là giai đoạn nền tảng thử nghiệm Cổng thông tin sở hữu trí tuệ, do đó việc tăng vọt lên 78 mô hình hệ thống nhận diện tự động vào năm 2024 và tích hợp mô hình ngôn ngữ lớn vào năm 2025 thể hiện sự bứt phá mạnh mẽ về đầu tư công nghệ của khu vực tư nhân nhằm nâng cao năng lực tự điều tiết.</w:t>
      </w:r>
      <w:r>
        <w:t xml:space="preserve">16</w:t>
      </w:r>
      <w:r>
        <w:t xml:space="preserve"> </w:t>
      </w:r>
      <w:r>
        <w:t xml:space="preserve">Kết quả là tỷ lệ gỡ bỏ vi phạm chủ động đạt hơn 96%, hạn chế vi phạm tiếp cận người mua. Lượng gỡ bỏ chủ động đạt 52 triệu sản phẩm nghi vi phạm trong năm 2025, vượt trội so với quy trình nhận tố cáo thụ động từ người dùng.</w:t>
      </w:r>
      <w:r>
        <w:t xml:space="preserve">16</w:t>
      </w:r>
    </w:p>
    <w:p>
      <w:pPr>
        <w:pStyle w:val="BodyText"/>
      </w:pPr>
      <w:r>
        <w:t xml:space="preserve">Tuy nhiên, dưới khía cạnh phân bổ nguồn lực, cơ chế kỹ thuật này làm nảy sinh tình trạng</w:t>
      </w:r>
      <w:r>
        <w:t xml:space="preserve"> </w:t>
      </w:r>
      <w:r>
        <w:t xml:space="preserve">“bất đối xứng năng lực thực thi”</w:t>
      </w:r>
      <w:r>
        <w:t xml:space="preserve">. Theo dữ liệu đối chiếu thực chứng quốc tế của OECD và Cơ quan Sở hữu trí tuệ Liên minh Châu Âu (EUIPO), khoảng 40% doanh nghiệp vừa và nhỏ tại khu vực EU không có đủ công cụ và tài chính để tự giám sát vi phạm SHTT trực tuyến.</w:t>
      </w:r>
      <w:r>
        <w:t xml:space="preserve">17</w:t>
      </w:r>
      <w:r>
        <w:t xml:space="preserve"> </w:t>
      </w:r>
      <w:r>
        <w:t xml:space="preserve">Tại thị trường Việt Nam, nơi nhận thức về bảo vệ SHTT còn nhiều hạn chế, tỷ lệ doanh nghiệp thiếu hụt công cụ giám sát chắc chắn còn trầm trọng hơn rất nhiều. Với việc nhóm doanh nghiệp vừa và nhỏ chiếm hơn 97% nền kinh tế, điều này đồng nghĩa với việc phần lớn các doanh nghiệp trong nước hoàn toàn không có khả năng tham gia và vận hành các cổng bảo hộ chuyên sâu của nền tảng số.</w:t>
      </w:r>
      <w:r>
        <w:t xml:space="preserve">11</w:t>
      </w:r>
    </w:p>
    <w:bookmarkEnd w:id="15"/>
    <w:bookmarkStart w:id="16" w:name="X6a5d0792f6d39e64512748cf9227c820549fa8d"/>
    <w:p>
      <w:pPr>
        <w:pStyle w:val="Heading3"/>
      </w:pPr>
      <w:r>
        <w:t xml:space="preserve">3.3. Thực trạng phối hợp đa chủ thể trong thực thi quyền SHTT</w:t>
      </w:r>
    </w:p>
    <w:p>
      <w:pPr>
        <w:pStyle w:val="FirstParagraph"/>
      </w:pPr>
      <w:r>
        <w:t xml:space="preserve">Đánh giá tổng thể hệ thống thực thi SHTT trên môi trường số đòi hỏi xem xét tính kết nối giữa các cơ quan quản lý, nền tảng số và chủ thể quyền. Bảng 3 hệ thống hóa các chỉ báo đánh giá.</w:t>
      </w:r>
    </w:p>
    <w:p>
      <w:pPr>
        <w:pStyle w:val="BodyText"/>
      </w:pPr>
      <w:r>
        <w:rPr>
          <w:b/>
          <w:bCs/>
        </w:rPr>
        <w:t xml:space="preserve">Bảng 3: Thực trạng phối hợp đa chủ thể trong thực thi quyền SHTT trên nền tảng số tại Việt Nam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phối hợp</w:t>
            </w:r>
          </w:p>
        </w:tc>
        <w:tc>
          <w:tcPr/>
          <w:p>
            <w:pPr>
              <w:pStyle w:val="Compact"/>
            </w:pPr>
            <w:r>
              <w:t xml:space="preserve">Thực trạng tại Việt Nam</w:t>
            </w:r>
          </w:p>
        </w:tc>
        <w:tc>
          <w:tcPr/>
          <w:p>
            <w:pPr>
              <w:pStyle w:val="Compact"/>
            </w:pPr>
            <w:r>
              <w:t xml:space="preserve">Đánh giá bản chất thể chế</w:t>
            </w:r>
          </w:p>
        </w:tc>
      </w:tr>
      <w:tr>
        <w:tc>
          <w:tcPr/>
          <w:p>
            <w:pPr>
              <w:pStyle w:val="Compact"/>
            </w:pPr>
            <w:r>
              <w:t xml:space="preserve">Cơ chế pháp lý ràng buộc trách nhiệm nền tảng</w:t>
            </w:r>
          </w:p>
        </w:tc>
        <w:tc>
          <w:tcPr/>
          <w:p>
            <w:pPr>
              <w:pStyle w:val="Compact"/>
            </w:pPr>
            <w:r>
              <w:t xml:space="preserve">Điều 198b Luật số 07/2022/QH15 bước đầu nội luật hóa trách nhiệm nhà cung cấp dịch vụ mạng/Sàn TMĐT</w:t>
            </w:r>
          </w:p>
        </w:tc>
        <w:tc>
          <w:tcPr/>
          <w:p>
            <w:pPr>
              <w:pStyle w:val="Compact"/>
            </w:pPr>
            <w:r>
              <w:t xml:space="preserve">Mang tính nguyên tắc; quy trình phối hợp chi tiết chưa có thông tư liên thông</w:t>
            </w:r>
          </w:p>
        </w:tc>
      </w:tr>
      <w:tr>
        <w:tc>
          <w:tcPr/>
          <w:p>
            <w:pPr>
              <w:pStyle w:val="Compact"/>
            </w:pPr>
            <w:r>
              <w:t xml:space="preserve">Cổng dữ liệu liên thông Cục SHTT – Nền tảng số</w:t>
            </w:r>
          </w:p>
        </w:tc>
        <w:tc>
          <w:tcPr/>
          <w:p>
            <w:pPr>
              <w:pStyle w:val="Compact"/>
            </w:pPr>
            <w:r>
              <w:t xml:space="preserve">Chưa có hệ thống kết nối dữ liệu thời gian thực để đối soát văn bằng bảo hộ</w:t>
            </w:r>
          </w:p>
        </w:tc>
        <w:tc>
          <w:tcPr/>
          <w:p>
            <w:pPr>
              <w:pStyle w:val="Compact"/>
            </w:pPr>
            <w:r>
              <w:t xml:space="preserve">Xác thực nhãn hiệu chủ yếu thực hiện qua quy trình thủ công</w:t>
            </w:r>
          </w:p>
        </w:tc>
      </w:tr>
      <w:tr>
        <w:tc>
          <w:tcPr/>
          <w:p>
            <w:pPr>
              <w:pStyle w:val="Compact"/>
            </w:pPr>
            <w:r>
              <w:t xml:space="preserve">Cổng dữ liệu liên thông Hải quan – Nền tảng số</w:t>
            </w:r>
          </w:p>
        </w:tc>
        <w:tc>
          <w:tcPr/>
          <w:p>
            <w:pPr>
              <w:pStyle w:val="Compact"/>
            </w:pPr>
            <w:r>
              <w:t xml:space="preserve">Chưa triển khai quy chế chia sẻ dữ liệu tự động về hàng hóa nghi ngờ giả mạo</w:t>
            </w:r>
          </w:p>
        </w:tc>
        <w:tc>
          <w:tcPr/>
          <w:p>
            <w:pPr>
              <w:pStyle w:val="Compact"/>
            </w:pPr>
            <w:r>
              <w:t xml:space="preserve">Hệ thống kiểm soát biên giới thiếu kết nối với dữ liệu giao dịch TMĐT</w:t>
            </w:r>
          </w:p>
        </w:tc>
      </w:tr>
      <w:tr>
        <w:tc>
          <w:tcPr/>
          <w:p>
            <w:pPr>
              <w:pStyle w:val="Compact"/>
            </w:pPr>
            <w:r>
              <w:t xml:space="preserve">Tổ công tác liên ngành SHTT và TMĐT</w:t>
            </w:r>
          </w:p>
        </w:tc>
        <w:tc>
          <w:tcPr/>
          <w:p>
            <w:pPr>
              <w:pStyle w:val="Compact"/>
            </w:pPr>
            <w:r>
              <w:t xml:space="preserve">Thành lập theo Đề án 319 và chỉ đạo của Ban Chỉ đạo 389 Quốc gia</w:t>
            </w:r>
          </w:p>
        </w:tc>
        <w:tc>
          <w:tcPr/>
          <w:p>
            <w:pPr>
              <w:pStyle w:val="Compact"/>
            </w:pPr>
            <w:r>
              <w:t xml:space="preserve">Tổ chức hoạt động vụ việc, chưa hình thành quy chế vận hành thường trực</w:t>
            </w:r>
          </w:p>
        </w:tc>
      </w:tr>
      <w:tr>
        <w:tc>
          <w:tcPr/>
          <w:p>
            <w:pPr>
              <w:pStyle w:val="Compact"/>
            </w:pPr>
            <w:r>
              <w:t xml:space="preserve">Xử lý hình sự vi phạm SHTT trên môi trường số</w:t>
            </w:r>
          </w:p>
        </w:tc>
        <w:tc>
          <w:tcPr/>
          <w:p>
            <w:pPr>
              <w:pStyle w:val="Compact"/>
            </w:pPr>
            <w:r>
              <w:t xml:space="preserve">Tỷ lệ khởi tố hình sự chiếm tỷ trọng thấp (&lt;1% tổng số vụ)</w:t>
            </w:r>
          </w:p>
        </w:tc>
        <w:tc>
          <w:tcPr/>
          <w:p>
            <w:pPr>
              <w:pStyle w:val="Compact"/>
            </w:pPr>
            <w:r>
              <w:t xml:space="preserve">Phụ thuộc vào xử phạt hành chính; khó khăn trong việc định lượng</w:t>
            </w:r>
            <w:r>
              <w:t xml:space="preserve"> </w:t>
            </w:r>
            <w:r>
              <w:t xml:space="preserve">“quy mô thương mại”</w:t>
            </w:r>
          </w:p>
        </w:tc>
      </w:tr>
      <w:tr>
        <w:tc>
          <w:tcPr/>
          <w:p>
            <w:pPr>
              <w:pStyle w:val="Compact"/>
            </w:pPr>
            <w:r>
              <w:t xml:space="preserve">Phối hợp thực địa nền tảng – cơ quan thực thi</w:t>
            </w:r>
          </w:p>
        </w:tc>
        <w:tc>
          <w:tcPr/>
          <w:p>
            <w:pPr>
              <w:pStyle w:val="Compact"/>
            </w:pPr>
            <w:r>
              <w:t xml:space="preserve">Đang thực hiện qua các thỏa thuận tự nguyện đơn lẻ giữa sàn và cơ quan</w:t>
            </w:r>
          </w:p>
        </w:tc>
        <w:tc>
          <w:tcPr/>
          <w:p>
            <w:pPr>
              <w:pStyle w:val="Compact"/>
            </w:pPr>
            <w:r>
              <w:t xml:space="preserve">Chưa thể chế hóa thành quy định quốc gia. (Ví dụ tham chiếu: Philippines đạt hiệu quả tịch thu &gt;5.800 sản phẩm/đợt)</w:t>
            </w:r>
          </w:p>
        </w:tc>
      </w:tr>
      <w:tr>
        <w:tc>
          <w:tcPr/>
          <w:p>
            <w:pPr>
              <w:pStyle w:val="Compact"/>
            </w:pPr>
            <w:r>
              <w:t xml:space="preserve">Năng lực tự phòng vệ của doanh nghiệp</w:t>
            </w:r>
          </w:p>
        </w:tc>
        <w:tc>
          <w:tcPr/>
          <w:p>
            <w:pPr>
              <w:pStyle w:val="Compact"/>
            </w:pPr>
            <w:r>
              <w:t xml:space="preserve">Khoảng 40% SMEs tại EU thiếu công cụ bảo vệ sở hữu trí tuệ trực tuyến (OECD/EUIPO)</w:t>
            </w:r>
          </w:p>
        </w:tc>
        <w:tc>
          <w:tcPr/>
          <w:p>
            <w:pPr>
              <w:pStyle w:val="Compact"/>
            </w:pPr>
            <w:r>
              <w:t xml:space="preserve">SMEs trong nước gặp nhiều trở ngại khi phải theo đuổi tranh tụng</w:t>
            </w:r>
          </w:p>
        </w:tc>
      </w:tr>
      <w:tr>
        <w:tc>
          <w:tcPr/>
          <w:p>
            <w:pPr>
              <w:pStyle w:val="Compact"/>
            </w:pPr>
            <w:r>
              <w:t xml:space="preserve">Vị thế Việt Nam trong chuỗi cung ứng hàng hóa vi phạm</w:t>
            </w:r>
          </w:p>
        </w:tc>
        <w:tc>
          <w:tcPr/>
          <w:p>
            <w:pPr>
              <w:pStyle w:val="Compact"/>
            </w:pPr>
            <w:r>
              <w:t xml:space="preserve">Nằm trong nhóm quốc gia được cảnh báo về nguy cơ cung ứng hàng giả</w:t>
            </w:r>
          </w:p>
        </w:tc>
        <w:tc>
          <w:tcPr/>
          <w:p>
            <w:pPr>
              <w:pStyle w:val="Compact"/>
            </w:pPr>
            <w:r>
              <w:t xml:space="preserve">Lưu lượng truy cập các trang web vi phạm bản quyền cao gấp 29 lần trang hợp pháp</w:t>
            </w:r>
          </w:p>
        </w:tc>
      </w:tr>
    </w:tbl>
    <w:p>
      <w:pPr>
        <w:pStyle w:val="BodyText"/>
      </w:pPr>
      <w:r>
        <w:rPr>
          <w:i/>
          <w:iCs/>
        </w:rPr>
        <w:t xml:space="preserve">Nguồn: Tổng hợp từ Cục SHTT – Báo cáo thường niên 2022, 2023, 2024;</w:t>
      </w:r>
      <w:r>
        <w:rPr>
          <w:i/>
          <w:iCs/>
        </w:rPr>
        <w:t xml:space="preserve">12</w:t>
      </w:r>
      <w:r>
        <w:rPr>
          <w:i/>
          <w:iCs/>
        </w:rPr>
        <w:t xml:space="preserve"> </w:t>
      </w:r>
      <w:r>
        <w:rPr>
          <w:i/>
          <w:iCs/>
        </w:rPr>
        <w:t xml:space="preserve">BASCAP – Vietnam Country Report (ICC);</w:t>
      </w:r>
      <w:r>
        <w:rPr>
          <w:i/>
          <w:iCs/>
        </w:rPr>
        <w:t xml:space="preserve">18</w:t>
      </w:r>
      <w:r>
        <w:rPr>
          <w:i/>
          <w:iCs/>
        </w:rPr>
        <w:t xml:space="preserve"> </w:t>
      </w:r>
      <w:r>
        <w:rPr>
          <w:i/>
          <w:iCs/>
        </w:rPr>
        <w:t xml:space="preserve">Shopee Brand Protection Annual Report 2024 &amp; 2025;</w:t>
      </w:r>
      <w:r>
        <w:rPr>
          <w:i/>
          <w:iCs/>
        </w:rPr>
        <w:t xml:space="preserve">16</w:t>
      </w:r>
      <w:r>
        <w:rPr>
          <w:i/>
          <w:iCs/>
        </w:rPr>
        <w:t xml:space="preserve"> </w:t>
      </w:r>
      <w:r>
        <w:rPr>
          <w:i/>
          <w:iCs/>
        </w:rPr>
        <w:t xml:space="preserve">OECD/EUIPO – Risks of Illicit Trade in Counterfeits to SMEs (2023).</w:t>
      </w:r>
      <w:r>
        <w:rPr>
          <w:i/>
          <w:iCs/>
        </w:rPr>
        <w:t xml:space="preserve">17</w:t>
      </w:r>
    </w:p>
    <w:p>
      <w:pPr>
        <w:pStyle w:val="BodyText"/>
      </w:pPr>
      <w:r>
        <w:t xml:space="preserve">Dưới góc nhìn thể chế, sự hạn chế trong cơ chế phối hợp đa chủ thể hiện nay bắt nguồn từ ba rào cản mang tính cấu trúc:</w:t>
      </w:r>
    </w:p>
    <w:p>
      <w:pPr>
        <w:pStyle w:val="BodyText"/>
      </w:pPr>
      <w:r>
        <w:t xml:space="preserve">Thứ nhất là sự phân tán thông tin làm gia tăng chi phí giao dịch. Theo lý thuyết chi phí giao dịch của Coase và Williamson, việc thiếu vắng hệ thống kết nối dữ liệu tự động giữa Cục SHTT, Hải quan và các sàn TMĐT làm tăng chi phí xác minh.</w:t>
      </w:r>
      <w:r>
        <w:t xml:space="preserve">12</w:t>
      </w:r>
      <w:r>
        <w:t xml:space="preserve"> </w:t>
      </w:r>
      <w:r>
        <w:t xml:space="preserve">Quy trình xác thực nhãn hiệu hiện nay chủ yếu diễn ra qua hệ thống văn bản. Cụ thể, Cục SHTT đã xử lý 234 công văn xin ý kiến chuyên môn năm 2021, 115 công văn năm 2023 và 95 công văn năm 2024 từ các cơ quan thực thi.</w:t>
      </w:r>
      <w:r>
        <w:t xml:space="preserve">12</w:t>
      </w:r>
      <w:r>
        <w:t xml:space="preserve"> </w:t>
      </w:r>
      <w:r>
        <w:t xml:space="preserve">Việc phụ thuộc vào quy trình thủ công làm giảm tính kịp thời trong quá trình ngăn chặn vi phạm trên không gian mạng.</w:t>
      </w:r>
      <w:r>
        <w:t xml:space="preserve">18</w:t>
      </w:r>
    </w:p>
    <w:p>
      <w:pPr>
        <w:pStyle w:val="BodyText"/>
      </w:pPr>
      <w:r>
        <w:t xml:space="preserve">Thứ hai là hạn chế của các biện pháp xử lý pháp lý. Số liệu thống kê chỉ ra rằng chế tài hành chính hiện đang là công cụ chủ đạo nhưng mức phạt bình quân chỉ đạt khoảng 12 triệu đồng/vụ (giai đoạn 2022-2024).</w:t>
      </w:r>
      <w:r>
        <w:t xml:space="preserve">18</w:t>
      </w:r>
      <w:r>
        <w:t xml:space="preserve"> </w:t>
      </w:r>
      <w:r>
        <w:t xml:space="preserve">Việc áp dụng chế tài hình sự gặp vướng mắc do pháp luật yêu cầu phải có đơn khởi kiện từ chủ thể quyền và thiếu tiêu chí định lượng về</w:t>
      </w:r>
      <w:r>
        <w:t xml:space="preserve"> </w:t>
      </w:r>
      <w:r>
        <w:t xml:space="preserve">“quy mô thương mại”</w:t>
      </w:r>
      <w:r>
        <w:t xml:space="preserve"> </w:t>
      </w:r>
      <w:r>
        <w:t xml:space="preserve">trên nền tảng số. Các rào cản tố tụng này dẫn đến số lượng vụ án hình sự chiếm tỷ lệ chưa đến 1% tổng số vụ vi phạm được xử lý.</w:t>
      </w:r>
      <w:r>
        <w:t xml:space="preserve">18</w:t>
      </w:r>
    </w:p>
    <w:p>
      <w:pPr>
        <w:pStyle w:val="BodyText"/>
      </w:pPr>
      <w:r>
        <w:t xml:space="preserve">Thứ ba là rào cản pháp lý trong việc xác định trách nhiệm của các doanh nghiệp cung cấp dịch vụ trung gian. Điều 198b Luật số 07/2022/QH15 đặt ra nền tảng quy định trách nhiệm của ISPs, nhưng các doanh nghiệp này không tự ý ngắt kết nối các trang web vi phạm nếu thiếu quyết định từ cơ quan quản lý.</w:t>
      </w:r>
      <w:r>
        <w:t xml:space="preserve">18</w:t>
      </w:r>
      <w:r>
        <w:t xml:space="preserve"> </w:t>
      </w:r>
      <w:r>
        <w:t xml:space="preserve">Ngoài ra, việc Trung tâm Internet Việt Nam (VNNIC) không bắt buộc công khai thông tin chủ thể đăng ký tên miền trên cơ sở dữ liệu WHOIS đã tạo điều kiện cho các trang web ẩn danh hoạt động và thay đổi tên miền để duy trì máy chủ. Báo cáo của BASCAP ghi nhận lưu lượng truy cập vào các trang web vi phạm bản quyền tại Việt Nam cao gấp 29 lần các nền tảng nội dung hợp pháp.</w:t>
      </w:r>
      <w:r>
        <w:t xml:space="preserve">18</w:t>
      </w:r>
    </w:p>
    <w:p>
      <w:pPr>
        <w:pStyle w:val="BodyText"/>
      </w:pPr>
      <w:r>
        <w:t xml:space="preserve">Tổng hợp các số liệu cho thấy hệ thống bảo vệ quyền SHTT trên môi trường số tại Việt Nam mang đặc điểm</w:t>
      </w:r>
      <w:r>
        <w:t xml:space="preserve"> </w:t>
      </w:r>
      <w:r>
        <w:t xml:space="preserve">“bất đối xứng kép”</w:t>
      </w:r>
      <w:r>
        <w:t xml:space="preserve">. Điều này thể hiện qua sự chênh lệch giữa tốc độ mở rộng giao dịch điện tử (+20–25%/năm) và tiến độ thiết lập các công cụ phối hợp liên thông quốc gia, đồng thời là sự chênh lệch giữa khả năng tự bảo vệ bằng công nghệ cao của thương hiệu lớn với năng lực hạn chế của nhóm doanh nghiệp vừa và nhỏ. Áp dụng Thuyết Quản trị cộng tác của Ansell &amp; Gash, việc duy trì một môi trường thương mại điện tử minh bạch yêu cầu cơ quan nhà nước phải đóng vai trò kiến tạo cơ chế để kết nối nguồn lực công nghệ của nền tảng tư nhân vào hệ thống quản lý, qua đó bảo vệ quyền lợi hợp pháp cho toàn bộ các chủ thể kinh tế.</w:t>
      </w:r>
      <w:r>
        <w:t xml:space="preserve">11</w:t>
      </w:r>
    </w:p>
    <w:bookmarkEnd w:id="16"/>
    <w:bookmarkEnd w:id="17"/>
    <w:bookmarkStart w:id="18" w:name="thảo-luận"/>
    <w:p>
      <w:pPr>
        <w:pStyle w:val="Heading2"/>
      </w:pPr>
      <w:r>
        <w:t xml:space="preserve">5. Thảo luận</w:t>
      </w:r>
    </w:p>
    <w:p>
      <w:pPr>
        <w:pStyle w:val="FirstParagraph"/>
      </w:pPr>
      <w:r>
        <w:t xml:space="preserve">Kết quả phân tích định lượng và định tính đã phác họa một sự lệch pha cấu trúc nghiêm trọng trong hệ sinh thái quản trị sở hữu trí tuệ tại Việt Nam. Qua lăng kính của các lý thuyết kinh tế và quản lý, thực trạng này được lý giải qua năm khía cạnh lý luận cốt lõi sau:</w:t>
      </w:r>
    </w:p>
    <w:p>
      <w:pPr>
        <w:pStyle w:val="BodyText"/>
      </w:pPr>
      <w:r>
        <w:rPr>
          <w:b/>
          <w:bCs/>
        </w:rPr>
        <w:t xml:space="preserve">Thứ nhất, bẫy phụ thuộc hành chính trong thực thi quyền.</w:t>
      </w:r>
      <w:r>
        <w:t xml:space="preserve"> </w:t>
      </w:r>
      <w:r>
        <w:t xml:space="preserve">Mô hình quản lý hiện tại đang mắc kẹt trong</w:t>
      </w:r>
      <w:r>
        <w:t xml:space="preserve"> </w:t>
      </w:r>
      <w:r>
        <w:t xml:space="preserve">“bẫy phụ thuộc hành chính”</w:t>
      </w:r>
      <w:r>
        <w:t xml:space="preserve">, nơi các cơ quan thực thi tư pháp (như Tòa án, Công an) lệ thuộc tuyệt đối vào ý kiến chuyên môn từ cơ quan quản lý nhà nước. Dữ liệu thực tế cho thấy tỷ lệ yêu cầu giám định chuyên môn từ lực lượng Công an gửi đến cơ quan quản lý sở hữu trí tuệ chiếm tới 58,97% vào năm 2021 và vọt lên mức 83,68% vào năm 2023. Tình trạng hành chính hóa các hoạt động thực thi tư pháp này không chỉ làm tê liệt quy trình xử lý vi phạm trên môi trường thương mại điện tử vốn đòi hỏi tốc độ cao, mà còn phản ánh sự bất lực của mô hình quản lý hành chính đơn thuần khi áp dụng vào không gian mạng xuyên biên giới như Sahak và cộng sự</w:t>
      </w:r>
      <w:r>
        <w:t xml:space="preserve">4</w:t>
      </w:r>
      <w:r>
        <w:t xml:space="preserve"> </w:t>
      </w:r>
      <w:r>
        <w:t xml:space="preserve">đã cảnh báo.</w:t>
      </w:r>
    </w:p>
    <w:p>
      <w:pPr>
        <w:pStyle w:val="BodyText"/>
      </w:pPr>
      <w:r>
        <w:rPr>
          <w:b/>
          <w:bCs/>
        </w:rPr>
        <w:t xml:space="preserve">Thứ hai, trạng thái bất đối xứng kép trong quản trị số.</w:t>
      </w:r>
      <w:r>
        <w:t xml:space="preserve"> </w:t>
      </w:r>
      <w:r>
        <w:t xml:space="preserve">Bức tranh thực chứng bộc lộ một trạng thái</w:t>
      </w:r>
      <w:r>
        <w:t xml:space="preserve"> </w:t>
      </w:r>
      <w:r>
        <w:t xml:space="preserve">“bất đối xứng kép”</w:t>
      </w:r>
      <w:r>
        <w:t xml:space="preserve">. Trục bất đối xứng thứ nhất nằm ở tốc độ thích ứng: trong khi thương mại điện tử tăng tốc phi tuyến tính ở mức 20-25% mỗi năm, thì tốc độ liên thông dữ liệu và tự động hóa quy trình pháp lý của thể chế nhà nước gần như giậm chân tại chỗ. Trục bất đối xứng thứ hai nằm ở nguồn lực bảo vệ: các tập đoàn và thương hiệu toàn cầu được bảo vệ chủ động bởi hệ thống trí tuệ nhân tạo của nền tảng số, trong khi các doanh nghiệp vừa và nhỏ trong nước lại hoàn toàn phơi mình trước rủi ro hàng giả do thiếu hụt công cụ công nghệ và dồn ứ văn bằng bảo hộ tại cơ quan quản lý. Hiện tượng này đi ngược lại nguyên lý công bằng của Thuyết quy hoạch xã hội.</w:t>
      </w:r>
      <w:r>
        <w:t xml:space="preserve">11</w:t>
      </w:r>
    </w:p>
    <w:p>
      <w:pPr>
        <w:pStyle w:val="BodyText"/>
      </w:pPr>
      <w:r>
        <w:rPr>
          <w:b/>
          <w:bCs/>
        </w:rPr>
        <w:t xml:space="preserve">Thứ ba, sự lệch pha giữa bản chất vi phạm sở hữu trí tuệ và hình thức xử phạt.</w:t>
      </w:r>
      <w:r>
        <w:t xml:space="preserve"> </w:t>
      </w:r>
      <w:r>
        <w:t xml:space="preserve">Dữ liệu từ Bộ Công Thương năm 2025 chỉ ra một nghịch lý: vi phạm sở hữu trí tuệ chiếm tỷ trọng lớn thứ hai toàn thị trường thương mại điện tử (16,36% với 4.332 vụ việc), nhưng các hành vi vi phạm trực diện về thương mại điện tử chỉ được ghi nhận ở mức 2,19%. Điều này chứng minh rằng các thủ đoạn xâm phạm trực tuyến tinh vi đang lách qua các bộ lọc kỹ thuật của nền tảng. Lực lượng chức năng hiện nay chủ yếu phát hiện và xử lý các hành vi tàng trữ hàng hóa vật lý ở khâu cuối, thay vì áp dụng công nghệ để triệt phá tận gốc dòng tài chính và hệ thống tên miền ẩn danh trên môi trường trực tuyến.</w:t>
      </w:r>
    </w:p>
    <w:p>
      <w:pPr>
        <w:pStyle w:val="BodyText"/>
      </w:pPr>
      <w:r>
        <w:rPr>
          <w:b/>
          <w:bCs/>
        </w:rPr>
        <w:t xml:space="preserve">Thứ tư, điểm nghẽn thể chế từ nhà cung cấp dịch vụ mạng và quản lý tên miền.</w:t>
      </w:r>
      <w:r>
        <w:t xml:space="preserve"> </w:t>
      </w:r>
      <w:r>
        <w:t xml:space="preserve">Sự đứt gãy trong cơ chế phối hợp càng bộc lộ rõ khi đối chiếu với dữ liệu quốc tế. Báo cáo của Phòng Thương mại Quốc tế (BASCAP) cho thấy lưu lượng truy cập vào các trang web vi phạm bản quyền cao gấp 29 lần so với các trang chính thống.</w:t>
      </w:r>
      <w:r>
        <w:t xml:space="preserve">18</w:t>
      </w:r>
      <w:r>
        <w:t xml:space="preserve"> </w:t>
      </w:r>
      <w:r>
        <w:t xml:space="preserve">Tuy nhiên, các nhà cung cấp dịch vụ mạng lại không có quyền tự ý chặn lọc các trang web lậu nếu thiếu văn bản yêu cầu chính thức từ cơ quan nhà nước. Đồng thời, cơ sở dữ liệu tên miền quốc gia thiếu các thông tin liên hệ công khai để chủ thể quyền có thể truy nguyên danh tính của đối tượng vi phạm. Theo Thuyết chi phí giao dịch, việc thiếu hụt dữ liệu liên thông này đẩy chi phí tìm kiếm và xác minh vi phạm lên mức cực đại, triệt tiêu động lực khởi kiện của doanh nghiệp.</w:t>
      </w:r>
    </w:p>
    <w:p>
      <w:pPr>
        <w:pStyle w:val="BodyText"/>
      </w:pPr>
      <w:r>
        <w:rPr>
          <w:b/>
          <w:bCs/>
        </w:rPr>
        <w:t xml:space="preserve">Thứ năm, yêu cầu cấp thiết về kiến trúc phối hợp kỹ thuật và pháp lý thời gian thực.</w:t>
      </w:r>
      <w:r>
        <w:t xml:space="preserve"> </w:t>
      </w:r>
      <w:r>
        <w:t xml:space="preserve">Khi áp dụng Thuyết quản trị cộng tác của Ansell &amp; Gash, nhà nước cần phải tái định vị vai trò của mình. Dựa trên sơ đồ mô hình đề xuất, thay vì là cơ quan xử lý vi phạm thụ động ở khâu cuối, nhà nước phải trở thành trọng tài kiến tạo cơ sở hạ tầng. Cần khẩn trương thiết lập hệ thống kết nối dữ liệu trực tiếp giữa cơ quan quản lý, lực lượng thực thi và nền tảng số. Việc tự động hóa quy trình xác minh bằng chứng và gỡ bỏ đường dẫn vi phạm thông qua giao thức kết nối dữ liệu liên thông sẽ thay thế quy trình công văn giấy tờ thủ công đang bị quá tải hiện nay, từ đó tối thiểu hóa chi phí giao dịch và nâng cao phúc lợi xã hội theo đúng tinh thần của Thuyết vị lợi.</w:t>
      </w:r>
      <w:r>
        <w:t xml:space="preserve">11</w:t>
      </w:r>
    </w:p>
    <w:bookmarkEnd w:id="18"/>
    <w:bookmarkStart w:id="19" w:name="định-hướng-và-hàm-ý-chính-sách"/>
    <w:p>
      <w:pPr>
        <w:pStyle w:val="Heading2"/>
      </w:pPr>
      <w:r>
        <w:t xml:space="preserve">6. Định hướng và Hàm ý chính sách</w:t>
      </w:r>
    </w:p>
    <w:p>
      <w:pPr>
        <w:pStyle w:val="FirstParagraph"/>
      </w:pPr>
      <w:r>
        <w:t xml:space="preserve">Từ những điểm nghẽn thể chế và rào cản kỹ thuật được nhận diện, để giải quyết triệt để tình trạng bẫy phụ thuộc hành chính và thiết lập một mô hình phối hợp đa chủ thể thực chất, nghiên cứu đề xuất bốn nhóm giải pháp chính sách trọng tâm.</w:t>
      </w:r>
    </w:p>
    <w:p>
      <w:pPr>
        <w:pStyle w:val="BodyText"/>
      </w:pPr>
      <w:r>
        <w:rPr>
          <w:b/>
          <w:bCs/>
        </w:rPr>
        <w:t xml:space="preserve">Thứ nhất, hoàn thiện khung thể chế pháp lý và chính sách hỗ trợ phối hợp đa chủ thể.</w:t>
      </w:r>
      <w:r>
        <w:t xml:space="preserve"> </w:t>
      </w:r>
      <w:r>
        <w:t xml:space="preserve">Trọng tâm của giải pháp này là nội luật hóa đồng bộ trách nhiệm phối hợp của doanh nghiệp cung cấp dịch vụ trung gian. Nhà nước cần nhanh chóng ban hành các văn bản hướng dẫn dưới luật đối với Điều 198b Luật Sở hữu trí tuệ sửa đổi bổ sung năm 2022. Cần cụ thể hóa quy trình phối hợp thông báo và gỡ bỏ theo hướng tự động hóa, định lượng rõ ràng thời hạn phản hồi tối đa cho nền tảng số và quy định cụ thể các trường hợp miễn trừ trách nhiệm pháp lý theo đúng cam kết quốc tế. Bên cạnh đó, cần khơi thông điểm nghẽn kiểm soát biên giới bằng việc sửa đổi quy định pháp luật để làm rõ hành vi xuất khẩu là hành vi sử dụng nhãn hiệu. Đây là cơ sở pháp lý tối quan trọng để trao quyền cho lực lượng hải quan tiến hành đình chỉ, tịch thu và tiêu hủy các sản phẩm giả mạo nhãn hiệu ngay tại cửa khẩu, ngăn chặn tình trạng Việt Nam trở thành nguồn xuất khẩu hàng giả trực tuyến. Cuối cùng, Cục Sở hữu trí tuệ cần đẩy mạnh thực hiện các đề án giải quyết dứt điểm gánh nặng đơn thư khiếu nại sở hữu công nghiệp trước năm 2026, giúp doanh nghiệp nhanh chóng hoàn tất xác lập quyền để có đủ căn cứ pháp lý khi yêu cầu sàn thương mại điện tử chặn lọc vi phạm.</w:t>
      </w:r>
    </w:p>
    <w:p>
      <w:pPr>
        <w:pStyle w:val="BodyText"/>
      </w:pPr>
      <w:r>
        <w:rPr>
          <w:b/>
          <w:bCs/>
        </w:rPr>
        <w:t xml:space="preserve">Thứ hai, xây dựng hệ sinh thái số liên thông trong kiến trúc giải pháp công nghệ.</w:t>
      </w:r>
      <w:r>
        <w:t xml:space="preserve"> </w:t>
      </w:r>
      <w:r>
        <w:t xml:space="preserve">Việc thiếu liên thông dữ liệu là nguyên nhân cốt lõi khiến chi phí giao dịch bị đẩy lên mức cực đại. Kiến trúc công nghệ mới cần thiết lập một sợi dây liên kết số thông suốt thông qua Cổng dữ liệu quốc gia về thực thi sở hữu trí tuệ. Hệ thống này kết nối theo thời gian thực giữa Cục Sở hữu trí tuệ, Tổng cục Quản lý thị trường, lực lượng hải quan và các nền tảng số lớn. Khi doanh nghiệp đăng ký nhãn hiệu thành công, thông tin văn bằng bảo hộ sẽ tự động đồng bộ sang cơ sở dữ liệu của các sàn thương mại điện tử và hải quan. Hệ thống trí tuệ nhân tạo chủ động của sàn có thể truy xuất tức thời để đối soát, loại bỏ quy trình xác thực thủ công bằng văn bản. Bộ Thông tin và Truyền thông cũng cần phối hợp sửa đổi quy chế quản lý tên miền, bắt buộc công khai thông tin liên hệ chi tiết và xác thực định danh cá nhân hoặc doanh nghiệp bằng cơ sở dữ liệu căn cước công dân quốc gia đối với các tên miền kinh doanh thương mại nhằm triệt tiêu các trang web ẩn danh. Thêm vào đó, việc ứng dụng công nghệ chuỗi khối trong truy xuất nguồn gốc và vận tải thông minh sẽ cho phép người tiêu dùng kiểm tra tính chính hãng trước khi nhận hàng, cắt đứt chuỗi cung ứng của đối tượng vi phạm.</w:t>
      </w:r>
    </w:p>
    <w:p>
      <w:pPr>
        <w:pStyle w:val="BodyText"/>
      </w:pPr>
      <w:r>
        <w:rPr>
          <w:b/>
          <w:bCs/>
        </w:rPr>
        <w:t xml:space="preserve">Thứ ba, thúc đẩy cơ chế hợp tác công tư và hỗ trợ doanh nghiệp vừa và nhỏ.</w:t>
      </w:r>
      <w:r>
        <w:t xml:space="preserve"> </w:t>
      </w:r>
      <w:r>
        <w:t xml:space="preserve">Nhà nước cần đóng vai trò là trọng tài thể chế để dân chủ hóa công nghệ, thu hẹp khoảng trống bảo vệ giữa các thương hiệu lớn và nhóm doanh nghiệp vừa và nhỏ. Việc thiết lập chương trình hỗ trợ hoặc quỹ đổi mới sáng tạo và thực thi sở hữu trí tuệ dành riêng cho nhóm doanh nghiệp này là rất cần thiết. Nhà nước có thể hỗ trợ một phần kinh phí để doanh nghiệp thuê hoặc mua các dịch vụ giám sát nhãn hiệu tự động bằng thuật toán trên môi trường mạng. Ở cấp độ vĩ mô, cần thể chế hóa mô hình phối hợp từ trực tuyến đến thực địa lên quy mô liên ngành. Khi thuật toán của sàn phát hiện dòng hàng giả xuất hiện với quy mô lớn tại các kho hàng ảo trực tuyến, sàn thương mại điện tử có nghĩa vụ xuất dữ liệu tọa độ kho và thông tin định danh chủ kho cho lực lượng quản lý thị trường địa phương để tiến hành kiểm tra thực địa ngay lập tức. Để điều phối các hoạt động này, cần thiết lập một ban giám sát quốc gia trung gian nhằm kết nối chặt chẽ giữa các tổ chức nghiên cứu, doanh nghiệp và nền tảng số, kịp thời đối thoại và xây dựng chính sách phản ứng nhanh trước các biến động kinh doanh mới.</w:t>
      </w:r>
    </w:p>
    <w:p>
      <w:pPr>
        <w:pStyle w:val="BodyText"/>
      </w:pPr>
      <w:r>
        <w:rPr>
          <w:b/>
          <w:bCs/>
        </w:rPr>
        <w:t xml:space="preserve">Thứ tư, cải cách tố tụng tư pháp và nâng cao năng lực thực thi chuyên môn liên ngành.</w:t>
      </w:r>
      <w:r>
        <w:t xml:space="preserve"> </w:t>
      </w:r>
      <w:r>
        <w:t xml:space="preserve">Để triệt tiêu tình trạng hành chính hóa cực đoan, Việt Nam cần khơi thông con đường tố tụng dân sự và hình sự để tạo ra sức răn đe nghiêm khắc. Việc nhanh chóng thành lập các tòa chuyên trách về sở hữu trí tuệ trong hệ thống tòa án nhân dân các cấp sẽ giúp tập trung đội ngũ thẩm phán có chuyên môn sâu, rút ngắn thời gian giải quyết tranh chấp và nâng cao hiệu quả áp dụng các biện pháp khẩn cấp tạm thời như chặn tên miền hoặc phong tỏa tài khoản ngân hàng. Trong quá trình điều tra vụ án hình sự, cần chuẩn hóa quy chuẩn kỹ thuật chứng minh yếu tố xâm phạm bằng cách bãi bỏ yêu cầu cung cấp mẫu thật đối chứng trùng khớp tuyệt đối, thay vào đó là ứng dụng các phương pháp giám định khoa học hiện đại đối chiếu trực tiếp với hồ sơ gốc lưu trữ tại Cục Sở hữu trí tuệ. Cùng với đó, các cơ quan chức năng cần đẩy mạnh chương trình đào tạo chuyên sâu về thu thập chứng cứ kỹ thuật số, truy vết dòng tiền qua trung gian thanh toán trực tuyến và phân tích chứng cứ trên mạng xã hội cho lực lượng hải quan, kiểm sát viên và cảnh sát kinh tế.</w:t>
      </w:r>
    </w:p>
    <w:bookmarkEnd w:id="19"/>
    <w:bookmarkStart w:id="20" w:name="kết-luận"/>
    <w:p>
      <w:pPr>
        <w:pStyle w:val="Heading2"/>
      </w:pPr>
      <w:r>
        <w:t xml:space="preserve">7. Kết luận</w:t>
      </w:r>
    </w:p>
    <w:p>
      <w:pPr>
        <w:pStyle w:val="FirstParagraph"/>
      </w:pPr>
      <w:r>
        <w:t xml:space="preserve">Bảo vệ quyền SHTT trên không gian mạng là điều kiện tiên quyết để kinh tế số Việt Nam phát triển bền vững và hội nhập toàn cầu. Qua việc phân tích toàn diện dữ liệu về hoạt động quản lý nhà nước và hoạt động tự điều tiết của khu vực tư nhân, nghiên cứu đã chứng minh rằng mô hình quản lý đơn tuyến, dựa vào chế tài hành chính truyền thống, đã trở nên quá tải và không còn đáp ứng đủ yêu cầu ngăn chặn vi phạm trên nền tảng số. Môi trường thương mại điện tử đòi hỏi tốc độ phản ứng kỹ thuật phải tương đương với tốc độ phát tán của hàng hóa. Sự chuyển dịch từ cơ chế kiểm soát đơn thuần sang mô hình quản trị cộng tác đa chủ thể, trong đó đề cao trách nhiệm giải trình chủ động của nền tảng số, liên thông cơ sở dữ liệu quốc gia và hỗ trợ công cụ pháp lý cho doanh nghiệp vừa và nhỏ, không chỉ là giải pháp khắc phục tình thế mà còn là định hướng chiến lược thiết yếu. Chỉ khi chi phí thực thi và trách nhiệm giám sát được chia sẻ hợp lý giữa khu vực công và tư, Việt Nam mới kiến tạo được một môi trường thương mại điện tử liêm chính, minh bạch và bảo đảm tính cạnh tranh công bằng.</w:t>
      </w:r>
    </w:p>
    <w:p>
      <w:pPr>
        <w:pStyle w:val="BodyText"/>
      </w:pPr>
      <w:r>
        <w:t xml:space="preserve">Mặc dù đã phác họa được bức tranh toàn cảnh về các điểm nghẽn bằng lăng kính kinh tế và thể chế, nghiên cứu này vẫn còn một số hạn chế nhất định khi mới chỉ khai thác dữ liệu thực chứng chuyên sâu từ một nền tảng số đại diện. Từ đó, hướng nghiên cứu tiếp theo có thể mở rộng quy mô mẫu khảo sát trên nhiều nền tảng khác nhau để đo lường trực tiếp mức độ tương quan giữa chi phí đầu tư công nghệ của các sàn thương mại điện tử và tốc độ giảm thiểu vi phạm thực tế. Đồng thời, việc ứng dụng các mô hình kinh tế lượng nhằm định lượng một cách cụ thể hiệu quả kinh tế của việc xây dựng cổng liên thông dữ liệu quốc gia so với mô hình quản lý hành chính đơn tuyến hiện tại cũng là một chủ đề đầy triển vọng, góp phần cung cấp bệ đỡ khoa học vững chắc cho quá trình hoạch định chính sách.</w:t>
      </w:r>
    </w:p>
    <w:p>
      <w:r>
        <w:pict>
          <v:rect style="width:0;height:1.5pt" o:hralign="center" o:hrstd="t" o:hr="t"/>
        </w:pict>
      </w:r>
    </w:p>
    <w:p>
      <w:pPr>
        <w:pStyle w:val="FirstParagraph"/>
      </w:pPr>
      <w:r>
        <w:rPr>
          <w:b/>
          <w:bCs/>
        </w:rPr>
        <w:t xml:space="preserve">Tờ khai minh bạch sử dụng AI và cam kết dữ liệu gốc</w:t>
      </w:r>
      <w:r>
        <w:t xml:space="preserve"> </w:t>
      </w:r>
      <w:r>
        <w:t xml:space="preserve">Nhóm tác giả cam kết bài viết sử dụng dữ liệu gốc được thu thập khách quan, tỷ lệ trùng lặp tuân thủ nghiêm ngặt quy định của tạp chí (&lt;20%). Trong quá trình biên soạn, công cụ Trí tuệ nhân tạo (AI) chỉ được sử dụng ở khâu hỗ trợ rà soát lỗi chính tả và chuẩn hóa định dạng văn bản, hoàn toàn không can thiệp vào quá trình sáng tạo học thuật, xây dựng lập luận hay tạo sinh dữ liệu cốt lõi.</w:t>
      </w:r>
    </w:p>
    <w:p>
      <w:r>
        <w:pict>
          <v:rect style="width:0;height:1.5pt" o:hralign="center" o:hrstd="t" o:hr="t"/>
        </w:pict>
      </w:r>
    </w:p>
    <w:p>
      <w:pPr>
        <w:pStyle w:val="FirstParagraph"/>
      </w:pPr>
      <w:r>
        <w:rPr>
          <w:b/>
          <w:bCs/>
        </w:rPr>
        <w:t xml:space="preserve">Danh mục từ viết tắt</w:t>
      </w:r>
      <w:r>
        <w:t xml:space="preserve"> </w:t>
      </w:r>
      <w:r>
        <w:t xml:space="preserve">* BASCAP: Business Action to Stop Counterfeiting and Piracy (Nỗ lực của Doanh nghiệp để Ngăn chặn Hàng giả và Vi phạm Bản quyền)</w:t>
      </w:r>
      <w:r>
        <w:t xml:space="preserve"> </w:t>
      </w:r>
      <w:r>
        <w:t xml:space="preserve">* EU: European Union (Liên minh Châu Âu)</w:t>
      </w:r>
      <w:r>
        <w:t xml:space="preserve"> </w:t>
      </w:r>
      <w:r>
        <w:t xml:space="preserve">* EUIPO: European Union Intellectual Property Office (Cơ quan Sở hữu trí tuệ Liên minh Châu Âu)</w:t>
      </w:r>
      <w:r>
        <w:t xml:space="preserve"> </w:t>
      </w:r>
      <w:r>
        <w:t xml:space="preserve">* ICC: International Chamber of Commerce (Phòng Thương mại Quốc tế)</w:t>
      </w:r>
      <w:r>
        <w:t xml:space="preserve"> </w:t>
      </w:r>
      <w:r>
        <w:t xml:space="preserve">* OECD: Organization for Economic Cooperation and Development (Tổ chức Hợp tác và Phát triển Kinh tế)</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 (Tổ chức Sở hữu Trí tuệ Thế giới)</w:t>
      </w:r>
    </w:p>
    <w:p>
      <w:pPr>
        <w:pStyle w:val="BodyText"/>
      </w:pPr>
      <w:r>
        <w:rPr>
          <w:b/>
          <w:bCs/>
        </w:rPr>
        <w:t xml:space="preserve">Xung đột lợi ích</w:t>
      </w:r>
      <w:r>
        <w:t xml:space="preserve"> </w:t>
      </w:r>
      <w:r>
        <w:t xml:space="preserve">Tác giả tuyên bố không có bất kỳ xung đột lợi ích nào liên quan đến việc công bố bài báo này.</w:t>
      </w:r>
    </w:p>
    <w:p>
      <w:pPr>
        <w:pStyle w:val="BodyText"/>
      </w:pPr>
      <w:r>
        <w:rPr>
          <w:b/>
          <w:bCs/>
        </w:rPr>
        <w:t xml:space="preserve">Lời cảm ơn</w:t>
      </w:r>
      <w:r>
        <w:t xml:space="preserve"> </w:t>
      </w:r>
      <w:r>
        <w:t xml:space="preserve">Nghiên cứu này được thực hiện trong khuôn khổ luận án tiến sĩ tại [Tên cơ sở đào tạo]. Tác giả xin trân trọng cảm ơn sự hướng dẫn của các giáo sư và chuyên gia đã đóng góp ý kiến cho nghiên cứu này.</w:t>
      </w:r>
    </w:p>
    <w:p>
      <w:r>
        <w:pict>
          <v:rect style="width:0;height:1.5pt" o:hralign="center" o:hrstd="t" o:hr="t"/>
        </w:pict>
      </w:r>
    </w:p>
    <w:p>
      <w:pPr>
        <w:pStyle w:val="FirstParagraph"/>
      </w:pPr>
      <w:r>
        <w:rPr>
          <w:b/>
          <w:bCs/>
        </w:rPr>
        <w:t xml:space="preserve">Tài liệu tham khảo</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2025;60:2435-2457.</w:t>
      </w:r>
    </w:p>
    <w:p>
      <w:pPr>
        <w:pStyle w:val="Compact"/>
        <w:numPr>
          <w:ilvl w:val="0"/>
          <w:numId w:val="1001"/>
        </w:numPr>
      </w:pPr>
      <w:r>
        <w:t xml:space="preserve">Phạm QT, Đặng NM. Các yếu tố ảnh hưởng đến hành vi cá nhân vi phạm bản quyền số ở Việt Nam. Science and Technology Development Journal. 2017;20(Q4):78-85.</w:t>
      </w:r>
    </w:p>
    <w:p>
      <w:pPr>
        <w:pStyle w:val="Compact"/>
        <w:numPr>
          <w:ilvl w:val="0"/>
          <w:numId w:val="1001"/>
        </w:numPr>
      </w:pPr>
      <w:r>
        <w:t xml:space="preserve">Trần TL. Các yếu tố ảnh hưởng đến phát triển kinh tế số ở Việt Nam [Luận án Tiến sĩ]. Hà Nội: Học viện Khoa học Xã hội; 2025.</w:t>
      </w:r>
    </w:p>
    <w:p>
      <w:pPr>
        <w:pStyle w:val="Compact"/>
        <w:numPr>
          <w:ilvl w:val="0"/>
          <w:numId w:val="1001"/>
        </w:numPr>
      </w:pPr>
      <w:r>
        <w:t xml:space="preserve">Trần NML, Nguyễn THĐ, Vũ KO. Phát triển kinh tế số tại Việt Nam: Thực trạng và giải pháp. Tạp chí nghiên cứu Tài chính kế toán. 2025;(283):5-10.</w:t>
      </w:r>
    </w:p>
    <w:p>
      <w:pPr>
        <w:pStyle w:val="Compact"/>
        <w:numPr>
          <w:ilvl w:val="0"/>
          <w:numId w:val="1001"/>
        </w:numPr>
      </w:pPr>
      <w:r>
        <w:t xml:space="preserve">Nguyễn TQ. Hoàn thiện pháp luật về trí tuệ nhân tạo trong nền kinh tế số tại Việt Nam. Tạp chí Giáo dục Xã hội. 2025;296:29-35.</w:t>
      </w:r>
    </w:p>
    <w:p>
      <w:pPr>
        <w:pStyle w:val="Compact"/>
        <w:numPr>
          <w:ilvl w:val="0"/>
          <w:numId w:val="1001"/>
        </w:numPr>
      </w:pPr>
      <w:r>
        <w:t xml:space="preserve">Lâm XH. Pháp luật về sở hữu trí tuệ trong kỷ nguyên mới. Tạp chí Việt Nam Hội nhập. 2025;(371):23-29.</w:t>
      </w:r>
    </w:p>
    <w:p>
      <w:pPr>
        <w:pStyle w:val="Compact"/>
        <w:numPr>
          <w:ilvl w:val="0"/>
          <w:numId w:val="1001"/>
        </w:numPr>
      </w:pPr>
      <w:r>
        <w:t xml:space="preserve">Nguyễn HBH. Pháp luật về quyền sở hữu trí tuệ trong các giao dịch thương mại xuyên biên giới trong bối cảnh chuyển đổi số. Tạp chí Luật học. 2025;(1):78-85.</w:t>
      </w:r>
    </w:p>
    <w:p>
      <w:pPr>
        <w:pStyle w:val="Compact"/>
        <w:numPr>
          <w:ilvl w:val="0"/>
          <w:numId w:val="1001"/>
        </w:numPr>
      </w:pPr>
      <w:r>
        <w:t xml:space="preserve">Fisher W. Theories of Intellectual Property. In: Munzer S, editor. New Essays in the Legal and Political Theory of Property. Cambridge: Cambridge University Press; 2001. p. 168-199.</w:t>
      </w:r>
    </w:p>
    <w:p>
      <w:pPr>
        <w:pStyle w:val="Compact"/>
        <w:numPr>
          <w:ilvl w:val="0"/>
          <w:numId w:val="1001"/>
        </w:numPr>
      </w:pPr>
      <w:r>
        <w:t xml:space="preserve">Cục Sở hữu trí tuệ. Báo cáo thường niên hoạt động sở hữu trí tuệ năm 2024. Hà Nội: Cục Sở hữu trí tuệ; 2025.</w:t>
      </w:r>
    </w:p>
    <w:p>
      <w:pPr>
        <w:pStyle w:val="Compact"/>
        <w:numPr>
          <w:ilvl w:val="0"/>
          <w:numId w:val="1001"/>
        </w:numPr>
      </w:pPr>
      <w:r>
        <w:t xml:space="preserve">WIPO. World Intellectual Property Indicators 2024. Geneva: World Intellectual Property Organization; 2024.</w:t>
      </w:r>
    </w:p>
    <w:p>
      <w:pPr>
        <w:pStyle w:val="Compact"/>
        <w:numPr>
          <w:ilvl w:val="0"/>
          <w:numId w:val="1001"/>
        </w:numPr>
      </w:pPr>
      <w:r>
        <w:t xml:space="preserve">Cục Thương mại điện tử và Kinh tế số. Sách trắng Thương mại điện tử Việt Nam năm 2023. Hà Nội: Bộ Công Thương; 2023.</w:t>
      </w:r>
    </w:p>
    <w:p>
      <w:pPr>
        <w:pStyle w:val="Compact"/>
        <w:numPr>
          <w:ilvl w:val="0"/>
          <w:numId w:val="1001"/>
        </w:numPr>
      </w:pPr>
      <w:r>
        <w:t xml:space="preserve">Google, Temasek, Bain &amp; Company. e-Conomy SEA 2024. Singapore; 2024.</w:t>
      </w:r>
    </w:p>
    <w:p>
      <w:pPr>
        <w:pStyle w:val="Compact"/>
        <w:numPr>
          <w:ilvl w:val="0"/>
          <w:numId w:val="1001"/>
        </w:numPr>
      </w:pPr>
      <w:r>
        <w:t xml:space="preserve">Shopee. Shopee Brand Protection Annual Report 2024. Singapore: Sea Limited; 2024.</w:t>
      </w:r>
    </w:p>
    <w:p>
      <w:pPr>
        <w:pStyle w:val="Compact"/>
        <w:numPr>
          <w:ilvl w:val="0"/>
          <w:numId w:val="1001"/>
        </w:numPr>
      </w:pPr>
      <w:r>
        <w:t xml:space="preserve">OECD/EUIPO. Risks of Illicit Trade in Counterfeits to Small and Medium-Sized Firms. Paris: OECD Publishing; 2023. doi:10.1787/fa6d5089-en.</w:t>
      </w:r>
    </w:p>
    <w:p>
      <w:pPr>
        <w:pStyle w:val="Compact"/>
        <w:numPr>
          <w:ilvl w:val="0"/>
          <w:numId w:val="1001"/>
        </w:numPr>
      </w:pPr>
      <w:r>
        <w:t xml:space="preserve">BASCAP. Vietnam Country Report: Promoting and Protecting Intellectual Property in Vietnam. Paris: International Chamber of Commerce (ICC); 2023.</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2026-07-19T19:22:56Z</dcterms:created>
  <dcterms:modified xsi:type="dcterms:W3CDTF">2026-07-19T19:22:56Z</dcterms:modified>
</cp:coreProperties>
</file>

<file path=docProps/custom.xml><?xml version="1.0" encoding="utf-8"?>
<Properties xmlns="http://schemas.openxmlformats.org/officeDocument/2006/custom-properties" xmlns:vt="http://schemas.openxmlformats.org/officeDocument/2006/docPropsVTypes"/>
</file>