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Phối hợp đa chủ thể trong thực thi quyền sở hữu trí tuệ trên sàn thương mại điện tử Việt Nam</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Nghiên cứu này phân tích cơ chế phối hợp đa chủ thể trong thực thi quyền sở hữu trí tuệ, trọng tâm là nhãn hiệu và hàng hóa giả mạo, trên các sàn thương mại điện tử tại Việt Nam. Dựa trên Thuyết Quản trị cộng tác và Thuyết Chi phí giao dịch, nghiên cứu sử dụng phương pháp định tính kết hợp phân tích dữ liệu thứ cấp từ cơ quan quản lý nhà nước và một trường hợp điển hình là hệ thống bảo vệ thương hiệu của sàn thương mại điện tử. Kết quả nghiên cứu gợi ý rằng mô hình quản lý hành chính đơn tuyến hiện tại đang gặp thách thức lớn trước tốc độ mở rộng của giao dịch trực tuyến, làm gia tăng chi phí xác minh và phối hợp. Để nâng cao hiệu quả thực thi, bài viết đề xuất cần chuẩn hóa quy trình thông báo vi phạm, thí điểm cơ chế chia sẻ dữ liệu liên thông, quy định trách nhiệm báo cáo minh bạch của nền tảng và mở rộng công cụ bảo vệ quyền cho nhóm doanh nghiệp nhỏ và vừa, nhằm hướng tới một môi trường thương mại điện tử minh bạch và bền vững.</w:t>
      </w:r>
    </w:p>
    <w:p>
      <w:pPr>
        <w:pStyle w:val="BodyText"/>
      </w:pPr>
      <w:r>
        <w:rPr>
          <w:b/>
          <w:bCs/>
        </w:rPr>
        <w:t xml:space="preserve">Từ khóa:</w:t>
      </w:r>
      <w:r>
        <w:t xml:space="preserve"> </w:t>
      </w:r>
      <w:r>
        <w:t xml:space="preserve">Phối hợp đa chủ thể; Quyền sở hữu trí tuệ; Nhãn hiệu; Sàn thương mại điện tử; Quản trị cộng tác.</w:t>
      </w:r>
    </w:p>
    <w:bookmarkStart w:id="9" w:name="giới-thiệu"/>
    <w:p>
      <w:pPr>
        <w:pStyle w:val="Heading2"/>
      </w:pPr>
      <w:r>
        <w:t xml:space="preserve">1. Giới thiệu</w:t>
      </w:r>
    </w:p>
    <w:p>
      <w:pPr>
        <w:pStyle w:val="FirstParagraph"/>
      </w:pPr>
      <w:r>
        <w:t xml:space="preserve">Sự bùng nổ của nền kinh tế số đã biến các sàn thương mại điện tử thành kênh phân phối chủ đạo, nhưng đồng thời cũng tạo ra môi trường phức tạp cho các hành vi xâm phạm quyền sở hữu trí tuệ, đặc biệt là vi phạm nhãn hiệu và buôn bán hàng giả mạo. Tại Việt Nam, tốc độ tăng trưởng thương mại điện tử bán lẻ liên tục duy trì ở mức trên 20% mỗi năm. Tuy nhiên, sự gia tăng nhanh chóng về quy mô giao dịch trực tuyến đang đặt ra áp lực khổng lồ lên hệ thống thực thi pháp luật truyền thống. Các cơ quan quản lý hành chính và lực lượng thực thi đối mặt với thách thức lớn trong việc theo dõi, xác minh và xử lý vi phạm với khối lượng dữ liệu khổng lồ trên không gian mạng.</w:t>
      </w:r>
    </w:p>
    <w:p>
      <w:pPr>
        <w:pStyle w:val="BodyText"/>
      </w:pPr>
      <w:r>
        <w:t xml:space="preserve">Trong bối cảnh đó, pháp luật Việt Nam đã có những bước điều chỉnh quan trọng, điển hình là Luật sửa đổi bổ sung một số điều của Luật Sở hữu trí tuệ năm 2022, nhằm thiết lập nền tảng pháp lý quy định trách nhiệm của doanh nghiệp cung cấp dịch vụ trung gian. Tuy nhiên, các nghiên cứu hiện có chủ yếu xem xét riêng biệt trách nhiệm pháp lý của nền tảng, quyền yêu cầu xử lý của chủ thể quyền hoặc thẩm quyền của cơ quan nhà nước. Trong khi đó, vẫn còn thiếu vắng các nghiên cứu phân tích toàn bộ chuỗi phối hợp giữa các chủ thể trong việc phát hiện, thông báo, xác minh, chia sẻ dữ liệu, gỡ bỏ, chuyển giao vụ việc và xử lý tái phạm trên sàn thương mại điện tử tại Việt Nam. Đồng thời, chưa có khung lý luận thống nhất để giải thích các rào cản và chi phí phát sinh trong cơ chế phối hợp đa chủ thể này.</w:t>
      </w:r>
    </w:p>
    <w:p>
      <w:pPr>
        <w:pStyle w:val="BodyText"/>
      </w:pPr>
      <w:r>
        <w:t xml:space="preserve">Nghiên cứu này nhằm lấp đầy khoảng trống nêu trên bằng việc phân tích thực trạng phối hợp giữa cơ quan nhà nước, sàn thương mại điện tử và chủ thể quyền. Mục tiêu của bài viết là nhận diện các điểm nghẽn trong chuỗi thực thi trực tuyến, từ đó đề xuất các định hướng chính sách nhằm kiến tạo một cơ chế quản trị cộng tác hiệu quả, giảm thiểu chi phí giao dịch và bảo vệ môi trường kinh doanh minh bạch.</w:t>
      </w:r>
    </w:p>
    <w:bookmarkEnd w:id="9"/>
    <w:bookmarkStart w:id="12" w:name="tổng-quan-nghiên-cứu-và-khung-lý-thuyết"/>
    <w:p>
      <w:pPr>
        <w:pStyle w:val="Heading2"/>
      </w:pPr>
      <w:r>
        <w:t xml:space="preserve">2. Tổng quan nghiên cứu và Khung lý thuyết</w:t>
      </w:r>
    </w:p>
    <w:bookmarkStart w:id="10" w:name="tổng-quan-nghiên-cứu"/>
    <w:p>
      <w:pPr>
        <w:pStyle w:val="Heading3"/>
      </w:pPr>
      <w:r>
        <w:t xml:space="preserve">2.1. Tổng quan nghiên cứu</w:t>
      </w:r>
    </w:p>
    <w:p>
      <w:pPr>
        <w:pStyle w:val="FirstParagraph"/>
      </w:pPr>
      <w:r>
        <w:t xml:space="preserve">Thực thi quyền sở hữu trí tuệ trên môi trường trực tuyến đã trải qua sự chuyển dịch lớn về mặt tư duy học thuật, từ chỗ phụ thuộc vào các chế tài hành chính sang mô hình chia sẻ trách nhiệm công tư. Các nghiên cứu quốc tế đã chỉ ra sự bất cập của việc áp đặt trách nhiệm đơn phương lên bộ máy nhà nước khi đối mặt với tính xuyên biên giới của thương mại điện tử. Theo đó, xu hướng nghiên cứu hiện đại nhấn mạnh sự tham gia của doanh nghiệp nền tảng không chỉ với tư cách là bên cung cấp dịch vụ, mà còn là một chủ thể quản trị có năng lực điều tiết kỹ thuật. Tuy nhiên, tại các quốc gia đang phát triển như Việt Nam, việc nghiên cứu cơ chế phối hợp này vẫn chủ yếu dừng lại ở góc độ diễn giải quy định pháp luật, thiếu hụt các phân tích đánh giá chuỗi tương tác thực tế giữa các bên.</w:t>
      </w:r>
    </w:p>
    <w:bookmarkEnd w:id="10"/>
    <w:bookmarkStart w:id="11" w:name="khung-lý-thuyết-phân-tích"/>
    <w:p>
      <w:pPr>
        <w:pStyle w:val="Heading3"/>
      </w:pPr>
      <w:r>
        <w:t xml:space="preserve">2.2. Khung lý thuyết phân tích</w:t>
      </w:r>
    </w:p>
    <w:p>
      <w:pPr>
        <w:pStyle w:val="FirstParagraph"/>
      </w:pPr>
      <w:r>
        <w:t xml:space="preserve">Nghiên cứu được đặt trên bệ đỡ của ba nền tảng lý thuyết cốt lõi, trong đó Thuyết Quản trị cộng tác đóng vai trò trung tâm, Thuyết Chi phí giao dịch giải thích các rào cản, và Thuyết SHTT làm nền tảng chuẩn tắc.</w:t>
      </w:r>
    </w:p>
    <w:p>
      <w:pPr>
        <w:pStyle w:val="BodyText"/>
      </w:pPr>
      <w:r>
        <w:rPr>
          <w:b/>
          <w:bCs/>
        </w:rPr>
        <w:t xml:space="preserve">Thứ nhất, Thuyết Quản trị cộng tác của Ansell và Gash.</w:t>
      </w:r>
      <w:r>
        <w:t xml:space="preserve"> </w:t>
      </w:r>
      <w:r>
        <w:t xml:space="preserve">Lý thuyết này cung cấp khung phân tích hoàn chỉnh về sự tương tác giữa các tác nhân công và tư nhằm giải quyết các vấn đề mà một chủ thể đơn lẻ không thể tự xử lý. Trong bối cảnh bài viết, lý thuyết này được sử dụng để phân tích thiết kế thể chế, vai trò điều phối của nhà nước, quá trình đối thoại và cơ chế chia sẻ thông tin giữa cơ quan thực thi và các sàn thương mại điện tử. Một cơ chế phối hợp chỉ đạt hiệu quả khi xây dựng được lòng tin và phân định rõ trách nhiệm của các bên.</w:t>
      </w:r>
    </w:p>
    <w:p>
      <w:pPr>
        <w:pStyle w:val="BodyText"/>
      </w:pPr>
      <w:r>
        <w:rPr>
          <w:b/>
          <w:bCs/>
        </w:rPr>
        <w:t xml:space="preserve">Thứ hai, Thuyết Chi phí giao dịch của Coase và Williamson.</w:t>
      </w:r>
      <w:r>
        <w:t xml:space="preserve"> </w:t>
      </w:r>
      <w:r>
        <w:t xml:space="preserve">Việc bảo vệ quyền sở hữu trí tuệ trực tuyến luôn đi kèm với các chi phí giao dịch khổng lồ, bao gồm chi phí tìm kiếm thông tin, chi phí xác minh quyền, chi phí cung cấp chứng cứ, chi phí giám sát tái phạm và chi phí phối hợp giữa cơ quan và nền tảng. Lý thuyết này giải thích lý do tại sao sự đứt gãy thông tin và thiếu liên thông dữ liệu lại làm gia tăng gánh nặng chi phí, từ đó cản trở hiệu quả thực thi và đòi hỏi phải có cơ chế chia sẻ dữ liệu tự động nhằm tối thiểu hóa hao phí nguồn lực.</w:t>
      </w:r>
    </w:p>
    <w:p>
      <w:pPr>
        <w:pStyle w:val="BodyText"/>
      </w:pPr>
      <w:r>
        <w:rPr>
          <w:b/>
          <w:bCs/>
        </w:rPr>
        <w:t xml:space="preserve">Thứ ba, Lý thuyết nền tảng về Sở hữu trí tuệ của Fisher.</w:t>
      </w:r>
      <w:r>
        <w:t xml:space="preserve"> </w:t>
      </w:r>
      <w:r>
        <w:t xml:space="preserve">Thuyết vị lợi và Thuyết quy hoạch xã hội được sử dụng để giải thích nền tảng chuẩn tắc của hệ thống sở hữu trí tuệ: pháp luật cần bảo vệ quyền lợi chính đáng của chủ thể sáng tạo, nhưng đồng thời phải cân bằng với quyền tiếp cận, bảo đảm môi trường cạnh tranh lành mạnh và công bằng cho mọi quy mô doanh nghiệp, đặc biệt là các doanh nghiệp nhỏ và vừa.</w:t>
      </w:r>
    </w:p>
    <w:bookmarkEnd w:id="11"/>
    <w:bookmarkEnd w:id="12"/>
    <w:bookmarkStart w:id="13" w:name="phương-pháp-nghiên-cứu"/>
    <w:p>
      <w:pPr>
        <w:pStyle w:val="Heading2"/>
      </w:pPr>
      <w:r>
        <w:t xml:space="preserve">3. Phương pháp nghiên cứu</w:t>
      </w:r>
    </w:p>
    <w:p>
      <w:pPr>
        <w:pStyle w:val="FirstParagraph"/>
      </w:pPr>
      <w:r>
        <w:t xml:space="preserve">Nghiên cứu này được thiết kế theo hướng tiếp cận định tính phân tích chính sách, kết hợp thống kê mô tả dữ liệu thứ cấp và nghiên cứu trường hợp đơn.</w:t>
      </w:r>
    </w:p>
    <w:p>
      <w:pPr>
        <w:pStyle w:val="BodyText"/>
      </w:pPr>
      <w:r>
        <w:rPr>
          <w:b/>
          <w:bCs/>
        </w:rPr>
        <w:t xml:space="preserve">Thứ nhất, phương pháp phân tích chính sách:</w:t>
      </w:r>
      <w:r>
        <w:t xml:space="preserve"> </w:t>
      </w:r>
      <w:r>
        <w:t xml:space="preserve">Áp dụng để mổ xẻ các văn bản quy phạm pháp luật hiện hành tại Việt Nam, trọng tâm là Luật sửa đổi, bổ sung một số điều của Luật Sở hữu trí tuệ năm 2022. Phương pháp này đóng vai trò quan trọng trong việc lý giải các nguyên nhân gốc rễ của sự thiếu liên thông dữ liệu và đứt gãy trách nhiệm pháp lý.</w:t>
      </w:r>
    </w:p>
    <w:p>
      <w:pPr>
        <w:pStyle w:val="BodyText"/>
      </w:pPr>
      <w:r>
        <w:rPr>
          <w:b/>
          <w:bCs/>
        </w:rPr>
        <w:t xml:space="preserve">Thứ hai, phương pháp thống kê mô tả dữ liệu thứ cấp:</w:t>
      </w:r>
      <w:r>
        <w:t xml:space="preserve"> </w:t>
      </w:r>
      <w:r>
        <w:t xml:space="preserve">Nghiên cứu thu thập và đối chiếu các chuỗi dữ liệu chính thống từ cơ quan quản lý nhà nước (Tổng cục Quản lý thị trường, Cục Thương mại điện tử và Kinh tế số thuộc Bộ Công Thương) và các báo cáo đối chiếu quốc tế (Tổ chức Hợp tác và Phát triển Kinh tế, Phòng Thương mại Quốc tế).</w:t>
      </w:r>
    </w:p>
    <w:p>
      <w:pPr>
        <w:pStyle w:val="BodyText"/>
      </w:pPr>
      <w:r>
        <w:rPr>
          <w:b/>
          <w:bCs/>
        </w:rPr>
        <w:t xml:space="preserve">Thứ ba, nghiên cứu trường hợp:</w:t>
      </w:r>
      <w:r>
        <w:t xml:space="preserve"> </w:t>
      </w:r>
      <w:r>
        <w:t xml:space="preserve">Để làm rõ năng lực công nghệ và hiệu quả tự điều tiết của khu vực tư nhân, bài viết chọn hệ sinh thái bảo vệ thương hiệu của sàn thương mại điện tử Shopee làm nghiên cứu trường hợp điển hình. Việc lựa chọn Shopee dựa trên hai tiêu chí: (1) quy mô thị phần lớn nhất khu vực và tại Việt Nam, và (2) tính minh bạch trong việc phát hành chuỗi Báo cáo bảo vệ thương hiệu thường niên (2022-2025). Dữ liệu phân tích được trích xuất từ các báo cáo công bố công khai đến tháng 4 năm 2025. Tuy nhiên, cần lưu ý hạn chế của phương pháp này là dữ liệu mang tính tự công bố của một nền tảng đơn lẻ và các tiêu chí như</w:t>
      </w:r>
      <w:r>
        <w:t xml:space="preserve"> </w:t>
      </w:r>
      <w:r>
        <w:t xml:space="preserve">“sản phẩm bị gỡ bỏ”</w:t>
      </w:r>
      <w:r>
        <w:t xml:space="preserve"> </w:t>
      </w:r>
      <w:r>
        <w:t xml:space="preserve">có thể phản ánh các cảnh báo thuật toán chứ chưa hẳn là một kết luận xâm phạm có hiệu lực pháp luật. Dù vậy, các bằng chứng này vẫn mang giá trị tham chiếu cao để đánh giá sự chênh lệch về tốc độ phản ứng kỹ thuật giữa khu vực công và tư.</w:t>
      </w:r>
    </w:p>
    <w:bookmarkEnd w:id="13"/>
    <w:bookmarkStart w:id="17" w:name="kết-quả-nghiên-cứu"/>
    <w:p>
      <w:pPr>
        <w:pStyle w:val="Heading2"/>
      </w:pPr>
      <w:r>
        <w:t xml:space="preserve">4. Kết quả nghiên cứu</w:t>
      </w:r>
    </w:p>
    <w:bookmarkStart w:id="14" w:name="X4a08af16bea581d6f2d968a5011d28afcb7a916"/>
    <w:p>
      <w:pPr>
        <w:pStyle w:val="Heading3"/>
      </w:pPr>
      <w:r>
        <w:t xml:space="preserve">4.1. Thực trạng khung thể chế và pháp lý hiện hành</w:t>
      </w:r>
    </w:p>
    <w:p>
      <w:pPr>
        <w:pStyle w:val="FirstParagraph"/>
      </w:pPr>
      <w:r>
        <w:t xml:space="preserve">Khung pháp lý về bảo vệ quyền sở hữu trí tuệ trên nền tảng số tại Việt Nam được xây dựng theo cấu trúc phân tầng. Ở tầm chiến lược, Nghị quyết số 52 và Nghị quyết số 57 của Bộ Chính trị xác định bảo hộ quyền sở hữu trí tuệ là nội dung cốt lõi của chiến lược phát triển kinh tế số. Ở cấp độ thực thi, Luật sửa đổi bổ sung Luật Sở hữu trí tuệ năm 2022 đã bổ sung Điều 198b nhằm quy định trách nhiệm pháp lý của doanh nghiệp cung cấp dịch vụ trung gian. Đây là bước tiến xác lập nghĩa vụ tham gia bảo vệ quyền sở hữu trí tuệ đối với các nền tảng số. Đồng thời, Luật Công nghiệp công nghệ số (Luật số 71/2025/QH15) bước đầu bổ sung cơ chế kiểm soát nội dung và nhận dạng sản phẩm trên môi trường kỹ thuật số.</w:t>
      </w:r>
    </w:p>
    <w:p>
      <w:pPr>
        <w:pStyle w:val="BodyText"/>
      </w:pPr>
      <w:r>
        <w:t xml:space="preserve">Tuy nhiên, mô hình phối hợp xử lý vi phạm chủ yếu vẫn vận hành theo cơ chế</w:t>
      </w:r>
      <w:r>
        <w:t xml:space="preserve"> </w:t>
      </w:r>
      <w:r>
        <w:t xml:space="preserve">“thông báo và gỡ bỏ”</w:t>
      </w:r>
      <w:r>
        <w:t xml:space="preserve"> </w:t>
      </w:r>
      <w:r>
        <w:t xml:space="preserve">thụ động. Sự đứt gãy trong việc liên thông cơ sở dữ liệu quốc gia khiến gánh nặng chứng minh vi phạm hoàn toàn thuộc về chủ thể quyền, tạo ra một rào cản lớn về chi phí thời gian.</w:t>
      </w:r>
    </w:p>
    <w:bookmarkEnd w:id="14"/>
    <w:bookmarkStart w:id="15" w:name="X5aacbf5c239d4fd9a6fd52146175648b89dc4aa"/>
    <w:p>
      <w:pPr>
        <w:pStyle w:val="Heading3"/>
      </w:pPr>
      <w:r>
        <w:t xml:space="preserve">4.2. Khảo sát năng lực thực thi trực tuyến: Từ nhà nước đến nền tảng số</w:t>
      </w:r>
    </w:p>
    <w:p>
      <w:pPr>
        <w:pStyle w:val="FirstParagraph"/>
      </w:pPr>
      <w:r>
        <w:t xml:space="preserve">Nhằm định lượng rào cản trong hoạt động thực thi, nghiên cứu tiến hành khảo sát các chỉ báo từ cơ quan quản lý thương mại điện tử quốc gia (Bảng 1).</w:t>
      </w:r>
    </w:p>
    <w:p>
      <w:pPr>
        <w:pStyle w:val="BodyText"/>
      </w:pPr>
      <w:r>
        <w:rPr>
          <w:b/>
          <w:bCs/>
        </w:rPr>
        <w:t xml:space="preserve">Bảng 1: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Ghi chú và Đánh giá</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Phản ánh tính thụ động của cơ chế tố cáo hiện hành</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Số lượng lớn nhưng chủ yếu là hàng hóa vật lý ở khâu cuối</w:t>
            </w:r>
          </w:p>
        </w:tc>
      </w:tr>
      <w:tr>
        <w:tc>
          <w:tcPr/>
          <w:p>
            <w:pPr>
              <w:pStyle w:val="Compact"/>
            </w:pPr>
            <w:r>
              <w:t xml:space="preserve">Tỷ trọng vi phạm sở hữu trí tuệ trong cấu trúc vi phạm</w:t>
            </w:r>
          </w:p>
        </w:tc>
        <w:tc>
          <w:tcPr/>
          <w:p>
            <w:pPr>
              <w:pStyle w:val="Compact"/>
            </w:pPr>
            <w:r>
              <w:t xml:space="preserve">16,36%</w:t>
            </w:r>
          </w:p>
        </w:tc>
        <w:tc>
          <w:tcPr/>
          <w:p>
            <w:pPr>
              <w:pStyle w:val="Compact"/>
            </w:pPr>
            <w:r>
              <w:t xml:space="preserve">Chiếm tỷ trọng lớn thứ hai toàn thị trường</w:t>
            </w:r>
          </w:p>
        </w:tc>
      </w:tr>
      <w:tr>
        <w:tc>
          <w:tcPr/>
          <w:p>
            <w:pPr>
              <w:pStyle w:val="Compact"/>
            </w:pPr>
            <w:r>
              <w:t xml:space="preserve">Tỷ trọng vi phạm trực diện về thương mại điện tử</w:t>
            </w:r>
          </w:p>
        </w:tc>
        <w:tc>
          <w:tcPr/>
          <w:p>
            <w:pPr>
              <w:pStyle w:val="Compact"/>
            </w:pPr>
            <w:r>
              <w:t xml:space="preserve">2,19%</w:t>
            </w:r>
          </w:p>
        </w:tc>
        <w:tc>
          <w:tcPr/>
          <w:p>
            <w:pPr>
              <w:pStyle w:val="Compact"/>
            </w:pPr>
            <w:r>
              <w:t xml:space="preserve">Rất thấp so với vi phạm sở hữu trí tuệ thực tế</w:t>
            </w:r>
          </w:p>
        </w:tc>
      </w:tr>
    </w:tbl>
    <w:p>
      <w:pPr>
        <w:pStyle w:val="BodyText"/>
      </w:pPr>
      <w:r>
        <w:rPr>
          <w:i/>
          <w:iCs/>
        </w:rPr>
        <w:t xml:space="preserve">Nguồn: Tổng hợp từ Báo cáo tổng kết Tổng cục Quản lý thị trường &amp; Cục Thương mại điện tử và Kinh tế số năm 2024.</w:t>
      </w:r>
    </w:p>
    <w:p>
      <w:pPr>
        <w:pStyle w:val="BodyText"/>
      </w:pPr>
      <w:r>
        <w:t xml:space="preserve">Dữ liệu tại Bảng 1 cho thấy một sự</w:t>
      </w:r>
      <w:r>
        <w:t xml:space="preserve"> </w:t>
      </w:r>
      <w:r>
        <w:t xml:space="preserve">“lệch pha”</w:t>
      </w:r>
      <w:r>
        <w:t xml:space="preserve"> </w:t>
      </w:r>
      <w:r>
        <w:t xml:space="preserve">nghiêm trọng giữa bản chất vi phạm trên môi trường số và kết quả xử lý. Trong khi vi phạm sở hữu trí tuệ chiếm tới 16,36% cấu trúc vi phạm, các hành vi bị xử lý trực diện trên thương mại điện tử chỉ chiếm 2,19%. Con số 165 lượt phản ánh và hơn 125 nghìn sản phẩm bị thu giữ phản ánh năng lực xử lý chủ yếu nhắm vào khâu tàng trữ vật lý, trong khi các đối tượng vi phạm đã lách qua bộ lọc trực tuyến một cách tinh vi.</w:t>
      </w:r>
    </w:p>
    <w:p>
      <w:pPr>
        <w:pStyle w:val="BodyText"/>
      </w:pPr>
      <w:r>
        <w:t xml:space="preserve">Để đối chiếu với năng lực của khu vực tư nhân, Bảng 2 tóm tắt kết quả vận hành công cụ bảo vệ quyền của một sàn thương mại điện tử quy mô lớn. Cần nhấn mạnh, đây là bằng chứng từ một trường hợp điển hình nhằm minh họa năng lực công nghệ, không mang tính đại diện cho toàn bộ các nền tảng tại Việt Nam.</w:t>
      </w:r>
    </w:p>
    <w:p>
      <w:pPr>
        <w:pStyle w:val="BodyText"/>
      </w:pPr>
      <w:r>
        <w:rPr>
          <w:b/>
          <w:bCs/>
        </w:rPr>
        <w:t xml:space="preserve">Bảng 2: Hoạt động tự điều tiết và bảo vệ quyền sở hữu trí tuệ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tiêu phân tích định lượng</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Tốc độ biến động</w:t>
            </w:r>
          </w:p>
        </w:tc>
      </w:tr>
      <w:tr>
        <w:tc>
          <w:tcPr/>
          <w:p>
            <w:pPr>
              <w:pStyle w:val="Compact"/>
            </w:pPr>
            <w:r>
              <w:t xml:space="preserve">Thương hiệu đăng ký trên Cổng thông tin bảo vệ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Tăng 4,7 lần (2024); +47,7% (2025)</w:t>
            </w:r>
          </w:p>
        </w:tc>
      </w:tr>
      <w:tr>
        <w:tc>
          <w:tcPr/>
          <w:p>
            <w:pPr>
              <w:pStyle w:val="Compact"/>
            </w:pPr>
            <w:r>
              <w:t xml:space="preserve">Hệ thống nhận diện vi phạm tự động theo thương hiệu</w:t>
            </w:r>
          </w:p>
        </w:tc>
        <w:tc>
          <w:tcPr/>
          <w:p>
            <w:pPr>
              <w:pStyle w:val="Compact"/>
            </w:pPr>
            <w:r>
              <w:t xml:space="preserve">0</w:t>
            </w:r>
          </w:p>
        </w:tc>
        <w:tc>
          <w:tcPr/>
          <w:p>
            <w:pPr>
              <w:pStyle w:val="Compact"/>
            </w:pPr>
            <w:r>
              <w:t xml:space="preserve">24</w:t>
            </w:r>
          </w:p>
        </w:tc>
        <w:tc>
          <w:tcPr/>
          <w:p>
            <w:pPr>
              <w:pStyle w:val="Compact"/>
            </w:pPr>
            <w:r>
              <w:t xml:space="preserve">78</w:t>
            </w:r>
          </w:p>
        </w:tc>
        <w:tc>
          <w:tcPr/>
          <w:p>
            <w:pPr>
              <w:pStyle w:val="Compact"/>
            </w:pPr>
            <w:r>
              <w:t xml:space="preserve">Nâng cấp mô hình ngôn ngữ lớn</w:t>
            </w:r>
          </w:p>
        </w:tc>
        <w:tc>
          <w:tcPr/>
          <w:p>
            <w:pPr>
              <w:pStyle w:val="Compact"/>
            </w:pPr>
            <w:r>
              <w:t xml:space="preserve">Bổ sung hệ thống tự học đa ngôn ngữ</w:t>
            </w:r>
          </w:p>
        </w:tc>
      </w:tr>
      <w:tr>
        <w:tc>
          <w:tcPr/>
          <w:p>
            <w:pPr>
              <w:pStyle w:val="Compact"/>
            </w:pPr>
            <w:r>
              <w:t xml:space="preserve">Tỷ lệ gỡ bỏ vi phạm chủ động</w:t>
            </w:r>
          </w:p>
        </w:tc>
        <w:tc>
          <w:tcPr/>
          <w:p>
            <w:pPr>
              <w:pStyle w:val="Compact"/>
            </w:pPr>
            <w:r>
              <w:t xml:space="preserve">N/A</w:t>
            </w:r>
          </w:p>
        </w:tc>
        <w:tc>
          <w:tcPr/>
          <w:p>
            <w:pPr>
              <w:pStyle w:val="Compact"/>
            </w:pPr>
            <w:r>
              <w:t xml:space="preserve">N/A</w:t>
            </w:r>
          </w:p>
        </w:tc>
        <w:tc>
          <w:tcPr/>
          <w:p>
            <w:pPr>
              <w:pStyle w:val="Compact"/>
            </w:pPr>
            <w:r>
              <w:t xml:space="preserve">&gt;97,0%</w:t>
            </w:r>
          </w:p>
        </w:tc>
        <w:tc>
          <w:tcPr/>
          <w:p>
            <w:pPr>
              <w:pStyle w:val="Compact"/>
            </w:pPr>
            <w:r>
              <w:t xml:space="preserve">96,6%</w:t>
            </w:r>
          </w:p>
        </w:tc>
        <w:tc>
          <w:tcPr/>
          <w:p>
            <w:pPr>
              <w:pStyle w:val="Compact"/>
            </w:pPr>
            <w:r>
              <w:t xml:space="preserve">Duy trì trên 96% trước khi có giao dịch</w:t>
            </w:r>
          </w:p>
        </w:tc>
      </w:tr>
      <w:tr>
        <w:tc>
          <w:tcPr/>
          <w:p>
            <w:pPr>
              <w:pStyle w:val="Compact"/>
            </w:pPr>
            <w:r>
              <w:t xml:space="preserve">Tần suất gỡ bỏ chủ động so với thụ động</w:t>
            </w:r>
          </w:p>
        </w:tc>
        <w:tc>
          <w:tcPr/>
          <w:p>
            <w:pPr>
              <w:pStyle w:val="Compact"/>
            </w:pPr>
            <w:r>
              <w:t xml:space="preserve">N/A</w:t>
            </w:r>
          </w:p>
        </w:tc>
        <w:tc>
          <w:tcPr/>
          <w:p>
            <w:pPr>
              <w:pStyle w:val="Compact"/>
            </w:pPr>
            <w:r>
              <w:t xml:space="preserve">7,9 lần</w:t>
            </w:r>
          </w:p>
        </w:tc>
        <w:tc>
          <w:tcPr/>
          <w:p>
            <w:pPr>
              <w:pStyle w:val="Compact"/>
            </w:pPr>
            <w:r>
              <w:t xml:space="preserve">4,0 lần</w:t>
            </w:r>
          </w:p>
        </w:tc>
        <w:tc>
          <w:tcPr/>
          <w:p>
            <w:pPr>
              <w:pStyle w:val="Compact"/>
            </w:pPr>
            <w:r>
              <w:t xml:space="preserve">8,5 lần</w:t>
            </w:r>
          </w:p>
        </w:tc>
        <w:tc>
          <w:tcPr/>
          <w:p>
            <w:pPr>
              <w:pStyle w:val="Compact"/>
            </w:pPr>
            <w:r>
              <w:t xml:space="preserve">Hiệu suất cao hơn cơ chế báo cáo thụ động</w:t>
            </w:r>
          </w:p>
        </w:tc>
      </w:tr>
    </w:tbl>
    <w:p>
      <w:pPr>
        <w:pStyle w:val="BodyText"/>
      </w:pPr>
      <w:r>
        <w:rPr>
          <w:i/>
          <w:iCs/>
        </w:rPr>
        <w:t xml:space="preserve">Nguồn: Tổng hợp và tính toán từ Shopee Brand Protection Annual Report 2022, 2023, 2024, 2025.</w:t>
      </w:r>
    </w:p>
    <w:p>
      <w:pPr>
        <w:pStyle w:val="BodyText"/>
      </w:pPr>
      <w:r>
        <w:t xml:space="preserve">Bảng 2 bộc lộ sự bứt phá về đầu tư công nghệ của khu vực tư nhân. Năm 2022 mới chỉ là giai đoạn sàn thử nghiệm Cổng thông tin bảo vệ thương hiệu, do đó việc tăng vọt lên 78 mô hình hệ thống nhận diện tự động vào năm 2024 thể hiện nỗ lực tự điều tiết khổng lồ. Kết quả là lượng gỡ bỏ chủ động đạt hàng chục triệu sản phẩm nghi vi phạm, vượt trội hoàn toàn so với quy trình nhận tố cáo thụ động từ người dùng.</w:t>
      </w:r>
    </w:p>
    <w:p>
      <w:pPr>
        <w:pStyle w:val="BodyText"/>
      </w:pPr>
      <w:r>
        <w:t xml:space="preserve">Tuy nhiên, theo dữ liệu đối chiếu thực chứng quốc tế của Tổ chức Hợp tác và Phát triển Kinh tế và Cơ quan Sở hữu trí tuệ Liên minh Châu Âu, khoảng 40% doanh nghiệp vừa và nhỏ tại khu vực Châu Âu không có đủ công cụ và tài chính để tự giám sát vi phạm trực tuyến. Tại thị trường Việt Nam, tỷ lệ doanh nghiệp thiếu hụt công cụ giám sát chắc chắn còn trầm trọng hơn rất nhiều, dẫn đến tình trạng các doanh nghiệp này không thể vận hành các cổng bảo hộ chuyên sâu của nền tảng.</w:t>
      </w:r>
    </w:p>
    <w:bookmarkEnd w:id="15"/>
    <w:bookmarkStart w:id="16" w:name="đánh-giá-chuỗi-phối-hợp-đa-chủ-thể"/>
    <w:p>
      <w:pPr>
        <w:pStyle w:val="Heading3"/>
      </w:pPr>
      <w:r>
        <w:t xml:space="preserve">4.3. Đánh giá chuỗi phối hợp đa chủ thể</w:t>
      </w:r>
    </w:p>
    <w:p>
      <w:pPr>
        <w:pStyle w:val="FirstParagraph"/>
      </w:pPr>
      <w:r>
        <w:t xml:space="preserve">Bảng 3 hệ thống hóa các chỉ báo đánh giá chuỗi phối hợp giữa các bên liên quan dựa trên các quan sát thực tiễn.</w:t>
      </w:r>
    </w:p>
    <w:p>
      <w:pPr>
        <w:pStyle w:val="BodyText"/>
      </w:pPr>
      <w:r>
        <w:rPr>
          <w:b/>
          <w:bCs/>
        </w:rPr>
        <w:t xml:space="preserve">Bảng 3: Ma trận đánh giá cơ chế phối hợp đa chủ thể trong thực thi quyền sở hữu trí tuệ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 phối hợp</w:t>
            </w:r>
          </w:p>
        </w:tc>
        <w:tc>
          <w:tcPr/>
          <w:p>
            <w:pPr>
              <w:pStyle w:val="Compact"/>
            </w:pPr>
            <w:r>
              <w:t xml:space="preserve">Bằng chứng quan sát</w:t>
            </w:r>
          </w:p>
        </w:tc>
        <w:tc>
          <w:tcPr/>
          <w:p>
            <w:pPr>
              <w:pStyle w:val="Compact"/>
            </w:pPr>
            <w:r>
              <w:t xml:space="preserve">Nguồn cụ thể</w:t>
            </w:r>
          </w:p>
        </w:tc>
        <w:tc>
          <w:tcPr/>
          <w:p>
            <w:pPr>
              <w:pStyle w:val="Compact"/>
            </w:pPr>
            <w:r>
              <w:t xml:space="preserve">Đánh giá năng lực liên thông</w:t>
            </w:r>
          </w:p>
        </w:tc>
      </w:tr>
      <w:tr>
        <w:tc>
          <w:tcPr/>
          <w:p>
            <w:pPr>
              <w:pStyle w:val="Compact"/>
            </w:pPr>
            <w:r>
              <w:t xml:space="preserve">Cổng dữ liệu thời gian thực giữa Cơ quan nhà nước và Sàn</w:t>
            </w:r>
          </w:p>
        </w:tc>
        <w:tc>
          <w:tcPr/>
          <w:p>
            <w:pPr>
              <w:pStyle w:val="Compact"/>
            </w:pPr>
            <w:r>
              <w:t xml:space="preserve">Chưa có hệ thống kết nối tự động để đối soát văn bằng bảo hộ</w:t>
            </w:r>
          </w:p>
        </w:tc>
        <w:tc>
          <w:tcPr/>
          <w:p>
            <w:pPr>
              <w:pStyle w:val="Compact"/>
            </w:pPr>
            <w:r>
              <w:t xml:space="preserve">Báo cáo thường niên Cục Sở hữu trí tuệ (2024)</w:t>
            </w:r>
          </w:p>
        </w:tc>
        <w:tc>
          <w:tcPr/>
          <w:p>
            <w:pPr>
              <w:pStyle w:val="Compact"/>
            </w:pPr>
            <w:r>
              <w:t xml:space="preserve">Đứt gãy; đẩy chi phí xác minh lên mức cực đại cho cả nền tảng và người khiếu nại</w:t>
            </w:r>
          </w:p>
        </w:tc>
      </w:tr>
      <w:tr>
        <w:tc>
          <w:tcPr/>
          <w:p>
            <w:pPr>
              <w:pStyle w:val="Compact"/>
            </w:pPr>
            <w:r>
              <w:t xml:space="preserve">Phối hợp thực địa nền tảng – Cơ quan thực thi</w:t>
            </w:r>
          </w:p>
        </w:tc>
        <w:tc>
          <w:tcPr/>
          <w:p>
            <w:pPr>
              <w:pStyle w:val="Compact"/>
            </w:pPr>
            <w:r>
              <w:t xml:space="preserve">Chỉ hoạt động theo vụ việc; thiếu thể chế hóa quy trình quốc gia</w:t>
            </w:r>
          </w:p>
        </w:tc>
        <w:tc>
          <w:tcPr/>
          <w:p>
            <w:pPr>
              <w:pStyle w:val="Compact"/>
            </w:pPr>
            <w:r>
              <w:t xml:space="preserve">Sách trắng Thương mại điện tử Việt Nam (2024)</w:t>
            </w:r>
          </w:p>
        </w:tc>
        <w:tc>
          <w:tcPr/>
          <w:p>
            <w:pPr>
              <w:pStyle w:val="Compact"/>
            </w:pPr>
            <w:r>
              <w:t xml:space="preserve">Rời rạc; các thỏa thuận hiện tại chủ yếu mang tính tự nguyện đơn lẻ</w:t>
            </w:r>
          </w:p>
        </w:tc>
      </w:tr>
      <w:tr>
        <w:tc>
          <w:tcPr/>
          <w:p>
            <w:pPr>
              <w:pStyle w:val="Compact"/>
            </w:pPr>
            <w:r>
              <w:t xml:space="preserve">Kiểm soát tên miền và nhà cung cấp dịch vụ mạng</w:t>
            </w:r>
          </w:p>
        </w:tc>
        <w:tc>
          <w:tcPr/>
          <w:p>
            <w:pPr>
              <w:pStyle w:val="Compact"/>
            </w:pPr>
            <w:r>
              <w:t xml:space="preserve">Trang phim lậu có lưu lượng truy cập cao gấp 29 lần trang chính thống</w:t>
            </w:r>
          </w:p>
        </w:tc>
        <w:tc>
          <w:tcPr/>
          <w:p>
            <w:pPr>
              <w:pStyle w:val="Compact"/>
            </w:pPr>
            <w:r>
              <w:t xml:space="preserve">Báo cáo quốc gia Việt Nam của Phòng Thương mại Quốc tế (ICC BASCAP, 2023)</w:t>
            </w:r>
          </w:p>
        </w:tc>
        <w:tc>
          <w:tcPr/>
          <w:p>
            <w:pPr>
              <w:pStyle w:val="Compact"/>
            </w:pPr>
            <w:r>
              <w:t xml:space="preserve">Lỗ hổng lớn; thiếu dữ liệu công khai để truy vết đối tượng ẩn danh</w:t>
            </w:r>
          </w:p>
        </w:tc>
      </w:tr>
    </w:tbl>
    <w:p>
      <w:pPr>
        <w:pStyle w:val="BodyText"/>
      </w:pPr>
      <w:r>
        <w:rPr>
          <w:i/>
          <w:iCs/>
        </w:rPr>
        <w:t xml:space="preserve">Nguồn: Tổng hợp của tác giả từ các báo cáo chính thức.</w:t>
      </w:r>
    </w:p>
    <w:bookmarkEnd w:id="16"/>
    <w:bookmarkEnd w:id="17"/>
    <w:bookmarkStart w:id="18" w:name="thảo-luận"/>
    <w:p>
      <w:pPr>
        <w:pStyle w:val="Heading2"/>
      </w:pPr>
      <w:r>
        <w:t xml:space="preserve">5. Thảo luận</w:t>
      </w:r>
    </w:p>
    <w:p>
      <w:pPr>
        <w:pStyle w:val="FirstParagraph"/>
      </w:pPr>
      <w:r>
        <w:t xml:space="preserve">Kết quả phân tích định lượng và định tính đã phác họa một sự lệch pha cấu trúc nghiêm trọng trong hệ sinh thái quản trị sở hữu trí tuệ tại Việt Nam. So với các nghiên cứu trước đây vốn chỉ tập trung vào khía cạnh pháp lý đơn thuần, nghiên cứu này bổ sung một lăng kính thực chứng về toàn bộ chuỗi phối hợp. Qua lăng kính của Thuyết Quản trị cộng tác và Thuyết Chi phí giao dịch, thực trạng này được lý giải qua năm khía cạnh lý luận cốt lõi.</w:t>
      </w:r>
    </w:p>
    <w:p>
      <w:pPr>
        <w:pStyle w:val="BodyText"/>
      </w:pPr>
      <w:r>
        <w:rPr>
          <w:b/>
          <w:bCs/>
        </w:rPr>
        <w:t xml:space="preserve">Thứ nhất, bẫy phụ thuộc hành chính trong thiết kế thể chế.</w:t>
      </w:r>
      <w:r>
        <w:t xml:space="preserve"> </w:t>
      </w:r>
      <w:r>
        <w:t xml:space="preserve">Các phân tích trước đây của Sahak và cộng sự thường chỉ ra sự quá tải của cơ quan hành chính, nhưng chưa làm rõ cơ chế dẫn đến sự quá tải này. Mô hình quản lý hiện tại của Việt Nam đang mắc kẹt trong một</w:t>
      </w:r>
      <w:r>
        <w:t xml:space="preserve"> </w:t>
      </w:r>
      <w:r>
        <w:t xml:space="preserve">“bẫy phụ thuộc hành chính”</w:t>
      </w:r>
      <w:r>
        <w:t xml:space="preserve">, nơi các cơ quan thực thi (như Quản lý thị trường, Tòa án, Công an) lệ thuộc tuyệt đối vào ý kiến chuyên môn từ cơ quan quản lý nhà nước về sở hữu trí tuệ để xác định hành vi vi phạm. Từ góc độ Thuyết Quản trị cộng tác, việc thiếu vắng một vai trò lãnh đạo và điều phối đa chiều đã biến nhà nước thành nút thắt cổ chai. Sự vắng bóng của một cơ chế chia sẻ thông tin đa chiều khiến sự phối hợp giữa cơ quan công và tư trở nên rời rạc, không xây dựng được lòng tin thể chế cần thiết để ủy quyền xử lý cho các sàn thương mại điện tử.</w:t>
      </w:r>
    </w:p>
    <w:p>
      <w:pPr>
        <w:pStyle w:val="BodyText"/>
      </w:pPr>
      <w:r>
        <w:rPr>
          <w:b/>
          <w:bCs/>
        </w:rPr>
        <w:t xml:space="preserve">Thứ hai, trạng thái bất đối xứng kép trong nguồn lực và tốc độ.</w:t>
      </w:r>
      <w:r>
        <w:t xml:space="preserve"> </w:t>
      </w:r>
      <w:r>
        <w:t xml:space="preserve">Khác với các nghiên cứu trước đây chỉ nhìn nhận sự bất bình đẳng giữa các nhóm doanh nghiệp, bức tranh thực chứng bộc lộ một trạng thái</w:t>
      </w:r>
      <w:r>
        <w:t xml:space="preserve"> </w:t>
      </w:r>
      <w:r>
        <w:t xml:space="preserve">“bất đối xứng kép”</w:t>
      </w:r>
      <w:r>
        <w:t xml:space="preserve">. Trục bất đối xứng thứ nhất nằm ở tốc độ thích ứng: trong khi quy mô thương mại điện tử tăng tốc phi tuyến tính ở mức 20-25% mỗi năm, thì tốc độ liên thông dữ liệu và tự động hóa quy trình pháp lý của thể chế nhà nước lại gần như giậm chân tại chỗ. Trục bất đối xứng thứ hai nằm ở nguồn lực bảo vệ: các tập đoàn lớn toàn cầu được bảo vệ chủ động bởi hệ thống nhận diện tự động của sàn, trong khi các doanh nghiệp vừa và nhỏ trong nước lại hoàn toàn phơi mình trước rủi ro hàng giả do thiếu hụt công cụ công nghệ. Thuyết Chi phí giao dịch của Coase và Williamson lý giải rằng, sự đứt gãy thông tin này đẩy chi phí tìm kiếm và xác minh vi phạm lên mức cực đại, qua đó triệt tiêu động lực khởi kiện của nhóm doanh nghiệp yếu thế.</w:t>
      </w:r>
    </w:p>
    <w:p>
      <w:pPr>
        <w:pStyle w:val="BodyText"/>
      </w:pPr>
      <w:r>
        <w:rPr>
          <w:b/>
          <w:bCs/>
        </w:rPr>
        <w:t xml:space="preserve">Thứ ba, sự lệch pha giữa bản chất vi phạm và hình thức xử phạt.</w:t>
      </w:r>
      <w:r>
        <w:t xml:space="preserve"> </w:t>
      </w:r>
      <w:r>
        <w:t xml:space="preserve">Dữ liệu từ Bộ Công Thương gợi ý một nghịch lý lớn: vi phạm sở hữu trí tuệ chiếm tỷ trọng rất cao (16,36%), nhưng các hành vi vi phạm trực diện về thương mại điện tử chỉ chiếm 2,19%. Điều này củng cố quan điểm rằng các thủ đoạn xâm phạm trực tuyến tinh vi đang dễ dàng lách qua các bộ lọc kỹ thuật. Các cơ quan chức năng hiện nay mới chỉ tập trung xử lý bề nổi ở khâu tàng trữ hàng hóa vật lý, thay vì áp dụng công nghệ để triệt phá tận gốc dòng tài chính và hệ thống lưu trữ ẩn danh trên môi trường trực tuyến.</w:t>
      </w:r>
    </w:p>
    <w:p>
      <w:pPr>
        <w:pStyle w:val="BodyText"/>
      </w:pPr>
      <w:r>
        <w:rPr>
          <w:b/>
          <w:bCs/>
        </w:rPr>
        <w:t xml:space="preserve">Thứ tư, điểm nghẽn thể chế từ nhà cung cấp dịch vụ mạng và quản lý tên miền.</w:t>
      </w:r>
      <w:r>
        <w:t xml:space="preserve"> </w:t>
      </w:r>
      <w:r>
        <w:t xml:space="preserve">Sự đứt gãy trong cơ chế phối hợp càng bộc lộ rõ khi soi chiếu dưới lăng kính Thuyết Chi phí giao dịch. Lưu lượng truy cập khổng lồ vào các trang web vi phạm (gấp 29 lần trang chính thống) phản ánh sự bất lực của các chế tài hiện hữu. Các nhà cung cấp dịch vụ mạng thiếu cơ sở pháp lý để tự động chặn lọc các tên miền vi phạm, trong khi cơ sở dữ liệu tên miền quốc gia lại thiếu vắng cơ chế công khai thông tin chủ sở hữu. Sự thiếu minh bạch này làm gia tăng chi phí giao dịch cho chủ thể quyền trong quá trình truy vết danh tính đối tượng vi phạm, biến việc thực thi quyền trở thành một gánh nặng tài chính không thể kham nổi đối với phần lớn các cá nhân và tổ chức.</w:t>
      </w:r>
    </w:p>
    <w:p>
      <w:pPr>
        <w:pStyle w:val="BodyText"/>
      </w:pPr>
      <w:r>
        <w:rPr>
          <w:b/>
          <w:bCs/>
        </w:rPr>
        <w:t xml:space="preserve">Thứ năm, giới hạn của sự phối hợp tự nguyện và nhu cầu thiết kế lại thể chế.</w:t>
      </w:r>
      <w:r>
        <w:t xml:space="preserve"> </w:t>
      </w:r>
      <w:r>
        <w:t xml:space="preserve">Các phát hiện trên đều chỉ ra rằng sự phối hợp hiện tại chủ yếu mang tính tự nguyện và thiếu tính ràng buộc liên tục. Thuyết Quản trị cộng tác của Ansell và Gash nhấn mạnh rằng, để một mô hình hợp tác đa chủ thể thành công, cần phải thiết lập một thiết kế thể chế rõ ràng. Tuy nhiên, cũng cần nhìn nhận các cách giải thích thay thế: sự chậm chạp trong liên thông dữ liệu có thể không chỉ xuất phát từ rào cản kỹ thuật mà còn do những e ngại về tính bảo mật dữ liệu quốc gia và quyền riêng tư của người tiêu dùng. Dù vậy, việc thiết lập một quy trình đối thoại minh bạch và chia sẻ dữ liệu liên thông theo thời gian thực vẫn là yêu cầu tiên quyết để giảm thiểu chi phí giao dịch và nâng cao phúc lợi chung.</w:t>
      </w:r>
    </w:p>
    <w:bookmarkEnd w:id="18"/>
    <w:bookmarkStart w:id="19" w:name="định-hướng-giải-pháp"/>
    <w:p>
      <w:pPr>
        <w:pStyle w:val="Heading2"/>
      </w:pPr>
      <w:r>
        <w:t xml:space="preserve">6. Định hướng giải pháp</w:t>
      </w:r>
    </w:p>
    <w:p>
      <w:pPr>
        <w:pStyle w:val="FirstParagraph"/>
      </w:pPr>
      <w:r>
        <w:t xml:space="preserve">Dựa trên những phát hiện về sự đứt gãy trong chuỗi phối hợp đa chủ thể, bài viết đề xuất bốn nhóm giải pháp thiết thực nhằm kiến tạo một cơ chế quản trị cộng tác hiệu quả:</w:t>
      </w:r>
    </w:p>
    <w:p>
      <w:pPr>
        <w:pStyle w:val="BodyText"/>
      </w:pPr>
      <w:r>
        <w:rPr>
          <w:b/>
          <w:bCs/>
        </w:rPr>
        <w:t xml:space="preserve">Thứ nhất, chuẩn hóa quy trình</w:t>
      </w:r>
      <w:r>
        <w:rPr>
          <w:b/>
          <w:bCs/>
        </w:rPr>
        <w:t xml:space="preserve"> </w:t>
      </w:r>
      <w:r>
        <w:rPr>
          <w:b/>
          <w:bCs/>
        </w:rPr>
        <w:t xml:space="preserve">“Thông báo - Xác minh - Gỡ bỏ - Phản đối”</w:t>
      </w:r>
      <w:r>
        <w:rPr>
          <w:b/>
          <w:bCs/>
        </w:rPr>
        <w:t xml:space="preserve">.</w:t>
      </w:r>
      <w:r>
        <w:t xml:space="preserve"> </w:t>
      </w:r>
      <w:r>
        <w:t xml:space="preserve">Cần ban hành các nghị định và thông tư hướng dẫn chi tiết nhằm chuẩn hóa quy trình xử lý khiếu nại giữa các bên. Quy trình này phải định lượng rõ ràng thời hạn phản hồi tối đa cho sàn thương mại điện tử, quy định các trường hợp miễn trừ trách nhiệm pháp lý nếu sàn tuân thủ đúng quy trình, đồng thời thiết lập cơ chế phản đối để bảo vệ quyền lợi hợp pháp của người bán.</w:t>
      </w:r>
    </w:p>
    <w:p>
      <w:pPr>
        <w:pStyle w:val="BodyText"/>
      </w:pPr>
      <w:r>
        <w:rPr>
          <w:b/>
          <w:bCs/>
        </w:rPr>
        <w:t xml:space="preserve">Thứ hai, thí điểm cơ chế chia sẻ dữ liệu liên thông trực tiếp.</w:t>
      </w:r>
      <w:r>
        <w:t xml:space="preserve"> </w:t>
      </w:r>
      <w:r>
        <w:t xml:space="preserve">Cơ quan quản lý nhà nước (Bộ Khoa học và Công nghệ) cần đóng vai trò đầu mối thiết lập một cổng dữ liệu dùng chung. Cơ chế thí điểm này cho phép các lực lượng thực thi và các sàn thương mại điện tử truy xuất theo thời gian thực tình trạng pháp lý của văn bằng bảo hộ. Việc liên thông dữ liệu sẽ loại bỏ các thủ tục xác minh giấy tờ thủ công, cắt giảm đáng kể chi phí giao dịch cho tất cả các bên tham gia.</w:t>
      </w:r>
    </w:p>
    <w:p>
      <w:pPr>
        <w:pStyle w:val="BodyText"/>
      </w:pPr>
      <w:r>
        <w:rPr>
          <w:b/>
          <w:bCs/>
        </w:rPr>
        <w:t xml:space="preserve">Thứ ba, quy định trách nhiệm báo cáo minh bạch định kỳ của các nền tảng.</w:t>
      </w:r>
      <w:r>
        <w:t xml:space="preserve"> </w:t>
      </w:r>
      <w:r>
        <w:t xml:space="preserve">Các sàn thương mại điện tử cần bị ràng buộc bởi nghĩa vụ báo cáo định kỳ về tỷ lệ hàng hóa vi phạm bị gỡ bỏ, tần suất xử lý khiếu nại và số lượng tài khoản bán hàng giả bị khóa vĩnh viễn. Việc công khai hóa các số liệu này không chỉ tạo áp lực cạnh tranh về uy tín giữa các nền tảng, mà còn cung cấp cơ sở dữ liệu thực chứng quan trọng để nhà nước đánh giá và điều chỉnh chính sách kịp thời.</w:t>
      </w:r>
    </w:p>
    <w:p>
      <w:pPr>
        <w:pStyle w:val="BodyText"/>
      </w:pPr>
      <w:r>
        <w:rPr>
          <w:b/>
          <w:bCs/>
        </w:rPr>
        <w:t xml:space="preserve">Thứ tư, mở rộng công cụ bảo vệ quyền cho doanh nghiệp nhỏ và vừa.</w:t>
      </w:r>
      <w:r>
        <w:t xml:space="preserve"> </w:t>
      </w:r>
      <w:r>
        <w:t xml:space="preserve">Cần thiết lập các chính sách hỗ trợ kỹ thuật và pháp lý chuyên biệt nhằm giảm thiểu chi phí tiếp cận công nghệ cho nhóm doanh nghiệp nhỏ và vừa. Các sàn thương mại điện tử cần được khuyến khích, hoặc bắt buộc, mở rộng các cổng thông tin bảo vệ thương hiệu với giao diện thân thiện và miễn phí, giúp nhóm đối tượng yếu thế này có khả năng tự giám sát và gửi yêu cầu gỡ bỏ một cách dễ dàng và hiệu quả.</w:t>
      </w:r>
    </w:p>
    <w:bookmarkEnd w:id="19"/>
    <w:bookmarkStart w:id="20" w:name="kết-luận"/>
    <w:p>
      <w:pPr>
        <w:pStyle w:val="Heading2"/>
      </w:pPr>
      <w:r>
        <w:t xml:space="preserve">7. Kết luận</w:t>
      </w:r>
    </w:p>
    <w:p>
      <w:pPr>
        <w:pStyle w:val="FirstParagraph"/>
      </w:pPr>
      <w:r>
        <w:t xml:space="preserve">Nghiên cứu đã chỉ ra rằng mô hình quản lý hành chính đơn tuyến hiện tại không còn khả năng đối phó với quy mô và tốc độ bùng nổ của các hành vi xâm phạm quyền sở hữu trí tuệ trên sàn thương mại điện tử. Thông qua việc phân tích chuỗi dữ liệu thực chứng và áp dụng Thuyết Quản trị cộng tác, bài viết khẳng định yêu cầu cấp thiết phải thiết lập một cơ chế phối hợp liên thông đa chủ thể. Dù mang lại những góc nhìn định tính sâu sắc, nghiên cứu này vẫn bị giới hạn bởi việc sử dụng số liệu tự công bố của một trường hợp nền tảng đơn lẻ. Hướng nghiên cứu tiếp theo có thể mở rộng quy mô mẫu khảo sát để đo lường trực tiếp mức độ tương quan giữa chi phí đầu tư công nghệ của các nền tảng và tốc độ giảm thiểu vi phạm thực tế, từ đó cung cấp những bằng chứng kinh tế lượng vững chắc hơn cho quá trình hoạch định chính sách tại Việt Nam.</w:t>
      </w:r>
    </w:p>
    <w:p>
      <w:r>
        <w:pict>
          <v:rect style="width:0;height:1.5pt" o:hralign="center" o:hrstd="t" o:hr="t"/>
        </w:pict>
      </w:r>
    </w:p>
    <w:p>
      <w:pPr>
        <w:pStyle w:val="FirstParagraph"/>
      </w:pPr>
      <w:r>
        <w:rPr>
          <w:b/>
          <w:bCs/>
        </w:rPr>
        <w:t xml:space="preserve">Xung đột lợi ích:</w:t>
      </w:r>
      <w:r>
        <w:t xml:space="preserve"> </w:t>
      </w:r>
      <w:r>
        <w:t xml:space="preserve">Nhóm tác giả tuyên bố không có bất kỳ xung đột lợi ích nào liên quan đến việc xuất bản bài báo này.</w:t>
      </w:r>
      <w:r>
        <w:t xml:space="preserve"> </w:t>
      </w:r>
      <w:r>
        <w:rPr>
          <w:b/>
          <w:bCs/>
        </w:rPr>
        <w:t xml:space="preserve">Đóng góp của các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Tác giả cam kết sử dụng dữ liệu thứ cấp từ các nguồn chính thức. Trí tuệ nhân tạo chỉ được sử dụng để hỗ trợ rà soát lỗi chính tả và chuẩn hóa định dạng văn bản, hoàn toàn không can thiệp vào quá trình xây dựng lập luận khoa học hay tạo sinh dữ liệu cốt lõi.</w:t>
      </w:r>
      <w:r>
        <w:t xml:space="preserve"> </w:t>
      </w:r>
      <w:r>
        <w:t xml:space="preserve">***</w:t>
      </w:r>
    </w:p>
    <w:p>
      <w:pPr>
        <w:pStyle w:val="BodyText"/>
      </w:pPr>
      <w:r>
        <w:rPr>
          <w:b/>
          <w:bCs/>
        </w:rPr>
        <w:t xml:space="preserve">Tài liệu tham khảo</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Quốc hội nước Cộng hòa Xã hội Chủ nghĩa Việt Nam. Luật Công nghiệp công nghệ số (Luật số 71/2025/QH15). Hà Nội; 2025.</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Thủ tướng Chính phủ. Chỉ thị số 02/CT-TTg về phát triển chính phủ điện tử hướng tới chính phủ số, thúc đẩy chuyển đổi số quốc gia. Hà Nội; 2022.</w:t>
      </w:r>
    </w:p>
    <w:p>
      <w:pPr>
        <w:pStyle w:val="Compact"/>
        <w:numPr>
          <w:ilvl w:val="0"/>
          <w:numId w:val="1001"/>
        </w:numPr>
      </w:pPr>
      <w:r>
        <w:t xml:space="preserve">Coase RH. The Nature of the Firm. Economica. 1937;4(16):386-405.</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Fisher W. Theories of Intellectual Property. In: Munzer S, editor. New Essays in the Legal and Political Theory of Property. Cambridge: Cambridge University Press; 2001. p. 168-199.</w:t>
      </w:r>
    </w:p>
    <w:p>
      <w:pPr>
        <w:pStyle w:val="Compact"/>
        <w:numPr>
          <w:ilvl w:val="0"/>
          <w:numId w:val="1001"/>
        </w:numPr>
      </w:pPr>
      <w:r>
        <w:t xml:space="preserve">Cục Sở hữu trí tuệ. Báo cáo thường niên hoạt động sở hữu trí tuệ năm 2022, 2023, 2024. Hà Nội; 2025.</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Compact"/>
        <w:numPr>
          <w:ilvl w:val="0"/>
          <w:numId w:val="1001"/>
        </w:numPr>
      </w:pPr>
      <w:r>
        <w:t xml:space="preserve">Shopee. Shopee Brand Protection Annual Report 2022, 2023, 2024, 2025. Singapore: Sea Limited; 2025.</w:t>
      </w:r>
    </w:p>
    <w:p>
      <w:pPr>
        <w:pStyle w:val="Compact"/>
        <w:numPr>
          <w:ilvl w:val="0"/>
          <w:numId w:val="1001"/>
        </w:numPr>
      </w:pPr>
      <w:r>
        <w:t xml:space="preserve">OECD/EUIPO. Risks of Illicit Trade in Counterfeits to Small and Medium-Sized Firms. Paris: OECD Publishing; 2023.</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Nghị viện Châu Âu. Đạo luật Dịch vụ Kỹ thuật số của Liên minh Châu Âu. Strasbourg; 2022.</w:t>
      </w:r>
    </w:p>
    <w:p>
      <w:pPr>
        <w:pStyle w:val="FirstParagraph"/>
      </w:pPr>
      <w:r>
        <w:rPr>
          <w:b/>
          <w:bCs/>
        </w:rPr>
        <w:t xml:space="preserve">Danh mục từ viết tắt</w:t>
      </w:r>
      <w:r>
        <w:t xml:space="preserve"> </w:t>
      </w:r>
      <w:r>
        <w:t xml:space="preserve">* BASCAP: Business Action to Stop Counterfeiting and Piracy (Nỗ lực của Doanh nghiệp để Ngăn chặn Hàng giả và Vi phạm Bản quyền)</w:t>
      </w:r>
      <w:r>
        <w:t xml:space="preserve"> </w:t>
      </w:r>
      <w:r>
        <w:t xml:space="preserve">* EU: European Union (Liên minh Châu Âu)</w:t>
      </w:r>
      <w:r>
        <w:t xml:space="preserve"> </w:t>
      </w:r>
      <w:r>
        <w:t xml:space="preserve">* EUIPO: European Union Intellectual Property Office (Cơ quan Sở hữu trí tuệ Liên minh Châu Âu)</w:t>
      </w:r>
      <w:r>
        <w:t xml:space="preserve"> </w:t>
      </w:r>
      <w:r>
        <w:t xml:space="preserve">* ICC: International Chamber of Commerce (Phòng Thương mại Quốc tế)</w:t>
      </w:r>
      <w:r>
        <w:t xml:space="preserve"> </w:t>
      </w:r>
      <w:r>
        <w:t xml:space="preserve">* OECD: Organization for Economic Cooperation and Development (Tổ chức Hợp tác và Phát triển Kinh tế)</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 (Tổ chức Sở hữu Trí tuệ Thế giới)</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2026-07-19T19:27:42Z</dcterms:created>
  <dcterms:modified xsi:type="dcterms:W3CDTF">2026-07-19T19:27:42Z</dcterms:modified>
</cp:coreProperties>
</file>

<file path=docProps/custom.xml><?xml version="1.0" encoding="utf-8"?>
<Properties xmlns="http://schemas.openxmlformats.org/officeDocument/2006/custom-properties" xmlns:vt="http://schemas.openxmlformats.org/officeDocument/2006/docPropsVTypes"/>
</file>