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Thông tin trang bìa</w:t>
      </w:r>
      <w:r>
        <w:t xml:space="preserve"> </w:t>
      </w:r>
      <w:r>
        <w:t xml:space="preserve">-</w:t>
      </w:r>
      <w:r>
        <w:t xml:space="preserve"> </w:t>
      </w:r>
      <w:r>
        <w:rPr>
          <w:b/>
          <w:bCs/>
        </w:rPr>
        <w:t xml:space="preserve">Tên bài báo:</w:t>
      </w:r>
      <w:r>
        <w:t xml:space="preserve"> </w:t>
      </w:r>
      <w:r>
        <w:t xml:space="preserve">Chuyển đổi mô hình quản lý nhà nước về thực thi quyền sở hữu trí tuệ trên nền tảng số tại Việt Nam: tiếp cận quản trị đa chủ thể</w:t>
      </w:r>
      <w:r>
        <w:t xml:space="preserve"> </w:t>
      </w:r>
      <w:r>
        <w:t xml:space="preserve">-</w:t>
      </w:r>
      <w:r>
        <w:t xml:space="preserve"> </w:t>
      </w:r>
      <w:r>
        <w:rPr>
          <w:b/>
          <w:bCs/>
        </w:rPr>
        <w:t xml:space="preserve">Họ và tên tác giả:</w:t>
      </w:r>
      <w:r>
        <w:t xml:space="preserve"> </w:t>
      </w:r>
      <w:r>
        <w:t xml:space="preserve">Điền họ và tên</w:t>
      </w:r>
      <w:r>
        <w:t xml:space="preserve"> </w:t>
      </w:r>
      <w:r>
        <w:t xml:space="preserve">-</w:t>
      </w:r>
      <w:r>
        <w:t xml:space="preserve"> </w:t>
      </w:r>
      <w:r>
        <w:rPr>
          <w:b/>
          <w:bCs/>
        </w:rPr>
        <w:t xml:space="preserve">Đơn vị công tác:</w:t>
      </w:r>
      <w:r>
        <w:t xml:space="preserve"> </w:t>
      </w:r>
      <w:r>
        <w:t xml:space="preserve">Điền tên cơ quan</w:t>
      </w:r>
      <w:r>
        <w:t xml:space="preserve"> </w:t>
      </w:r>
      <w:r>
        <w:t xml:space="preserve">-</w:t>
      </w:r>
      <w:r>
        <w:t xml:space="preserve"> </w:t>
      </w:r>
      <w:r>
        <w:rPr>
          <w:b/>
          <w:bCs/>
        </w:rPr>
        <w:t xml:space="preserve">Email:</w:t>
      </w:r>
      <w:r>
        <w:t xml:space="preserve"> </w:t>
      </w:r>
      <w:r>
        <w:t xml:space="preserve">Điền email</w:t>
      </w:r>
      <w:r>
        <w:t xml:space="preserve"> </w:t>
      </w:r>
      <w:r>
        <w:t xml:space="preserve">-</w:t>
      </w:r>
      <w:r>
        <w:t xml:space="preserve"> </w:t>
      </w:r>
      <w:r>
        <w:rPr>
          <w:b/>
          <w:bCs/>
        </w:rPr>
        <w:t xml:space="preserve">Tác giả liên hệ:</w:t>
      </w:r>
      <w:r>
        <w:t xml:space="preserve"> </w:t>
      </w:r>
      <w:r>
        <w:t xml:space="preserve">Điền tên bạn</w:t>
      </w:r>
      <w:r>
        <w:t xml:space="preserve"> </w:t>
      </w:r>
      <w:r>
        <w:t xml:space="preserve">***</w:t>
      </w:r>
    </w:p>
    <w:p>
      <w:pPr>
        <w:pStyle w:val="BodyText"/>
      </w:pPr>
      <w:r>
        <w:rPr>
          <w:b/>
          <w:bCs/>
        </w:rPr>
        <w:t xml:space="preserve">Tóm tắt</w:t>
      </w:r>
      <w:r>
        <w:t xml:space="preserve"> </w:t>
      </w:r>
      <w:r>
        <w:t xml:space="preserve">Sự xuất hiện của các nền tảng số và sự gia tăng của năng lực tự điều tiết từ khu vực tư nhân đang đặt ra yêu cầu cấp thiết về việc chuyển đổi mô hình quản lý nhà nước trong thực thi quyền sở hữu trí tuệ. Nghiên cứu này đánh giá giới hạn của mô hình quản lý hành chính đơn tuyến hiện hành tại Việt Nam và phân tích sự cần thiết phải chuyển dịch sang mô hình quản trị đa chủ thể. Dựa trên Thuyết Quản trị cộng tác, Thuyết Quản trị số và Thuyết Chi phí giao dịch, bài viết sử dụng phương pháp phân tích chính sách và phân tích dữ liệu thứ cấp nhằm làm rõ thực trạng phối hợp giữa cơ quan nhà nước, nền tảng số và chủ thể quyền. Bằng chứng từ cơ quan thực thi nhà nước và năng lực công nghệ của nền tảng tư nhân gợi ý rằng, Nhà nước cần thay đổi vai trò từ việc trực tiếp giải quyết sự vụ sang kiến tạo và điều phối một mạng lưới thực thi liên thông dữ liệu. Nghiên cứu đề xuất các định hướng nhằm thiết lập đầu mối điều phối, chuẩn hóa quy trình và ràng buộc trách nhiệm giải trình của nền tảng, tạo tiền đề lý luận cho việc hoàn thiện thể chế quản lý nhà nước.</w:t>
      </w:r>
    </w:p>
    <w:p>
      <w:pPr>
        <w:pStyle w:val="BodyText"/>
      </w:pPr>
      <w:r>
        <w:rPr>
          <w:b/>
          <w:bCs/>
        </w:rPr>
        <w:t xml:space="preserve">Từ khóa:</w:t>
      </w:r>
      <w:r>
        <w:t xml:space="preserve"> </w:t>
      </w:r>
      <w:r>
        <w:t xml:space="preserve">Quản lý nhà nước; Phối hợp đa chủ thể; Quyền sở hữu trí tuệ; Nền tảng số; Quản trị cộng tác.</w:t>
      </w:r>
    </w:p>
    <w:bookmarkStart w:id="9" w:name="giới-thiệu"/>
    <w:p>
      <w:pPr>
        <w:pStyle w:val="Heading2"/>
      </w:pPr>
      <w:r>
        <w:t xml:space="preserve">1. Giới thiệu</w:t>
      </w:r>
    </w:p>
    <w:p>
      <w:pPr>
        <w:pStyle w:val="FirstParagraph"/>
      </w:pPr>
      <w:r>
        <w:t xml:space="preserve">Quản lý nhà nước về quyền sở hữu trí tuệ đang đứng trước những thách thức chưa từng có trong kỷ nguyên kinh tế số</w:t>
      </w:r>
      <w:r>
        <w:t xml:space="preserve">1</w:t>
      </w:r>
      <w:r>
        <w:t xml:space="preserve">. Sự bùng nổ của giao dịch trực tuyến đã biến các nền tảng số trở thành trung tâm của chuỗi cung ứng, nhưng cũng đồng thời tạo ra môi trường thuận lợi cho các hành vi xâm phạm quyền, đặc biệt là vi phạm nhãn hiệu và buôn bán hàng hóa giả mạo. Tại Việt Nam, quy mô thương mại điện tử không ngừng mở rộng với tốc độ trên 20% mỗi năm</w:t>
      </w:r>
      <w:r>
        <w:t xml:space="preserve">2</w:t>
      </w:r>
      <w:r>
        <w:t xml:space="preserve">, tạo ra một áp lực khổng lồ làm bộc lộ những giới hạn của mô hình thực thi hành chính đơn tuyến truyền thống. Các cơ quan quản lý và lực lượng thực thi đối mặt với tình trạng quá tải khi phải xử lý theo từng vụ việc đơn lẻ trên một không gian mạng xuyên biên giới.</w:t>
      </w:r>
    </w:p>
    <w:p>
      <w:pPr>
        <w:pStyle w:val="BodyText"/>
      </w:pPr>
      <w:r>
        <w:t xml:space="preserve">Trước bối cảnh đó, sự phát triển năng lực công nghệ tự điều tiết của một số nền tảng quy mô lớn đang định hình lại phương thức giải quyết vi phạm. Tuy nhiên, sự xuất hiện của các bộ lọc trí tuệ nhân tạo từ khu vực tư nhân không thay thế vai trò của Nhà nước, mà ngược lại, đặt ra yêu cầu cấp bách về việc chuyển đổi mô hình quản lý nhà nước. Mô hình quản lý hiện tại cần phải được tái cấu trúc, từ chỗ Nhà nước đóng vai trò trung tâm trực tiếp xử lý vi phạm sang vai trò kiến tạo, điều phối và giám sát một mạng lưới thực thi đa chủ thể.</w:t>
      </w:r>
    </w:p>
    <w:p>
      <w:pPr>
        <w:pStyle w:val="BodyText"/>
      </w:pPr>
      <w:r>
        <w:t xml:space="preserve">Nghiên cứu này nhằm đi sâu vào một nội dung cốt lõi của quản lý nhà nước: tổ chức phối hợp thực thi quyền sở hữu trí tuệ trên nền tảng số. Cụ thể, bài viết trả lời bốn câu hỏi nghiên cứu: (1) Mô hình quản lý nhà nước hiện hành có những đặc điểm gì? (2) Vai trò và cơ chế phối hợp giữa các bên hiện được thiết lập như thế nào? (3) Những điểm nghẽn nào về thể chế và dữ liệu đang hạn chế hiệu quả phối hợp? và (4) Việt Nam cần chuyển đổi mô hình quản lý theo hướng nào để hình thành cơ chế quản trị đa chủ thể hiệu quả? Trong phạm vi bài viết, nền tảng thương mại điện tử được lựa chọn làm lĩnh vực khảo sát trọng tâm, bởi đây là loại hình nền tảng có sự tham gia rõ nét của cơ quan quản lý nhà nước, doanh nghiệp nền tảng và chủ thể quyền, đồng thời có nguồn dữ liệu công khai tương đối đầy đủ. Các kết luận từ trường hợp này được sử dụng để nhận diện vấn đề quản lý, không được khái quát tự động cho mọi loại hình nền tảng số.</w:t>
      </w:r>
    </w:p>
    <w:bookmarkEnd w:id="9"/>
    <w:bookmarkStart w:id="12" w:name="tổng-quan-nghiên-cứu-và-khung-phân-tích"/>
    <w:p>
      <w:pPr>
        <w:pStyle w:val="Heading2"/>
      </w:pPr>
      <w:r>
        <w:t xml:space="preserve">2. Tổng quan nghiên cứu và Khung phân tích</w:t>
      </w:r>
    </w:p>
    <w:bookmarkStart w:id="10" w:name="tổng-quan-nghiên-cứu"/>
    <w:p>
      <w:pPr>
        <w:pStyle w:val="Heading3"/>
      </w:pPr>
      <w:r>
        <w:t xml:space="preserve">2.1. Tổng quan nghiên cứu</w:t>
      </w:r>
    </w:p>
    <w:p>
      <w:pPr>
        <w:pStyle w:val="FirstParagraph"/>
      </w:pPr>
      <w:r>
        <w:t xml:space="preserve">Sự chuyển dịch mô hình quản lý nhà nước đối với quyền sở hữu trí tuệ trên môi trường số đã thu hút sự chú ý của nhiều học giả trong và ngoài nước. Các công trình nghiên cứu hiện nay được chia thành hai nhóm: nghiên cứu quốc tế chú trọng khung lý thuyết và trách nhiệm nền tảng, nghiên cứu trong nước tập trung vào thực thi đặc thù tại Việt Nam.</w:t>
      </w:r>
    </w:p>
    <w:p>
      <w:pPr>
        <w:pStyle w:val="BodyText"/>
      </w:pPr>
      <w:r>
        <w:rPr>
          <w:b/>
          <w:bCs/>
        </w:rPr>
        <w:t xml:space="preserve">Các công trình nghiên cứu quốc tế:</w:t>
      </w:r>
      <w:r>
        <w:t xml:space="preserve"> </w:t>
      </w:r>
      <w:r>
        <w:t xml:space="preserve">Bagherpour</w:t>
      </w:r>
      <w:r>
        <w:t xml:space="preserve">3</w:t>
      </w:r>
      <w:r>
        <w:t xml:space="preserve"> </w:t>
      </w:r>
      <w:r>
        <w:t xml:space="preserve">chỉ ra sự đứt gãy của hệ thống pháp luật truyền thống khi áp dụng vào môi trường mạng. Kế thừa quan điểm này, báo cáo của OECD</w:t>
      </w:r>
      <w:r>
        <w:t xml:space="preserve">4</w:t>
      </w:r>
      <w:r>
        <w:t xml:space="preserve"> </w:t>
      </w:r>
      <w:r>
        <w:t xml:space="preserve">cung cấp bằng chứng thực nghiệm cho thấy các hàng rào kiểm soát đã bị vô hiệu hóa bởi thương mại điện tử. Để bù đắp sự thiếu hụt này, Torous</w:t>
      </w:r>
      <w:r>
        <w:t xml:space="preserve">5</w:t>
      </w:r>
      <w:r>
        <w:t xml:space="preserve"> </w:t>
      </w:r>
      <w:r>
        <w:t xml:space="preserve">định hình cách tiếp cận tích hợp công nghệ quản trị bản quyền số. Sự bế tắc của các công cụ kiểm soát hành chính đơn lẻ thúc đẩy các nghiên cứu chuyển hướng sang các mô hình quản trị chia sẻ. Sahak và cộng sự</w:t>
      </w:r>
      <w:r>
        <w:t xml:space="preserve">6</w:t>
      </w:r>
      <w:r>
        <w:t xml:space="preserve"> </w:t>
      </w:r>
      <w:r>
        <w:t xml:space="preserve">làm rõ sự bất cập của việc áp đặt trách nhiệm đơn phương lên nhà nước, từ đó định hình xu hướng mới: chuyển từ kiểm soát hành chính sang cơ chế chia sẻ trách nhiệm với doanh nghiệp nền tảng.</w:t>
      </w:r>
    </w:p>
    <w:p>
      <w:pPr>
        <w:pStyle w:val="BodyText"/>
      </w:pPr>
      <w:r>
        <w:rPr>
          <w:b/>
          <w:bCs/>
        </w:rPr>
        <w:t xml:space="preserve">Các công trình nghiên cứu trong nước:</w:t>
      </w:r>
      <w:r>
        <w:t xml:space="preserve"> </w:t>
      </w:r>
      <w:r>
        <w:t xml:space="preserve">Dưới góc độ vi mô, Phạm Quốc Trung và Đặng Nhựt Minh</w:t>
      </w:r>
      <w:r>
        <w:t xml:space="preserve">7</w:t>
      </w:r>
      <w:r>
        <w:t xml:space="preserve"> </w:t>
      </w:r>
      <w:r>
        <w:t xml:space="preserve">đóng góp bằng chứng thực nghiệm về yếu tố hành vi vi phạm bản quyền số. Ở tầm vĩ mô, Trần Thị Lan</w:t>
      </w:r>
      <w:r>
        <w:t xml:space="preserve">8</w:t>
      </w:r>
      <w:r>
        <w:t xml:space="preserve"> </w:t>
      </w:r>
      <w:r>
        <w:t xml:space="preserve">và Trần Nguyễn Mỹ Linh cùng cộng sự</w:t>
      </w:r>
      <w:r>
        <w:t xml:space="preserve">9</w:t>
      </w:r>
      <w:r>
        <w:t xml:space="preserve"> </w:t>
      </w:r>
      <w:r>
        <w:t xml:space="preserve">định lượng sự chênh lệch giữa tốc độ phát triển của nền tảng số và năng lực đáp ứng của cơ quan hành chính. Về mặt pháp lý, Nguyễn Trọng Quang</w:t>
      </w:r>
      <w:r>
        <w:t xml:space="preserve">10</w:t>
      </w:r>
      <w:r>
        <w:t xml:space="preserve"> </w:t>
      </w:r>
      <w:r>
        <w:t xml:space="preserve">làm rõ việc các cơ chế kiểm tra truyền thống bị vô hiệu hóa trước thuật toán trí tuệ nhân tạo. Lâm Xuân Hùng</w:t>
      </w:r>
      <w:r>
        <w:t xml:space="preserve">11</w:t>
      </w:r>
      <w:r>
        <w:t xml:space="preserve"> </w:t>
      </w:r>
      <w:r>
        <w:t xml:space="preserve">chỉ ra nhu cầu thay thế cơ chế thực thi đơn tuyến, và Nguyễn Hồ Bích Hằng</w:t>
      </w:r>
      <w:r>
        <w:t xml:space="preserve">12</w:t>
      </w:r>
      <w:r>
        <w:t xml:space="preserve"> </w:t>
      </w:r>
      <w:r>
        <w:t xml:space="preserve">đề xuất mô hình liên thông dữ liệu trực tiếp giữa hải quan, quản lý thị trường và các sàn thương mại điện tử.</w:t>
      </w:r>
    </w:p>
    <w:p>
      <w:pPr>
        <w:pStyle w:val="BodyText"/>
      </w:pPr>
      <w:r>
        <w:rPr>
          <w:b/>
          <w:bCs/>
        </w:rPr>
        <w:t xml:space="preserve">Khoảng trống nghiên cứu:</w:t>
      </w:r>
      <w:r>
        <w:t xml:space="preserve"> </w:t>
      </w:r>
      <w:r>
        <w:t xml:space="preserve">Mặc dù các nghiên cứu trong nước</w:t>
      </w:r>
      <w:r>
        <w:t xml:space="preserve">11,12</w:t>
      </w:r>
      <w:r>
        <w:t xml:space="preserve"> </w:t>
      </w:r>
      <w:r>
        <w:t xml:space="preserve">đã chạm đến nhu cầu phối hợp liên ngành, song vẫn tồn tại khoảng cách lớn giữa lý thuyết và ứng dụng. Các nghiên cứu hiện có chủ yếu xem xét riêng biệt trách nhiệm pháp lý của nền tảng hoặc thẩm quyền của cơ quan nhà nước. Trong khi đó, còn thiếu nghiên cứu phân tích toàn bộ chuỗi phối hợp giữa các chủ thể nhằm làm rõ sự cần thiết phải chuyển đổi vai trò của Nhà nước từ người trực tiếp xử lý sự vụ sang vai trò kiến tạo, điều phối mạng lưới thực thi đa chủ thể. Đây chính là khoảng trống nghiên cứu mà bài viết tập trung giải quyết.</w:t>
      </w:r>
    </w:p>
    <w:bookmarkEnd w:id="10"/>
    <w:bookmarkStart w:id="11" w:name="khung-lý-thuyết-và-khung-phân-tích"/>
    <w:p>
      <w:pPr>
        <w:pStyle w:val="Heading3"/>
      </w:pPr>
      <w:r>
        <w:t xml:space="preserve">2.2. Khung lý thuyết và Khung phân tích</w:t>
      </w:r>
    </w:p>
    <w:p>
      <w:pPr>
        <w:pStyle w:val="FirstParagraph"/>
      </w:pPr>
      <w:r>
        <w:t xml:space="preserve">Nghiên cứu này được phát triển dựa trên sự giao thoa của ba nền tảng lý thuyết:</w:t>
      </w:r>
    </w:p>
    <w:p>
      <w:pPr>
        <w:pStyle w:val="BodyText"/>
      </w:pPr>
      <w:r>
        <w:rPr>
          <w:b/>
          <w:bCs/>
        </w:rPr>
        <w:t xml:space="preserve">Thứ nhất, Thuyết Quản trị cộng tác của Ansell và Gash</w:t>
      </w:r>
      <w:r>
        <w:rPr>
          <w:b/>
          <w:bCs/>
        </w:rPr>
        <w:t xml:space="preserve">13</w:t>
      </w:r>
      <w:r>
        <w:rPr>
          <w:b/>
          <w:bCs/>
        </w:rPr>
        <w:t xml:space="preserve">.</w:t>
      </w:r>
      <w:r>
        <w:t xml:space="preserve"> </w:t>
      </w:r>
      <w:r>
        <w:t xml:space="preserve">Lý thuyết này đóng vai trò lõi, giải thích sự cần thiết của việc lôi kéo nhiều bên tham gia vào giải quyết một vấn đề công. Nó nhấn mạnh việc thiết kế cơ chế, xây dựng lòng tin, chia sẻ nguồn lực và khẳng định vai trò không thể thay thế của Nhà nước trong việc dẫn dắt và thiết lập quy tắc cuộc chơi. Theo Thuyết vị lợi của Fisher</w:t>
      </w:r>
      <w:r>
        <w:t xml:space="preserve">14</w:t>
      </w:r>
      <w:r>
        <w:t xml:space="preserve">, mục tiêu cốt lõi là bảo vệ sự cân bằng và công bằng nhằm khuyến khích đổi mới sáng tạo, nhưng quá trình đó cần sự cộng tác thay vì áp đặt đơn phương từ phía bộ máy hành chính.</w:t>
      </w:r>
    </w:p>
    <w:p>
      <w:pPr>
        <w:pStyle w:val="BodyText"/>
      </w:pPr>
      <w:r>
        <w:rPr>
          <w:b/>
          <w:bCs/>
        </w:rPr>
        <w:t xml:space="preserve">Thứ hai, Thuyết Quản trị số.</w:t>
      </w:r>
      <w:r>
        <w:t xml:space="preserve"> </w:t>
      </w:r>
      <w:r>
        <w:t xml:space="preserve">Lý thuyết này cung cấp định hướng về phương thức quản lý nhà nước mới dựa trên dữ liệu. Nó giải thích tầm quan trọng của việc số hóa quy trình, kết nối hệ thống liên thông và yêu cầu tính minh bạch trong giải trình. Trong môi trường nền tảng, quản trị số đòi hỏi sự tương tác trực tiếp bằng công nghệ và thuật toán, qua đó Nhà nước quản lý bằng dữ liệu thay cho các văn bản hành chính truyền thống.</w:t>
      </w:r>
    </w:p>
    <w:p>
      <w:pPr>
        <w:pStyle w:val="BodyText"/>
      </w:pPr>
      <w:r>
        <w:rPr>
          <w:b/>
          <w:bCs/>
        </w:rPr>
        <w:t xml:space="preserve">Thứ ba, Thuyết Chi phí giao dịch của Coase và Williamson</w:t>
      </w:r>
      <w:r>
        <w:rPr>
          <w:b/>
          <w:bCs/>
        </w:rPr>
        <w:t xml:space="preserve">15,16</w:t>
      </w:r>
      <w:r>
        <w:rPr>
          <w:b/>
          <w:bCs/>
        </w:rPr>
        <w:t xml:space="preserve">.</w:t>
      </w:r>
      <w:r>
        <w:t xml:space="preserve"> </w:t>
      </w:r>
      <w:r>
        <w:t xml:space="preserve">Việc thiếu vắng một cơ chế phối hợp và chia sẻ dữ liệu liên thông trực tiếp làm phát sinh các chi phí khổng lồ: chi phí tìm kiếm vi phạm, chi phí xác minh quyền, chi phí thu thập chứng cứ và chi phí giám sát sự tuân thủ. Lý thuyết này giải thích vì sao một hệ thống quản lý phân tán sẽ thất bại do chi phí thực thi vượt quá khả năng chịu đựng của cả Nhà nước và doanh nghiệp.</w:t>
      </w:r>
    </w:p>
    <w:p>
      <w:pPr>
        <w:pStyle w:val="BodyText"/>
      </w:pPr>
      <w:r>
        <w:t xml:space="preserve">Dựa trên ba nền tảng này, bài viết xây dựng</w:t>
      </w:r>
      <w:r>
        <w:t xml:space="preserve"> </w:t>
      </w:r>
      <w:r>
        <w:rPr>
          <w:b/>
          <w:bCs/>
        </w:rPr>
        <w:t xml:space="preserve">khung phân tích 6 phương diện</w:t>
      </w:r>
      <w:r>
        <w:t xml:space="preserve"> </w:t>
      </w:r>
      <w:r>
        <w:t xml:space="preserve">để đánh giá sự chuyển đổi của mô hình quản lý nhà nước: (1) Vai trò Nhà nước; (2) Chủ thể tham gia; (3) Phương thức thực thi; (4) Khả năng liên thông dữ liệu; (5) Trách nhiệm của nền tảng; và (6) Tiêu chí đánh giá kết quả thực thi.</w:t>
      </w:r>
    </w:p>
    <w:bookmarkEnd w:id="11"/>
    <w:bookmarkEnd w:id="12"/>
    <w:bookmarkStart w:id="13" w:name="phương-pháp-nghiên-cứu"/>
    <w:p>
      <w:pPr>
        <w:pStyle w:val="Heading2"/>
      </w:pPr>
      <w:r>
        <w:t xml:space="preserve">3. Phương pháp nghiên cứu</w:t>
      </w:r>
    </w:p>
    <w:p>
      <w:pPr>
        <w:pStyle w:val="FirstParagraph"/>
      </w:pPr>
      <w:r>
        <w:t xml:space="preserve">Nghiên cứu sử dụng tổng hợp các phương pháp định tính và dữ liệu thứ cấp nhằm làm rõ thực trạng và đề xuất hướng chuyển đổi mô hình quản lý nhà nước. Trong phạm vi bài viết, nền tảng thương mại điện tử được lựa chọn làm lĩnh vực khảo sát trọng tâm.</w:t>
      </w:r>
    </w:p>
    <w:p>
      <w:pPr>
        <w:pStyle w:val="BodyText"/>
      </w:pPr>
      <w:r>
        <w:rPr>
          <w:b/>
          <w:bCs/>
        </w:rPr>
        <w:t xml:space="preserve">Thiết kế nghiên cứu:</w:t>
      </w:r>
      <w:r>
        <w:t xml:space="preserve"> </w:t>
      </w:r>
      <w:r>
        <w:t xml:space="preserve">Nghiên cứu được thiết kế theo hướng phân tích chính sách và thể chế, kết hợp thống kê mô tả dữ liệu thứ cấp và nghiên cứu trường hợp minh họa. Thiết kế này cho phép đánh giá toàn diện sự chuyển dịch quyền lực và trách nhiệm giữa Nhà nước, nền tảng số và chủ thể quyền, đồng thời đo lường hiệu quả thực thi thông qua các bằng chứng thực tiễn.</w:t>
      </w:r>
    </w:p>
    <w:p>
      <w:pPr>
        <w:pStyle w:val="BodyText"/>
      </w:pPr>
      <w:r>
        <w:rPr>
          <w:b/>
          <w:bCs/>
        </w:rPr>
        <w:t xml:space="preserve">Đơn vị phân tích:</w:t>
      </w:r>
      <w:r>
        <w:t xml:space="preserve"> </w:t>
      </w:r>
      <w:r>
        <w:t xml:space="preserve">Các quy định, cơ chế, và quy trình phối hợp giữa cơ quan nhà nước, doanh nghiệp nền tảng và chủ thể quyền trong quá trình thực thi quyền sở hữu trí tuệ.</w:t>
      </w:r>
    </w:p>
    <w:p>
      <w:pPr>
        <w:pStyle w:val="BodyText"/>
      </w:pPr>
      <w:r>
        <w:rPr>
          <w:b/>
          <w:bCs/>
        </w:rPr>
        <w:t xml:space="preserve">Phạm vi tài liệu:</w:t>
      </w:r>
      <w:r>
        <w:t xml:space="preserve"> </w:t>
      </w:r>
      <w:r>
        <w:t xml:space="preserve">Giai đoạn nghiên cứu tập trung vào sự chuyển biến thể chế và số liệu thực thi trong giai đoạn 2022-2025, tương ứng với chu kỳ áp dụng Luật Sở hữu trí tuệ sửa đổi và bùng nổ của các nền tảng thương mại điện tử thế hệ mới. Tập tài liệu được phân tích bao gồm bốn nhóm chính: (1) Nhóm văn bản quy phạm pháp luật (Luật Sở hữu trí tuệ, Luật Công nghiệp công nghệ số, các Nghị quyết và Chỉ thị về chuyển đổi số); (2) Nhóm báo cáo của cơ quan nhà nước (Báo cáo thường niên Cục Sở hữu trí tuệ, Sách trắng Thương mại điện tử, Báo cáo Tổng cục Quản lý thị trường); (3) Nhóm báo cáo tự công bố của doanh nghiệp nền tảng (chuỗi Báo cáo thường niên bảo vệ thương hiệu Shopee từ 2022 đến 2025); và (4) Nhóm tài liệu quốc tế (các hướng dẫn của OECD/EUIPO, BASCAP, Đạo luật DSA của EU).</w:t>
      </w:r>
    </w:p>
    <w:p>
      <w:pPr>
        <w:pStyle w:val="BodyText"/>
      </w:pPr>
      <w:r>
        <w:rPr>
          <w:b/>
          <w:bCs/>
        </w:rPr>
        <w:t xml:space="preserve">Quy trình phân tích:</w:t>
      </w:r>
      <w:r>
        <w:t xml:space="preserve"> </w:t>
      </w:r>
      <w:r>
        <w:t xml:space="preserve">Mỗi tài liệu được lựa chọn và mã hóa dựa trên 6 phương diện của khung phân tích: vai trò Nhà nước, cấu trúc chủ thể tham gia, phương thức thực thi, khả năng liên thông dữ liệu, trách nhiệm giải trình của nền tảng và tiêu chí đánh giá kết quả. Cụ thể, các quy định pháp luật được phân tách để nhận diện độ trễ của thiết kế thể chế; số liệu của cơ quan nhà nước được tổng hợp để định lượng quy mô áp lực lên bộ máy hành chính; và dữ liệu từ nền tảng được trích xuất để phân tích năng lực tự điều tiết bằng công nghệ. Việc chọn lọc báo cáo Shopee làm nghiên cứu trường hợp không nhằm khái quát hóa cho toàn thị trường, mà để cung cấp minh chứng rõ nét về một mô hình nội bộ đang vận hành bằng thuật toán, tạo chất xúc tác đối lập với mô hình quản lý đơn tuyến.</w:t>
      </w:r>
    </w:p>
    <w:p>
      <w:pPr>
        <w:pStyle w:val="BodyText"/>
      </w:pPr>
      <w:r>
        <w:rPr>
          <w:b/>
          <w:bCs/>
        </w:rPr>
        <w:t xml:space="preserve">Kiểm chứng:</w:t>
      </w:r>
      <w:r>
        <w:t xml:space="preserve"> </w:t>
      </w:r>
      <w:r>
        <w:t xml:space="preserve">Để đảm bảo tính khách quan, nghiên cứu thực hiện đối chiếu chéo (triangulation) giữa ba nguồn thông tin: thiết kế thể chế từ Nhà nước, kết quả tự báo cáo của doanh nghiệp, và nhận định từ các nghiên cứu học thuật quốc tế. Các dữ liệu tự công bố của nền tảng được xử lý một cách thận trọng dưới góc nhìn quản trị rủi ro; nghiên cứu không sử dụng một nguồn đơn lẻ nào để khẳng định hiệu quả của toàn bộ hệ thống thực thi, mà tập trung khai thác khoảng cách giữa thực tế vận hành và khung pháp lý nhằm tìm ra điểm nghẽn cốt lõi.</w:t>
      </w:r>
    </w:p>
    <w:bookmarkEnd w:id="13"/>
    <w:bookmarkStart w:id="19" w:name="kết-quả-nghiên-cứu"/>
    <w:p>
      <w:pPr>
        <w:pStyle w:val="Heading2"/>
      </w:pPr>
      <w:r>
        <w:t xml:space="preserve">4. Kết quả nghiên cứu</w:t>
      </w:r>
    </w:p>
    <w:p>
      <w:pPr>
        <w:pStyle w:val="FirstParagraph"/>
      </w:pPr>
      <w:r>
        <w:t xml:space="preserve">Kết quả phân tích từ dữ liệu thứ cấp và các văn bản pháp lý được tổ chức theo sáu phương diện của khung phân tích, nhằm làm rõ sự dịch chuyển và các điểm nghẽn của mô hình hiện hành.</w:t>
      </w:r>
    </w:p>
    <w:bookmarkStart w:id="14" w:name="vai-trò-nhà-nước-và-cấu-trúc-các-chủ-thể"/>
    <w:p>
      <w:pPr>
        <w:pStyle w:val="Heading3"/>
      </w:pPr>
      <w:r>
        <w:t xml:space="preserve">4.1. Vai trò Nhà nước và cấu trúc các chủ thể</w:t>
      </w:r>
    </w:p>
    <w:p>
      <w:pPr>
        <w:pStyle w:val="FirstParagraph"/>
      </w:pPr>
      <w:r>
        <w:t xml:space="preserve">Khung pháp lý về bảo vệ quyền sở hữu trí tuệ đã có những bước chuyển biến, điển hình là việc bổ sung Điều 198b trong Luật Sở hữu trí tuệ năm 2022</w:t>
      </w:r>
      <w:r>
        <w:t xml:space="preserve">15</w:t>
      </w:r>
      <w:r>
        <w:t xml:space="preserve"> </w:t>
      </w:r>
      <w:r>
        <w:t xml:space="preserve">để định danh trách nhiệm pháp lý của doanh nghiệp cung cấp dịch vụ trung gian. Tuy nhiên, nhìn tổng thể, mô hình quản lý nhà nước hiện nay vẫn mang nặng tính chất hành chính. Nhà nước vẫn đặt mình vào vị trí trung tâm, trực tiếp thụ lý và giải quyết từng vụ việc khiếu nại thay vì đóng vai trò thiết lập khuôn khổ thể chế và điều phối hệ thống. Các chủ thể khác, đặc biệt là nền tảng, vẫn đóng vai trò thụ động, chỉ thực thi gỡ bỏ khi có công văn hành chính ép buộc, trong khi chủ thể quyền thường phải tự gánh chịu chi phí phát hiện vi phạm khổng lồ trên mạng lưới phân tán.</w:t>
      </w:r>
    </w:p>
    <w:bookmarkEnd w:id="14"/>
    <w:bookmarkStart w:id="15" w:name="Xf36d942845e757982a2763b934c07197e3a7bd7"/>
    <w:p>
      <w:pPr>
        <w:pStyle w:val="Heading3"/>
      </w:pPr>
      <w:r>
        <w:t xml:space="preserve">4.2. Quy trình phối hợp trong phát hiện và xử lý vi phạm</w:t>
      </w:r>
    </w:p>
    <w:p>
      <w:pPr>
        <w:pStyle w:val="FirstParagraph"/>
      </w:pPr>
      <w:r>
        <w:t xml:space="preserve">Việc duy trì quy trình giải quyết sự vụ đơn lẻ dẫn đến sự đứt gãy trong chuỗi phối hợp giữa Nhà nước, nền tảng và chủ thể quyền. Bảng 2 mô phỏng bản đồ phối hợp hiện tại, cho thấy sự rời rạc giữa các bên ở từng giai đoạn thực thi.</w:t>
      </w:r>
    </w:p>
    <w:p>
      <w:pPr>
        <w:pStyle w:val="BodyText"/>
      </w:pPr>
      <w:r>
        <w:rPr>
          <w:b/>
          <w:bCs/>
        </w:rPr>
        <w:t xml:space="preserve">Bảng 2: Bản đồ chuỗi phối hợp đa chủ thể trong xử lý vi phạm trực tuyến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Giai đoạn</w:t>
            </w:r>
          </w:p>
        </w:tc>
        <w:tc>
          <w:tcPr/>
          <w:p>
            <w:pPr>
              <w:pStyle w:val="Compact"/>
            </w:pPr>
            <w:r>
              <w:t xml:space="preserve">Cơ quan nhà nước</w:t>
            </w:r>
          </w:p>
        </w:tc>
        <w:tc>
          <w:tcPr/>
          <w:p>
            <w:pPr>
              <w:pStyle w:val="Compact"/>
            </w:pPr>
            <w:r>
              <w:t xml:space="preserve">Nền tảng số</w:t>
            </w:r>
          </w:p>
        </w:tc>
        <w:tc>
          <w:tcPr/>
          <w:p>
            <w:pPr>
              <w:pStyle w:val="Compact"/>
            </w:pPr>
            <w:r>
              <w:t xml:space="preserve">Chủ thể quyền</w:t>
            </w:r>
          </w:p>
        </w:tc>
        <w:tc>
          <w:tcPr/>
          <w:p>
            <w:pPr>
              <w:pStyle w:val="Compact"/>
            </w:pPr>
            <w:r>
              <w:t xml:space="preserve">Dữ liệu cần trao đổi</w:t>
            </w:r>
          </w:p>
        </w:tc>
        <w:tc>
          <w:tcPr/>
          <w:p>
            <w:pPr>
              <w:pStyle w:val="Compact"/>
            </w:pPr>
            <w:r>
              <w:t xml:space="preserve">Điểm nghẽn cốt lõi</w:t>
            </w:r>
          </w:p>
        </w:tc>
      </w:tr>
      <w:tr>
        <w:tc>
          <w:tcPr/>
          <w:p>
            <w:pPr>
              <w:pStyle w:val="Compact"/>
            </w:pPr>
            <w:r>
              <w:rPr>
                <w:b/>
                <w:bCs/>
              </w:rPr>
              <w:t xml:space="preserve">Phát hiện</w:t>
            </w:r>
          </w:p>
        </w:tc>
        <w:tc>
          <w:tcPr/>
          <w:p>
            <w:pPr>
              <w:pStyle w:val="Compact"/>
            </w:pPr>
            <w:r>
              <w:t xml:space="preserve">Giám sát vĩ mô, tiếp nhận phản ánh</w:t>
            </w:r>
          </w:p>
        </w:tc>
        <w:tc>
          <w:tcPr/>
          <w:p>
            <w:pPr>
              <w:pStyle w:val="Compact"/>
            </w:pPr>
            <w:r>
              <w:t xml:space="preserve">Rà quét thụ động, tiếp nhận báo cáo</w:t>
            </w:r>
          </w:p>
        </w:tc>
        <w:tc>
          <w:tcPr/>
          <w:p>
            <w:pPr>
              <w:pStyle w:val="Compact"/>
            </w:pPr>
            <w:r>
              <w:t xml:space="preserve">Theo dõi và gửi thông báo vi phạm</w:t>
            </w:r>
          </w:p>
        </w:tc>
        <w:tc>
          <w:tcPr/>
          <w:p>
            <w:pPr>
              <w:pStyle w:val="Compact"/>
            </w:pPr>
            <w:r>
              <w:t xml:space="preserve">Dữ liệu tài khoản, sản phẩm</w:t>
            </w:r>
          </w:p>
        </w:tc>
        <w:tc>
          <w:tcPr/>
          <w:p>
            <w:pPr>
              <w:pStyle w:val="Compact"/>
            </w:pPr>
            <w:r>
              <w:t xml:space="preserve">Phân tán nguồn tin, khó xác định đối tượng</w:t>
            </w:r>
          </w:p>
        </w:tc>
      </w:tr>
      <w:tr>
        <w:tc>
          <w:tcPr/>
          <w:p>
            <w:pPr>
              <w:pStyle w:val="Compact"/>
            </w:pPr>
            <w:r>
              <w:rPr>
                <w:b/>
                <w:bCs/>
              </w:rPr>
              <w:t xml:space="preserve">Xác minh</w:t>
            </w:r>
          </w:p>
        </w:tc>
        <w:tc>
          <w:tcPr/>
          <w:p>
            <w:pPr>
              <w:pStyle w:val="Compact"/>
            </w:pPr>
            <w:r>
              <w:t xml:space="preserve">Xác định thẩm quyền, yêu cầu ý kiến chuyên môn</w:t>
            </w:r>
          </w:p>
        </w:tc>
        <w:tc>
          <w:tcPr/>
          <w:p>
            <w:pPr>
              <w:pStyle w:val="Compact"/>
            </w:pPr>
            <w:r>
              <w:t xml:space="preserve">Kiểm tra tài khoản và lịch sử giao dịch</w:t>
            </w:r>
          </w:p>
        </w:tc>
        <w:tc>
          <w:tcPr/>
          <w:p>
            <w:pPr>
              <w:pStyle w:val="Compact"/>
            </w:pPr>
            <w:r>
              <w:t xml:space="preserve">Cung cấp chứng nhận quyền hợp pháp</w:t>
            </w:r>
          </w:p>
        </w:tc>
        <w:tc>
          <w:tcPr/>
          <w:p>
            <w:pPr>
              <w:pStyle w:val="Compact"/>
            </w:pPr>
            <w:r>
              <w:t xml:space="preserve">Văn bằng, giấy phép, chứng cứ vi phạm</w:t>
            </w:r>
          </w:p>
        </w:tc>
        <w:tc>
          <w:tcPr/>
          <w:p>
            <w:pPr>
              <w:pStyle w:val="Compact"/>
            </w:pPr>
            <w:r>
              <w:t xml:space="preserve">Xác minh thủ công, quy trình giấy tờ kéo dài</w:t>
            </w:r>
          </w:p>
        </w:tc>
      </w:tr>
      <w:tr>
        <w:tc>
          <w:tcPr/>
          <w:p>
            <w:pPr>
              <w:pStyle w:val="Compact"/>
            </w:pPr>
            <w:r>
              <w:rPr>
                <w:b/>
                <w:bCs/>
              </w:rPr>
              <w:t xml:space="preserve">Ngăn chặn</w:t>
            </w:r>
          </w:p>
        </w:tc>
        <w:tc>
          <w:tcPr/>
          <w:p>
            <w:pPr>
              <w:pStyle w:val="Compact"/>
            </w:pPr>
            <w:r>
              <w:t xml:space="preserve">Yêu cầu áp dụng biện pháp hành chính</w:t>
            </w:r>
          </w:p>
        </w:tc>
        <w:tc>
          <w:tcPr/>
          <w:p>
            <w:pPr>
              <w:pStyle w:val="Compact"/>
            </w:pPr>
            <w:r>
              <w:t xml:space="preserve">Gỡ bỏ, khóa, hoặc hạn chế hiển thị</w:t>
            </w:r>
          </w:p>
        </w:tc>
        <w:tc>
          <w:tcPr/>
          <w:p>
            <w:pPr>
              <w:pStyle w:val="Compact"/>
            </w:pPr>
            <w:r>
              <w:t xml:space="preserve">Theo dõi kết quả ngăn chặn</w:t>
            </w:r>
          </w:p>
        </w:tc>
        <w:tc>
          <w:tcPr/>
          <w:p>
            <w:pPr>
              <w:pStyle w:val="Compact"/>
            </w:pPr>
            <w:r>
              <w:t xml:space="preserve">Quyết định gỡ bỏ, thông báo khóa</w:t>
            </w:r>
          </w:p>
        </w:tc>
        <w:tc>
          <w:tcPr/>
          <w:p>
            <w:pPr>
              <w:pStyle w:val="Compact"/>
            </w:pPr>
            <w:r>
              <w:t xml:space="preserve">Thiếu thời hạn thống nhất về trách nhiệm nền tảng</w:t>
            </w:r>
          </w:p>
        </w:tc>
      </w:tr>
      <w:tr>
        <w:tc>
          <w:tcPr/>
          <w:p>
            <w:pPr>
              <w:pStyle w:val="Compact"/>
            </w:pPr>
            <w:r>
              <w:rPr>
                <w:b/>
                <w:bCs/>
              </w:rPr>
              <w:t xml:space="preserve">Xử lý</w:t>
            </w:r>
          </w:p>
        </w:tc>
        <w:tc>
          <w:tcPr/>
          <w:p>
            <w:pPr>
              <w:pStyle w:val="Compact"/>
            </w:pPr>
            <w:r>
              <w:t xml:space="preserve">Thanh tra, xử phạt, chuyển hồ sơ vụ việc</w:t>
            </w:r>
          </w:p>
        </w:tc>
        <w:tc>
          <w:tcPr/>
          <w:p>
            <w:pPr>
              <w:pStyle w:val="Compact"/>
            </w:pPr>
            <w:r>
              <w:t xml:space="preserve">Cung cấp dữ liệu định danh</w:t>
            </w:r>
          </w:p>
        </w:tc>
        <w:tc>
          <w:tcPr/>
          <w:p>
            <w:pPr>
              <w:pStyle w:val="Compact"/>
            </w:pPr>
            <w:r>
              <w:t xml:space="preserve">Phối hợp chứng minh thiệt hại</w:t>
            </w:r>
          </w:p>
        </w:tc>
        <w:tc>
          <w:tcPr/>
          <w:p>
            <w:pPr>
              <w:pStyle w:val="Compact"/>
            </w:pPr>
            <w:r>
              <w:t xml:space="preserve">Dữ liệu định danh, tài chính, giao dịch</w:t>
            </w:r>
          </w:p>
        </w:tc>
        <w:tc>
          <w:tcPr/>
          <w:p>
            <w:pPr>
              <w:pStyle w:val="Compact"/>
            </w:pPr>
            <w:r>
              <w:t xml:space="preserve">Khó truy xuất chủ thể thực sự phía sau tài khoản ảo</w:t>
            </w:r>
          </w:p>
        </w:tc>
      </w:tr>
      <w:tr>
        <w:tc>
          <w:tcPr/>
          <w:p>
            <w:pPr>
              <w:pStyle w:val="Compact"/>
            </w:pPr>
            <w:r>
              <w:rPr>
                <w:b/>
                <w:bCs/>
              </w:rPr>
              <w:t xml:space="preserve">Khiếu nại</w:t>
            </w:r>
          </w:p>
        </w:tc>
        <w:tc>
          <w:tcPr/>
          <w:p>
            <w:pPr>
              <w:pStyle w:val="Compact"/>
            </w:pPr>
            <w:r>
              <w:t xml:space="preserve">Giải quyết khiếu nại hành chính</w:t>
            </w:r>
          </w:p>
        </w:tc>
        <w:tc>
          <w:tcPr/>
          <w:p>
            <w:pPr>
              <w:pStyle w:val="Compact"/>
            </w:pPr>
            <w:r>
              <w:t xml:space="preserve">Phục hồi hoặc giữ quyết định gỡ bỏ</w:t>
            </w:r>
          </w:p>
        </w:tc>
        <w:tc>
          <w:tcPr/>
          <w:p>
            <w:pPr>
              <w:pStyle w:val="Compact"/>
            </w:pPr>
            <w:r>
              <w:t xml:space="preserve">Phản hồi thông tin và cung cấp thêm chứng cứ</w:t>
            </w:r>
          </w:p>
        </w:tc>
        <w:tc>
          <w:tcPr/>
          <w:p>
            <w:pPr>
              <w:pStyle w:val="Compact"/>
            </w:pPr>
            <w:r>
              <w:t xml:space="preserve">Lý do khiếu nại và bằng chứng đối trọng</w:t>
            </w:r>
          </w:p>
        </w:tc>
        <w:tc>
          <w:tcPr/>
          <w:p>
            <w:pPr>
              <w:pStyle w:val="Compact"/>
            </w:pPr>
            <w:r>
              <w:t xml:space="preserve">Thiếu cơ chế phản đối minh bạch cho người bán</w:t>
            </w:r>
          </w:p>
        </w:tc>
      </w:tr>
      <w:tr>
        <w:tc>
          <w:tcPr/>
          <w:p>
            <w:pPr>
              <w:pStyle w:val="Compact"/>
            </w:pPr>
            <w:r>
              <w:rPr>
                <w:b/>
                <w:bCs/>
              </w:rPr>
              <w:t xml:space="preserve">Tái phạm</w:t>
            </w:r>
          </w:p>
        </w:tc>
        <w:tc>
          <w:tcPr/>
          <w:p>
            <w:pPr>
              <w:pStyle w:val="Compact"/>
            </w:pPr>
            <w:r>
              <w:t xml:space="preserve">Theo dõi, đưa vào danh sách đen (nếu có)</w:t>
            </w:r>
          </w:p>
        </w:tc>
        <w:tc>
          <w:tcPr/>
          <w:p>
            <w:pPr>
              <w:pStyle w:val="Compact"/>
            </w:pPr>
            <w:r>
              <w:t xml:space="preserve">Nhận diện và chặn các tài khoản có liên quan</w:t>
            </w:r>
          </w:p>
        </w:tc>
        <w:tc>
          <w:tcPr/>
          <w:p>
            <w:pPr>
              <w:pStyle w:val="Compact"/>
            </w:pPr>
            <w:r>
              <w:t xml:space="preserve">Cập nhật vi phạm lặp lại</w:t>
            </w:r>
          </w:p>
        </w:tc>
        <w:tc>
          <w:tcPr/>
          <w:p>
            <w:pPr>
              <w:pStyle w:val="Compact"/>
            </w:pPr>
            <w:r>
              <w:t xml:space="preserve">Lịch sử hành vi, IP, thiết bị</w:t>
            </w:r>
          </w:p>
        </w:tc>
        <w:tc>
          <w:tcPr/>
          <w:p>
            <w:pPr>
              <w:pStyle w:val="Compact"/>
            </w:pPr>
            <w:r>
              <w:t xml:space="preserve">Chưa liên thông dữ liệu hệ thống giữa nhà nước và nền tảng</w:t>
            </w:r>
          </w:p>
        </w:tc>
      </w:tr>
    </w:tbl>
    <w:p>
      <w:pPr>
        <w:pStyle w:val="BodyText"/>
      </w:pPr>
      <w:r>
        <w:rPr>
          <w:i/>
          <w:iCs/>
        </w:rPr>
        <w:t xml:space="preserve">Nguồn: Tác giả tổng hợp dựa trên khung pháp lý và thực tiễn.</w:t>
      </w:r>
    </w:p>
    <w:p>
      <w:pPr>
        <w:pStyle w:val="BodyText"/>
      </w:pPr>
      <w:r>
        <w:t xml:space="preserve">Bản đồ này chỉ ra rằng, tại mỗi điểm nghẽn, sự vắng mặt của một cơ chế kết nối đa chiều đã làm tăng đáng kể chi phí giao dịch và làm chậm trễ quá trình bảo vệ quyền.</w:t>
      </w:r>
    </w:p>
    <w:bookmarkEnd w:id="15"/>
    <w:bookmarkStart w:id="16" w:name="dữ-liệu-và-phương-thức-thực-thi"/>
    <w:p>
      <w:pPr>
        <w:pStyle w:val="Heading3"/>
      </w:pPr>
      <w:r>
        <w:t xml:space="preserve">4.3. Dữ liệu và phương thức thực thi</w:t>
      </w:r>
    </w:p>
    <w:p>
      <w:pPr>
        <w:pStyle w:val="FirstParagraph"/>
      </w:pPr>
      <w:r>
        <w:t xml:space="preserve">Phương thức thực thi truyền thống chủ yếu mang tính chất phản ứng sau khi vi phạm đã xảy ra, thay vì ứng dụng công nghệ để rà quét và phòng ngừa từ giai đoạn sớm</w:t>
      </w:r>
      <w:r>
        <w:t xml:space="preserve">17</w:t>
      </w:r>
      <w:r>
        <w:t xml:space="preserve">. Sự thiếu vắng chuẩn kết nối API giữa cơ sở dữ liệu quốc gia về sở hữu công nghiệp và hệ thống kiểm duyệt của nền tảng khiến việc xác minh quyền sở hữu trở nên thủ công và dễ sai sót. Cơ quan nhà nước không thể truy xuất dữ liệu giao dịch theo thời gian thực, trong khi nền tảng thiếu cơ sở pháp lý trực tiếp để tự động chặn lọc sản phẩm.</w:t>
      </w:r>
    </w:p>
    <w:bookmarkEnd w:id="16"/>
    <w:bookmarkStart w:id="17" w:name="X65ae71d1dd6f5192c81f02e5ec905a838b0c85b"/>
    <w:p>
      <w:pPr>
        <w:pStyle w:val="Heading3"/>
      </w:pPr>
      <w:r>
        <w:t xml:space="preserve">4.4. Trách nhiệm và năng lực tự điều tiết của nền tảng</w:t>
      </w:r>
    </w:p>
    <w:p>
      <w:pPr>
        <w:pStyle w:val="FirstParagraph"/>
      </w:pPr>
      <w:r>
        <w:t xml:space="preserve">Trong khi bộ máy hành chính đối diện với giới hạn về năng lực xử lý, khu vực tư nhân đã chủ động phát triển năng lực tự điều tiết bằng thuật toán để bảo vệ uy tín nền tảng. Bảng 3 trình bày các chỉ báo quản trị rủi ro nội bộ từ một hệ sinh thái thương mại điện tử làm trường hợp minh họa.</w:t>
      </w:r>
    </w:p>
    <w:p>
      <w:pPr>
        <w:pStyle w:val="BodyText"/>
      </w:pPr>
      <w:r>
        <w:rPr>
          <w:b/>
          <w:bCs/>
        </w:rPr>
        <w:t xml:space="preserve">Bảng 3: Trường hợp minh họa năng lực tự điều tiết của sàn thương mại điện tử Shopee (2022–2025)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Các chỉ báo quản trị số nội bộ</w:t>
            </w:r>
          </w:p>
        </w:tc>
        <w:tc>
          <w:tcPr/>
          <w:p>
            <w:pPr>
              <w:pStyle w:val="Compact"/>
            </w:pPr>
            <w:r>
              <w:t xml:space="preserve">2022</w:t>
            </w:r>
          </w:p>
        </w:tc>
        <w:tc>
          <w:tcPr/>
          <w:p>
            <w:pPr>
              <w:pStyle w:val="Compact"/>
            </w:pPr>
            <w:r>
              <w:t xml:space="preserve">2023</w:t>
            </w:r>
          </w:p>
        </w:tc>
        <w:tc>
          <w:tcPr/>
          <w:p>
            <w:pPr>
              <w:pStyle w:val="Compact"/>
            </w:pPr>
            <w:r>
              <w:t xml:space="preserve">2024</w:t>
            </w:r>
          </w:p>
        </w:tc>
        <w:tc>
          <w:tcPr/>
          <w:p>
            <w:pPr>
              <w:pStyle w:val="Compact"/>
            </w:pPr>
            <w:r>
              <w:t xml:space="preserve">2025</w:t>
            </w:r>
          </w:p>
        </w:tc>
        <w:tc>
          <w:tcPr/>
          <w:p>
            <w:pPr>
              <w:pStyle w:val="Compact"/>
            </w:pPr>
            <w:r>
              <w:t xml:space="preserve">Hàm ý đối với quản lý nhà nước</w:t>
            </w:r>
          </w:p>
        </w:tc>
      </w:tr>
      <w:tr>
        <w:tc>
          <w:tcPr/>
          <w:p>
            <w:pPr>
              <w:pStyle w:val="Compact"/>
            </w:pPr>
            <w:r>
              <w:t xml:space="preserve">Thương hiệu tham gia Cổng bảo vệ</w:t>
            </w:r>
          </w:p>
        </w:tc>
        <w:tc>
          <w:tcPr/>
          <w:p>
            <w:pPr>
              <w:pStyle w:val="Compact"/>
            </w:pPr>
            <w:r>
              <w:t xml:space="preserve">Thử nghiệm</w:t>
            </w:r>
          </w:p>
        </w:tc>
        <w:tc>
          <w:tcPr/>
          <w:p>
            <w:pPr>
              <w:pStyle w:val="Compact"/>
            </w:pPr>
            <w:r>
              <w:t xml:space="preserve">~2.234</w:t>
            </w:r>
          </w:p>
        </w:tc>
        <w:tc>
          <w:tcPr/>
          <w:p>
            <w:pPr>
              <w:pStyle w:val="Compact"/>
            </w:pPr>
            <w:r>
              <w:t xml:space="preserve">10.502</w:t>
            </w:r>
          </w:p>
        </w:tc>
        <w:tc>
          <w:tcPr/>
          <w:p>
            <w:pPr>
              <w:pStyle w:val="Compact"/>
            </w:pPr>
            <w:r>
              <w:t xml:space="preserve">15.614</w:t>
            </w:r>
          </w:p>
        </w:tc>
        <w:tc>
          <w:tcPr/>
          <w:p>
            <w:pPr>
              <w:pStyle w:val="Compact"/>
            </w:pPr>
            <w:r>
              <w:t xml:space="preserve">Đòi hỏi cơ quan nhà nước phải công nhận giá trị của cơ sở dữ liệu tư nhân này</w:t>
            </w:r>
          </w:p>
        </w:tc>
      </w:tr>
      <w:tr>
        <w:tc>
          <w:tcPr/>
          <w:p>
            <w:pPr>
              <w:pStyle w:val="Compact"/>
            </w:pPr>
            <w:r>
              <w:t xml:space="preserve">Năng lực rà quét tự động</w:t>
            </w:r>
          </w:p>
        </w:tc>
        <w:tc>
          <w:tcPr/>
          <w:p>
            <w:pPr>
              <w:pStyle w:val="Compact"/>
            </w:pPr>
            <w:r>
              <w:t xml:space="preserve">Không có dữ liệu</w:t>
            </w:r>
          </w:p>
        </w:tc>
        <w:tc>
          <w:tcPr/>
          <w:p>
            <w:pPr>
              <w:pStyle w:val="Compact"/>
            </w:pPr>
            <w:r>
              <w:t xml:space="preserve">24 thuật toán</w:t>
            </w:r>
          </w:p>
        </w:tc>
        <w:tc>
          <w:tcPr/>
          <w:p>
            <w:pPr>
              <w:pStyle w:val="Compact"/>
            </w:pPr>
            <w:r>
              <w:t xml:space="preserve">78 thuật toán</w:t>
            </w:r>
          </w:p>
        </w:tc>
        <w:tc>
          <w:tcPr/>
          <w:p>
            <w:pPr>
              <w:pStyle w:val="Compact"/>
            </w:pPr>
            <w:r>
              <w:t xml:space="preserve">Mô hình ngôn ngữ lớn</w:t>
            </w:r>
          </w:p>
        </w:tc>
        <w:tc>
          <w:tcPr/>
          <w:p>
            <w:pPr>
              <w:pStyle w:val="Compact"/>
            </w:pPr>
            <w:r>
              <w:t xml:space="preserve">Gợi ý khả năng xây dựng chuẩn kết nối dữ liệu API thay vì gửi văn bản hành chính</w:t>
            </w:r>
          </w:p>
        </w:tc>
      </w:tr>
      <w:tr>
        <w:tc>
          <w:tcPr/>
          <w:p>
            <w:pPr>
              <w:pStyle w:val="Compact"/>
            </w:pPr>
            <w:r>
              <w:t xml:space="preserve">Mức độ gỡ bỏ vi phạm chủ động</w:t>
            </w:r>
          </w:p>
        </w:tc>
        <w:tc>
          <w:tcPr/>
          <w:p>
            <w:pPr>
              <w:pStyle w:val="Compact"/>
            </w:pPr>
            <w:r>
              <w:t xml:space="preserve">Không có dữ liệu</w:t>
            </w:r>
          </w:p>
        </w:tc>
        <w:tc>
          <w:tcPr/>
          <w:p>
            <w:pPr>
              <w:pStyle w:val="Compact"/>
            </w:pPr>
            <w:r>
              <w:t xml:space="preserve">Chưa công bố tỷ lệ cụ thể</w:t>
            </w:r>
          </w:p>
        </w:tc>
        <w:tc>
          <w:tcPr/>
          <w:p>
            <w:pPr>
              <w:pStyle w:val="Compact"/>
            </w:pPr>
            <w:r>
              <w:t xml:space="preserve">&gt;97,0%</w:t>
            </w:r>
          </w:p>
        </w:tc>
        <w:tc>
          <w:tcPr/>
          <w:p>
            <w:pPr>
              <w:pStyle w:val="Compact"/>
            </w:pPr>
            <w:r>
              <w:t xml:space="preserve">96,6%</w:t>
            </w:r>
          </w:p>
        </w:tc>
        <w:tc>
          <w:tcPr/>
          <w:p>
            <w:pPr>
              <w:pStyle w:val="Compact"/>
            </w:pPr>
            <w:r>
              <w:t xml:space="preserve">Có khả năng góp phần giảm tải đáng kể cho bộ máy giải quyết khiếu nại</w:t>
            </w:r>
          </w:p>
        </w:tc>
      </w:tr>
    </w:tbl>
    <w:p>
      <w:pPr>
        <w:pStyle w:val="BodyText"/>
      </w:pPr>
      <w:r>
        <w:rPr>
          <w:i/>
          <w:iCs/>
        </w:rPr>
        <w:t xml:space="preserve">Ghi chú: Tỷ lệ gỡ bỏ chủ động được tính trên tổng số sản phẩm bị hệ thống thuật toán nội bộ nhận diện có rủi ro cao hoặc vi phạm chính sách trước khi có khiếu nại. Nguồn: Tổng hợp từ Shopee Brand Protection Annual Report</w:t>
      </w:r>
      <w:r>
        <w:rPr>
          <w:i/>
          <w:iCs/>
        </w:rPr>
        <w:t xml:space="preserve">18</w:t>
      </w:r>
      <w:r>
        <w:rPr>
          <w:i/>
          <w:iCs/>
        </w:rPr>
        <w:t xml:space="preserve">.</w:t>
      </w:r>
    </w:p>
    <w:p>
      <w:pPr>
        <w:pStyle w:val="BodyText"/>
      </w:pPr>
      <w:r>
        <w:t xml:space="preserve">Dữ liệu tại Bảng 3 cho thấy nền tảng quy mô lớn đã bắt đầu vận hành các công cụ phát hiện và gỡ bỏ chủ động thông qua trí tuệ nhân tạo. Tuy nhiên, các công cụ này mang tính chất phân mảnh, hoạt động dựa trên tiêu chuẩn nội bộ của doanh nghiệp thay vì một khung pháp lý thống nhất do Nhà nước dẫn dắt.</w:t>
      </w:r>
    </w:p>
    <w:bookmarkEnd w:id="17"/>
    <w:bookmarkStart w:id="18" w:name="kết-quả-và-những-điểm-nghẽn-của-hệ-thống"/>
    <w:p>
      <w:pPr>
        <w:pStyle w:val="Heading3"/>
      </w:pPr>
      <w:r>
        <w:t xml:space="preserve">4.5. Kết quả và những điểm nghẽn của hệ thống</w:t>
      </w:r>
    </w:p>
    <w:p>
      <w:pPr>
        <w:pStyle w:val="FirstParagraph"/>
      </w:pPr>
      <w:r>
        <w:t xml:space="preserve">Việc duy trì cơ chế quản lý cũ trong bối cảnh bùng nổ giao dịch tạo ra sự lệch pha về năng lực thực thi. Bảng 4 hệ thống hóa kết quả kiểm soát vi phạm từ các cơ quan quản lý.</w:t>
      </w:r>
    </w:p>
    <w:p>
      <w:pPr>
        <w:pStyle w:val="BodyText"/>
      </w:pPr>
      <w:r>
        <w:rPr>
          <w:b/>
          <w:bCs/>
        </w:rPr>
        <w:t xml:space="preserve">Bảng 4: Kết quả xử lý vi phạm trên thương mại điện tử (Dữ liệu Bộ Công Thương năm 2024)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 thực thi pháp luật</w:t>
            </w:r>
          </w:p>
        </w:tc>
        <w:tc>
          <w:tcPr/>
          <w:p>
            <w:pPr>
              <w:pStyle w:val="Compact"/>
            </w:pPr>
            <w:r>
              <w:t xml:space="preserve">Kết quả ghi nhận</w:t>
            </w:r>
          </w:p>
        </w:tc>
        <w:tc>
          <w:tcPr/>
          <w:p>
            <w:pPr>
              <w:pStyle w:val="Compact"/>
            </w:pPr>
            <w:r>
              <w:t xml:space="preserve">Ý nghĩa phân tích dự kiến</w:t>
            </w:r>
          </w:p>
        </w:tc>
      </w:tr>
      <w:tr>
        <w:tc>
          <w:tcPr/>
          <w:p>
            <w:pPr>
              <w:pStyle w:val="Compact"/>
            </w:pPr>
            <w:r>
              <w:t xml:space="preserve">Số lượt phản ánh vi phạm trực tuyến tiếp nhận</w:t>
            </w:r>
          </w:p>
        </w:tc>
        <w:tc>
          <w:tcPr/>
          <w:p>
            <w:pPr>
              <w:pStyle w:val="Compact"/>
            </w:pPr>
            <w:r>
              <w:t xml:space="preserve">165 lượt</w:t>
            </w:r>
          </w:p>
        </w:tc>
        <w:tc>
          <w:tcPr/>
          <w:p>
            <w:pPr>
              <w:pStyle w:val="Compact"/>
            </w:pPr>
            <w:r>
              <w:t xml:space="preserve">Cho thấy cơ chế tiếp nhận phản ánh đã được vận hành; nhưng quy mô nhỏ bé so với giao dịch thực tế phản ánh sự tiếp cận thụ động</w:t>
            </w:r>
          </w:p>
        </w:tc>
      </w:tr>
      <w:tr>
        <w:tc>
          <w:tcPr/>
          <w:p>
            <w:pPr>
              <w:pStyle w:val="Compact"/>
            </w:pPr>
            <w:r>
              <w:t xml:space="preserve">Số lượng sản phẩm vi phạm bị phối hợp tạm giữ</w:t>
            </w:r>
          </w:p>
        </w:tc>
        <w:tc>
          <w:tcPr/>
          <w:p>
            <w:pPr>
              <w:pStyle w:val="Compact"/>
            </w:pPr>
            <w:r>
              <w:t xml:space="preserve">125.088 sản phẩm</w:t>
            </w:r>
          </w:p>
        </w:tc>
        <w:tc>
          <w:tcPr/>
          <w:p>
            <w:pPr>
              <w:pStyle w:val="Compact"/>
            </w:pPr>
            <w:r>
              <w:t xml:space="preserve">Phản ánh kết quả phối hợp xử lý hàng hóa vật lý; cần làm rõ tỷ lệ phát hiện trực tiếp từ môi trường số</w:t>
            </w:r>
          </w:p>
        </w:tc>
      </w:tr>
      <w:tr>
        <w:tc>
          <w:tcPr/>
          <w:p>
            <w:pPr>
              <w:pStyle w:val="Compact"/>
            </w:pPr>
            <w:r>
              <w:t xml:space="preserve">Tỷ trọng vi phạm sở hữu trí tuệ trong tổng vi phạm</w:t>
            </w:r>
          </w:p>
        </w:tc>
        <w:tc>
          <w:tcPr/>
          <w:p>
            <w:pPr>
              <w:pStyle w:val="Compact"/>
            </w:pPr>
            <w:r>
              <w:t xml:space="preserve">16,36%</w:t>
            </w:r>
          </w:p>
        </w:tc>
        <w:tc>
          <w:tcPr/>
          <w:p>
            <w:pPr>
              <w:pStyle w:val="Compact"/>
            </w:pPr>
            <w:r>
              <w:t xml:space="preserve">Cho thấy vi phạm SHTT là một nhóm đáng kể trong cơ cấu hàng giả/hàng cấm</w:t>
            </w:r>
          </w:p>
        </w:tc>
      </w:tr>
      <w:tr>
        <w:tc>
          <w:tcPr/>
          <w:p>
            <w:pPr>
              <w:pStyle w:val="Compact"/>
            </w:pPr>
            <w:r>
              <w:t xml:space="preserve">Tỷ trọng vi phạm TMĐT trên tổng số vụ việc chung</w:t>
            </w:r>
          </w:p>
        </w:tc>
        <w:tc>
          <w:tcPr/>
          <w:p>
            <w:pPr>
              <w:pStyle w:val="Compact"/>
            </w:pPr>
            <w:r>
              <w:t xml:space="preserve">2,19%</w:t>
            </w:r>
          </w:p>
        </w:tc>
        <w:tc>
          <w:tcPr/>
          <w:p>
            <w:pPr>
              <w:pStyle w:val="Compact"/>
            </w:pPr>
            <w:r>
              <w:t xml:space="preserve">Sự bất cập và khó khăn trong việc áp dụng chế tài trực tuyến so với thực thi truyền thống</w:t>
            </w:r>
          </w:p>
        </w:tc>
      </w:tr>
    </w:tbl>
    <w:p>
      <w:pPr>
        <w:pStyle w:val="BodyText"/>
      </w:pPr>
      <w:r>
        <w:rPr>
          <w:i/>
          <w:iCs/>
        </w:rPr>
        <w:t xml:space="preserve">Nguồn: Tổng hợp từ Báo cáo tổng kết Tổng cục Quản lý thị trường &amp; Cục Thương mại điện tử và Kinh tế số năm 2024</w:t>
      </w:r>
      <w:r>
        <w:rPr>
          <w:i/>
          <w:iCs/>
        </w:rPr>
        <w:t xml:space="preserve">19</w:t>
      </w:r>
      <w:r>
        <w:rPr>
          <w:i/>
          <w:iCs/>
        </w:rPr>
        <w:t xml:space="preserve">.</w:t>
      </w:r>
    </w:p>
    <w:p>
      <w:pPr>
        <w:pStyle w:val="BodyText"/>
      </w:pPr>
      <w:r>
        <w:t xml:space="preserve">Dữ liệu tại Bảng 4 kết hợp với Bảng 3 dẫn đến một phát hiện trung tâm của bài viết:</w:t>
      </w:r>
      <w:r>
        <w:t xml:space="preserve"> </w:t>
      </w:r>
      <w:r>
        <w:rPr>
          <w:b/>
          <w:bCs/>
        </w:rPr>
        <w:t xml:space="preserve">Hệ thống thực thi quyền sở hữu trí tuệ trên nền tảng số tại Việt Nam đang tồn tại hai cơ chế song song.</w:t>
      </w:r>
      <w:r>
        <w:t xml:space="preserve"> </w:t>
      </w:r>
      <w:r>
        <w:t xml:space="preserve">Một mặt, cơ chế thực thi công mang tính phản ứng, xử lý sự vụ thủ công và gặp giới hạn về số lượng vụ việc tiếp cận (Bảng 4). Mặt khác, cơ chế tự điều tiết tư nhân có khả năng phát hiện chủ động với tốc độ cao nhưng lại vận hành phân mảnh và thiếu tính ràng buộc pháp lý (Bảng 3). Điểm nghẽn cốt lõi của mô hình quản lý hiện hành không chỉ nằm ở sự thiếu hụt năng lực hành chính, mà nghiêm trọng hơn là sự đứt gãy thể chế, khiến hai cơ chế này chưa được kết nối và đồng bộ với nhau.</w:t>
      </w:r>
    </w:p>
    <w:bookmarkEnd w:id="18"/>
    <w:bookmarkEnd w:id="19"/>
    <w:bookmarkStart w:id="20" w:name="thảo-luận"/>
    <w:p>
      <w:pPr>
        <w:pStyle w:val="Heading2"/>
      </w:pPr>
      <w:r>
        <w:t xml:space="preserve">5. Thảo luận</w:t>
      </w:r>
    </w:p>
    <w:p>
      <w:pPr>
        <w:pStyle w:val="FirstParagraph"/>
      </w:pPr>
      <w:r>
        <w:t xml:space="preserve">Việc đánh giá mức độ chuyển đổi từ mô hình quản lý hành chính sang quản trị đa chủ thể được thực hiện thông qua việc giải thích các kết quả thực chứng bằng các lý thuyết cốt lõi. Sự bất cập của hệ thống hiện hành và tiềm năng của các cơ chế mới có thể được thảo luận sâu hơn trên các phương diện sau:</w:t>
      </w:r>
    </w:p>
    <w:p>
      <w:pPr>
        <w:pStyle w:val="BodyText"/>
      </w:pPr>
      <w:r>
        <w:rPr>
          <w:b/>
          <w:bCs/>
        </w:rPr>
        <w:t xml:space="preserve">Thứ nhất, sự thay đổi bắt buộc về vai trò của Nhà nước và các chủ thể tham gia.</w:t>
      </w:r>
      <w:r>
        <w:t xml:space="preserve"> </w:t>
      </w:r>
      <w:r>
        <w:t xml:space="preserve">Theo Thuyết Quản trị cộng tác của Ansell và Gash, khi một vấn đề công vượt quá khả năng xử lý của một chủ thể đơn lẻ, cấu trúc quyền lực phải được chia sẻ. Thực trạng đứt gãy trong chuỗi phối hợp (Bảng 2) và giới hạn số lượng vụ việc (Bảng 4) gợi ý rằng, Nhà nước gặp khó khăn nếu tiếp tục đóng vai trò là cơ quan trực tiếp xử lý từng hành vi xâm phạm nhỏ lẻ trên môi trường số. Thay vào đó, sự xuất hiện của các nền tảng có năng lực tự điều tiết (Bảng 3) đặt ra yêu cầu xem xét lại việc dịch chuyển Nhà nước sang vai trò kiến tạo, thiết lập luật chơi và giám sát mạng lưới. Sự chuyển dịch này không làm giảm quyền lực nhà nước mà ngược lại, có thể giúp Nhà nước quản lý vĩ mô hiệu quả hơn.</w:t>
      </w:r>
    </w:p>
    <w:p>
      <w:pPr>
        <w:pStyle w:val="BodyText"/>
      </w:pPr>
      <w:r>
        <w:rPr>
          <w:b/>
          <w:bCs/>
        </w:rPr>
        <w:t xml:space="preserve">Thứ hai, tối ưu hóa phương thức thực thi và chi phí giao dịch.</w:t>
      </w:r>
      <w:r>
        <w:t xml:space="preserve"> </w:t>
      </w:r>
      <w:r>
        <w:t xml:space="preserve">Dưới lăng kính của Thuyết Chi phí giao dịch, mô hình thụ động hiện hành có khả năng làm gia tăng các chi phí tìm kiếm, xác minh và phối hợp lên mức rất cao do thông tin bị phân mảnh. Ngược lại, nếu thiết lập được một mô hình quản trị cộng tác, trong đó các nền tảng được chia sẻ một phần quyền lực và dữ liệu, chi phí phối hợp có thể giảm thiểu đáng kể. Việc các nền tảng gỡ bỏ chủ động trước khi giao dịch phát sinh là một cơ chế tiềm năng góp phần nội hóa chi phí hiệu quả, ngăn chặn thiệt hại cho xã hội.</w:t>
      </w:r>
    </w:p>
    <w:p>
      <w:pPr>
        <w:pStyle w:val="BodyText"/>
      </w:pPr>
      <w:r>
        <w:rPr>
          <w:b/>
          <w:bCs/>
        </w:rPr>
        <w:t xml:space="preserve">Thứ ba, sự cấp thiết của liên thông dữ liệu và mặt trái của tự động hóa.</w:t>
      </w:r>
      <w:r>
        <w:t xml:space="preserve"> </w:t>
      </w:r>
      <w:r>
        <w:t xml:space="preserve">Thuyết Quản trị số nhấn mạnh tính tất yếu của việc quản lý dựa trên dữ liệu. Hệ thống cơ sở dữ liệu quốc gia chưa được liên thông là rào cản chính. Tuy nhiên, việc hướng tới quản trị đa chủ thể và tự động hóa không đồng nghĩa với tư nhân hóa hoàn toàn hoạt động thực thi. Việc phụ thuộc quá nhiều vào thuật toán rà quét nội bộ của doanh nghiệp tư nhân tiềm ẩn nhiều rủi ro: nguy cơ gỡ bỏ nhầm ảnh hưởng đến quyền tự do kinh doanh của người bán, vấn đề bảo mật dữ liệu cá nhân, và sự thiên lệch thuật toán khi nền tảng có xu hướng ưu tiên bảo vệ các thương hiệu lớn mang lại doanh thu cao. Do đó, Nhà nước vẫn phải quy định tiêu chuẩn kỹ thuật, giám sát thuật toán của nền tảng, bảo đảm quyền khiếu nại và chịu trách nhiệm cuối cùng về tính hợp pháp của cơ chế.</w:t>
      </w:r>
    </w:p>
    <w:bookmarkEnd w:id="20"/>
    <w:bookmarkStart w:id="21" w:name="Xbfcc3a0f8b454f129f9723a09258a26baacfb0d"/>
    <w:p>
      <w:pPr>
        <w:pStyle w:val="Heading2"/>
      </w:pPr>
      <w:r>
        <w:t xml:space="preserve">6. Định hướng chuyển đổi mô hình quản lý nhà nước</w:t>
      </w:r>
    </w:p>
    <w:p>
      <w:pPr>
        <w:pStyle w:val="FirstParagraph"/>
      </w:pPr>
      <w:r>
        <w:t xml:space="preserve">Từ những phân tích trên, quá trình chuyển đổi mô hình quản lý nhà nước về thực thi quyền sở hữu trí tuệ cần được thiết kế theo một lộ trình khả thi:</w:t>
      </w:r>
    </w:p>
    <w:p>
      <w:pPr>
        <w:pStyle w:val="BodyText"/>
      </w:pPr>
      <w:r>
        <w:rPr>
          <w:b/>
          <w:bCs/>
        </w:rPr>
        <w:t xml:space="preserve">Giai đoạn ngắn hạn: Chuẩn hóa quy trình và minh bạch thông tin</w:t>
      </w:r>
      <w:r>
        <w:t xml:space="preserve"> </w:t>
      </w:r>
      <w:r>
        <w:t xml:space="preserve">Nhà nước cần ban hành các văn bản hướng dẫn chi tiết quy trình</w:t>
      </w:r>
      <w:r>
        <w:t xml:space="preserve"> </w:t>
      </w:r>
      <w:r>
        <w:t xml:space="preserve">“Thông báo - Xác minh - Gỡ bỏ - Phản đối”</w:t>
      </w:r>
      <w:r>
        <w:t xml:space="preserve">. Quy trình này phải định lượng cụ thể thời hạn phản hồi và xác định đầu mối liên lạc tại mỗi nền tảng. Đồng thời, cần luật hóa yêu cầu các nền tảng quy mô lớn phải định kỳ công bố báo cáo minh bạch về tỷ lệ gỡ bỏ, số lượng tài khoản bị khóa và tốc độ xử lý khiếu nại</w:t>
      </w:r>
      <w:r>
        <w:t xml:space="preserve">20</w:t>
      </w:r>
      <w:r>
        <w:t xml:space="preserve">.</w:t>
      </w:r>
    </w:p>
    <w:p>
      <w:pPr>
        <w:pStyle w:val="BodyText"/>
      </w:pPr>
      <w:r>
        <w:rPr>
          <w:b/>
          <w:bCs/>
        </w:rPr>
        <w:t xml:space="preserve">Giai đoạn trung hạn: Thí điểm liên thông dữ liệu và phân quyền trách nhiệm</w:t>
      </w:r>
      <w:r>
        <w:t xml:space="preserve"> </w:t>
      </w:r>
      <w:r>
        <w:t xml:space="preserve">Thay vì yêu cầu áp dụng đồng loạt, cơ quan quản lý cần thí điểm kết nối dữ liệu (API) giữa cơ sở dữ liệu quốc gia và hệ thống của một số nền tảng lớn. Song song đó, việc phân tầng nghĩa vụ doanh nghiệp là cần thiết: quy định một bộ công cụ bảo vệ cơ bản miễn phí cho doanh nghiệp nhỏ và vừa, trong khi các nghĩa vụ kiểm soát nâng cao được phân bổ tương ứng với quy mô, mức độ ảnh hưởng và rủi ro hệ thống của từng nền tảng</w:t>
      </w:r>
      <w:r>
        <w:t xml:space="preserve">21</w:t>
      </w:r>
      <w:r>
        <w:t xml:space="preserve">.</w:t>
      </w:r>
    </w:p>
    <w:p>
      <w:pPr>
        <w:pStyle w:val="BodyText"/>
      </w:pPr>
      <w:r>
        <w:rPr>
          <w:b/>
          <w:bCs/>
        </w:rPr>
        <w:t xml:space="preserve">Giai đoạn dài hạn: Phát triển hạ tầng dữ liệu và quản lý theo rủi ro</w:t>
      </w:r>
      <w:r>
        <w:t xml:space="preserve"> </w:t>
      </w:r>
      <w:r>
        <w:t xml:space="preserve">Mục tiêu cuối cùng là hình thành một hạ tầng dữ liệu liên thông quốc gia đa chủ thể dựa trên nguyên tắc Quản trị số</w:t>
      </w:r>
      <w:r>
        <w:t xml:space="preserve">22</w:t>
      </w:r>
      <w:r>
        <w:t xml:space="preserve">. Nhà nước thiết lập cơ chế quản lý dựa trên rủi ro, chuyển đổi phương thức thực thi từ việc can thiệp sự vụ sang việc theo dõi tự động, và xây dựng bộ chỉ số đánh giá định lượng hiệu quả hoạt động của cơ chế phối hợp trực tuyến.</w:t>
      </w:r>
    </w:p>
    <w:bookmarkEnd w:id="21"/>
    <w:bookmarkStart w:id="22" w:name="kết-luận"/>
    <w:p>
      <w:pPr>
        <w:pStyle w:val="Heading2"/>
      </w:pPr>
      <w:r>
        <w:t xml:space="preserve">7. Kết luận</w:t>
      </w:r>
    </w:p>
    <w:p>
      <w:pPr>
        <w:pStyle w:val="FirstParagraph"/>
      </w:pPr>
      <w:r>
        <w:t xml:space="preserve">Bài viết đã làm rõ sự tất yếu của việc chuyển đổi mô hình quản lý nhà nước về quyền sở hữu trí tuệ trên nền tảng số tại Việt Nam. Bằng việc áp dụng Khung phân tích sáu phương diện dựa trên giao thoa lý thuyết Quản trị cộng tác, Quản trị số và Chi phí giao dịch, nghiên cứu đi đến phát hiện cốt lõi: Hệ thống thực thi hiện tại đang bị chia cắt thành hai cơ chế song song (bộ máy hành chính phản ứng thụ động và nền tảng tự điều tiết phân mảnh) mà chưa có sự kết nối thể chế. Để giải quyết khoảng trống này, nghiên cứu đề xuất lộ trình chuyển đổi vai trò Nhà nước từ trực tiếp giải quyết sự vụ sang kiến tạo, thiết lập chuẩn kết nối dữ liệu và giám sát mạng lưới phối hợp đa chủ thể. Lộ trình Ngắn - Trung - Dài hạn được thiết lập nhằm dung hòa giữa yêu cầu bảo vệ quyền và giới hạn nguồn lực của hệ thống hành chính.</w:t>
      </w:r>
    </w:p>
    <w:p>
      <w:pPr>
        <w:pStyle w:val="BodyText"/>
      </w:pPr>
      <w:r>
        <w:rPr>
          <w:b/>
          <w:bCs/>
        </w:rPr>
        <w:t xml:space="preserve">Hạn chế nghiên cứu và hướng nghiên cứu tiếp theo:</w:t>
      </w:r>
      <w:r>
        <w:t xml:space="preserve"> </w:t>
      </w:r>
      <w:r>
        <w:t xml:space="preserve">Nghiên cứu này đối diện với một số hạn chế nhất định. Phương pháp nghiên cứu chủ yếu dựa vào phân tích dữ liệu thứ cấp và lựa chọn thương mại điện tử làm một trường hợp minh họa nổi bật, do đó kết quả không tự động khái quát hóa được cho toàn bộ các loại hình nền tảng số khác (như mạng xã hội, kho ứng dụng, nền tảng phát trực tuyến). Hơn nữa, dữ liệu tự công bố của doanh nghiệp có thể chịu ảnh hưởng từ các tiêu chuẩn báo cáo nội bộ chưa được kiểm chứng độc lập. Các nghiên cứu tiếp theo cần sử dụng phương pháp định tính như phỏng vấn sâu các cơ quan quản lý, doanh nghiệp nền tảng và chủ thể quyền; đồng thời mở rộng phạm vi so sánh đa nền tảng để đo lường định lượng các nhân tố ảnh hưởng đến lòng tin trong cơ chế quản trị cộng tác.</w:t>
      </w:r>
    </w:p>
    <w:p>
      <w:r>
        <w:pict>
          <v:rect style="width:0;height:1.5pt" o:hralign="center" o:hrstd="t" o:hr="t"/>
        </w:pict>
      </w:r>
    </w:p>
    <w:p>
      <w:pPr>
        <w:pStyle w:val="FirstParagraph"/>
      </w:pPr>
      <w:r>
        <w:rPr>
          <w:b/>
          <w:bCs/>
        </w:rPr>
        <w:t xml:space="preserve">Xung đột lợi ích:</w:t>
      </w:r>
      <w:r>
        <w:t xml:space="preserve"> </w:t>
      </w:r>
      <w:r>
        <w:t xml:space="preserve">Tác giả tuyên bố không có bất kỳ xung đột lợi ích nào liên quan đến việc xuất bản bài báo này.</w:t>
      </w:r>
      <w:r>
        <w:t xml:space="preserve"> </w:t>
      </w:r>
      <w:r>
        <w:rPr>
          <w:b/>
          <w:bCs/>
        </w:rPr>
        <w:t xml:space="preserve">Đóng góp của tác giả:</w:t>
      </w:r>
      <w:r>
        <w:t xml:space="preserve"> </w:t>
      </w:r>
      <w:r>
        <w:t xml:space="preserve">Tác giả độc lập thực hiện toàn bộ nghiên cứu.</w:t>
      </w:r>
      <w:r>
        <w:t xml:space="preserve"> </w:t>
      </w:r>
      <w:r>
        <w:rPr>
          <w:b/>
          <w:bCs/>
        </w:rPr>
        <w:t xml:space="preserve">Tuyên bố về Trí tuệ nhân tạo:</w:t>
      </w:r>
      <w:r>
        <w:t xml:space="preserve"> </w:t>
      </w:r>
      <w:r>
        <w:t xml:space="preserve">Công cụ AI được sử dụng để hỗ trợ rà soát ngôn ngữ và cấu trúc trình bày. Tác giả trực tiếp lựa chọn nguồn, kiểm chứng dữ liệu, thực hiện phân tích, quyết định nội dung và chịu trách nhiệm hoàn toàn về kết quả nghiên cứu.</w:t>
      </w:r>
      <w:r>
        <w:t xml:space="preserve"> </w:t>
      </w:r>
      <w:r>
        <w:t xml:space="preserve">***</w:t>
      </w:r>
    </w:p>
    <w:p>
      <w:pPr>
        <w:pStyle w:val="BodyText"/>
      </w:pPr>
      <w:r>
        <w:rPr>
          <w:b/>
          <w:bCs/>
        </w:rPr>
        <w:t xml:space="preserve">Tài liệu tham khảo</w:t>
      </w:r>
    </w:p>
    <w:p>
      <w:pPr>
        <w:pStyle w:val="Compact"/>
        <w:numPr>
          <w:ilvl w:val="0"/>
          <w:numId w:val="1001"/>
        </w:numPr>
      </w:pPr>
      <w:r>
        <w:t xml:space="preserve">Bộ Chính trị. Nghị quyết số 52-NQ/TW về một số chủ trương, chính sách chủ động tham gia cuộc Cách mạng công nghiệp lần thứ tư. Hà Nội; 2019.</w:t>
      </w:r>
    </w:p>
    <w:p>
      <w:pPr>
        <w:pStyle w:val="Compact"/>
        <w:numPr>
          <w:ilvl w:val="0"/>
          <w:numId w:val="1001"/>
        </w:numPr>
      </w:pPr>
      <w:r>
        <w:t xml:space="preserve">Cục Thương mại điện tử và Kinh tế số. Sách trắng Thương mại điện tử Việt Nam năm 2024. Hà Nội: Bộ Công Thương; 2024.</w:t>
      </w:r>
    </w:p>
    <w:p>
      <w:pPr>
        <w:pStyle w:val="Compact"/>
        <w:numPr>
          <w:ilvl w:val="0"/>
          <w:numId w:val="1001"/>
        </w:numPr>
      </w:pPr>
      <w:r>
        <w:t xml:space="preserve">Bagherpour M. The Enforcement of Intellectual Property Rights in Digital Environment Based on ACTA1. Mediterranean Journal of Social Sciences. 2013;4(11):615-620.</w:t>
      </w:r>
    </w:p>
    <w:p>
      <w:pPr>
        <w:pStyle w:val="Compact"/>
        <w:numPr>
          <w:ilvl w:val="0"/>
          <w:numId w:val="1001"/>
        </w:numPr>
      </w:pPr>
      <w:r>
        <w:t xml:space="preserve">OECD. Illicit Trade in a Time of Crisis. Paris: OECD Publishing; 2020.</w:t>
      </w:r>
    </w:p>
    <w:p>
      <w:pPr>
        <w:pStyle w:val="Compact"/>
        <w:numPr>
          <w:ilvl w:val="0"/>
          <w:numId w:val="1001"/>
        </w:numPr>
      </w:pPr>
      <w:r>
        <w:t xml:space="preserve">Torous M. Intellectual property rights in the digital age: challenges and solutions. Journal of International Business Research. 2024;23(1):1-3.</w:t>
      </w:r>
    </w:p>
    <w:p>
      <w:pPr>
        <w:pStyle w:val="Compact"/>
        <w:numPr>
          <w:ilvl w:val="0"/>
          <w:numId w:val="1001"/>
        </w:numPr>
      </w:pPr>
      <w:r>
        <w:t xml:space="preserve">Sahak S, Rajamanickam R, Hassan MS. Liability of internet intermediaries and legal challenges: a comprehensive systematic review. Quality &amp; Quantity. 2026;60:2435-2457.</w:t>
      </w:r>
    </w:p>
    <w:p>
      <w:pPr>
        <w:pStyle w:val="Compact"/>
        <w:numPr>
          <w:ilvl w:val="0"/>
          <w:numId w:val="1001"/>
        </w:numPr>
      </w:pPr>
      <w:r>
        <w:t xml:space="preserve">Phạm QT, Đặng NM. Các yếu tố ảnh hưởng đến hành vi cá nhân vi phạm bản quyền số ở Việt Nam. Science and Technology Development Journal. 2017;20(Q4):78-85.</w:t>
      </w:r>
    </w:p>
    <w:p>
      <w:pPr>
        <w:pStyle w:val="Compact"/>
        <w:numPr>
          <w:ilvl w:val="0"/>
          <w:numId w:val="1001"/>
        </w:numPr>
      </w:pPr>
      <w:r>
        <w:t xml:space="preserve">Trần TL. Các yếu tố ảnh hưởng đến phát triển kinh tế số ở Việt Nam [Luận án Tiến sĩ]. Hà Nội: Học viện Khoa học Xã hội; 2025.</w:t>
      </w:r>
    </w:p>
    <w:p>
      <w:pPr>
        <w:pStyle w:val="Compact"/>
        <w:numPr>
          <w:ilvl w:val="0"/>
          <w:numId w:val="1001"/>
        </w:numPr>
      </w:pPr>
      <w:r>
        <w:t xml:space="preserve">Trần NML, Nguyễn THĐ, Vũ KO. Phát triển kinh tế số tại Việt Nam: Thực trạng và giải pháp. Tạp chí nghiên cứu Tài chính kế toán. 2025;(283):5-10.</w:t>
      </w:r>
    </w:p>
    <w:p>
      <w:pPr>
        <w:pStyle w:val="Compact"/>
        <w:numPr>
          <w:ilvl w:val="0"/>
          <w:numId w:val="1001"/>
        </w:numPr>
      </w:pPr>
      <w:r>
        <w:t xml:space="preserve">Nguyễn TQ. Hoàn thiện pháp luật về trí tuệ nhân tạo trong nền kinh tế số tại Việt Nam. Tạp chí Giáo dục Xã hội. 2025;296:29-35.</w:t>
      </w:r>
    </w:p>
    <w:p>
      <w:pPr>
        <w:pStyle w:val="Compact"/>
        <w:numPr>
          <w:ilvl w:val="0"/>
          <w:numId w:val="1001"/>
        </w:numPr>
      </w:pPr>
      <w:r>
        <w:t xml:space="preserve">Lâm XH. Pháp luật về sở hữu trí tuệ trong kỷ nguyên mới. Tạp chí Việt Nam Hội nhập. 2025;(371):23-29.</w:t>
      </w:r>
    </w:p>
    <w:p>
      <w:pPr>
        <w:pStyle w:val="Compact"/>
        <w:numPr>
          <w:ilvl w:val="0"/>
          <w:numId w:val="1001"/>
        </w:numPr>
      </w:pPr>
      <w:r>
        <w:t xml:space="preserve">Nguyễn HBH. Pháp luật về quyền sở hữu trí tuệ trong các giao dịch thương mại xuyên biên giới trong bối cảnh chuyển đổi số. Tạp chí Luật học. 2025;(1):78-85.</w:t>
      </w:r>
    </w:p>
    <w:p>
      <w:pPr>
        <w:pStyle w:val="Compact"/>
        <w:numPr>
          <w:ilvl w:val="0"/>
          <w:numId w:val="1001"/>
        </w:numPr>
      </w:pPr>
      <w:r>
        <w:t xml:space="preserve">Ansell C, Gash A. Collaborative Governance in Theory and Practice. Journal of Public Administration Research and Theory. 2008;18(4):543-571.</w:t>
      </w:r>
    </w:p>
    <w:p>
      <w:pPr>
        <w:pStyle w:val="Compact"/>
        <w:numPr>
          <w:ilvl w:val="0"/>
          <w:numId w:val="1001"/>
        </w:numPr>
      </w:pPr>
      <w:r>
        <w:t xml:space="preserve">Coase RH. The Nature of the Firm. Economica. 1937;4(16):386-405.</w:t>
      </w:r>
    </w:p>
    <w:p>
      <w:pPr>
        <w:pStyle w:val="Compact"/>
        <w:numPr>
          <w:ilvl w:val="0"/>
          <w:numId w:val="1001"/>
        </w:numPr>
      </w:pPr>
      <w:r>
        <w:t xml:space="preserve">Williamson OE. The Economic Institutions of Capitalism. New York: Free Press; 1985.</w:t>
      </w:r>
    </w:p>
    <w:p>
      <w:pPr>
        <w:pStyle w:val="Compact"/>
        <w:numPr>
          <w:ilvl w:val="0"/>
          <w:numId w:val="1001"/>
        </w:numPr>
      </w:pPr>
      <w:r>
        <w:t xml:space="preserve">Quốc hội nước Cộng hòa Xã hội Chủ nghĩa Việt Nam. Luật sửa đổi, bổ sung một số điều của Luật Sở hữu trí tuệ (Luật số 07/2022/QH15). Hà Nội; 2022.</w:t>
      </w:r>
    </w:p>
    <w:p>
      <w:pPr>
        <w:pStyle w:val="Compact"/>
        <w:numPr>
          <w:ilvl w:val="0"/>
          <w:numId w:val="1001"/>
        </w:numPr>
      </w:pPr>
      <w:r>
        <w:t xml:space="preserve">BASCAP. Vietnam Country Report: Promoting and Protecting Intellectual Property in Vietnam. Paris: International Chamber of Commerce; 2023.</w:t>
      </w:r>
    </w:p>
    <w:p>
      <w:pPr>
        <w:pStyle w:val="Compact"/>
        <w:numPr>
          <w:ilvl w:val="0"/>
          <w:numId w:val="1001"/>
        </w:numPr>
      </w:pPr>
      <w:r>
        <w:t xml:space="preserve">Shopee. Shopee Brand Protection Annual Report 2024. Singapore: Sea Limited; 2025.</w:t>
      </w:r>
    </w:p>
    <w:p>
      <w:pPr>
        <w:pStyle w:val="Compact"/>
        <w:numPr>
          <w:ilvl w:val="0"/>
          <w:numId w:val="1001"/>
        </w:numPr>
      </w:pPr>
      <w:r>
        <w:t xml:space="preserve">Tổng cục Quản lý thị trường. Báo cáo tổng kết công tác chống buôn lậu, gian lận thương mại và hàng giả năm 2024. Hà Nội: Bộ Công Thương; 2025.</w:t>
      </w:r>
    </w:p>
    <w:p>
      <w:pPr>
        <w:pStyle w:val="Compact"/>
        <w:numPr>
          <w:ilvl w:val="0"/>
          <w:numId w:val="1001"/>
        </w:numPr>
      </w:pPr>
      <w:r>
        <w:t xml:space="preserve">Nghị viện Châu Âu. Đạo luật Dịch vụ Kỹ thuật số của Liên minh Châu Âu. Strasbourg; 2022.</w:t>
      </w:r>
    </w:p>
    <w:p>
      <w:pPr>
        <w:pStyle w:val="Compact"/>
        <w:numPr>
          <w:ilvl w:val="0"/>
          <w:numId w:val="1001"/>
        </w:numPr>
      </w:pPr>
      <w:r>
        <w:t xml:space="preserve">OECD/EUIPO. Risks of Illicit Trade in Counterfeits to Small and Medium-Sized Firms. Paris: OECD Publishing; 2023.</w:t>
      </w:r>
    </w:p>
    <w:p>
      <w:pPr>
        <w:pStyle w:val="Compact"/>
        <w:numPr>
          <w:ilvl w:val="0"/>
          <w:numId w:val="1001"/>
        </w:numPr>
      </w:pPr>
      <w:r>
        <w:t xml:space="preserve">Thủ tướng Chính phủ. Chỉ thị số 02/CT-TTg về phát triển chính phủ điện tử hướng tới chính phủ số, thúc đẩy chuyển đổi số quốc gia. Hà Nội; 2022.</w:t>
      </w:r>
    </w:p>
    <w:p>
      <w:pPr>
        <w:pStyle w:val="FirstParagraph"/>
      </w:pPr>
      <w:r>
        <w:rPr>
          <w:b/>
          <w:bCs/>
        </w:rPr>
        <w:t xml:space="preserve">Danh mục từ viết tắt</w:t>
      </w:r>
      <w:r>
        <w:t xml:space="preserve"> </w:t>
      </w:r>
      <w:r>
        <w:t xml:space="preserve">* BASCAP: Business Action to Stop Counterfeiting and Piracy</w:t>
      </w:r>
      <w:r>
        <w:t xml:space="preserve"> </w:t>
      </w:r>
      <w:r>
        <w:t xml:space="preserve">* EU: European Union</w:t>
      </w:r>
      <w:r>
        <w:t xml:space="preserve"> </w:t>
      </w:r>
      <w:r>
        <w:t xml:space="preserve">* EUIPO: European Union Intellectual Property Office</w:t>
      </w:r>
      <w:r>
        <w:t xml:space="preserve"> </w:t>
      </w:r>
      <w:r>
        <w:t xml:space="preserve">* ICC: International Chamber of Commerce</w:t>
      </w:r>
      <w:r>
        <w:t xml:space="preserve"> </w:t>
      </w:r>
      <w:r>
        <w:t xml:space="preserve">* OECD: Organization for Economic Cooperation and Development</w:t>
      </w:r>
      <w:r>
        <w:t xml:space="preserve"> </w:t>
      </w:r>
      <w:r>
        <w:t xml:space="preserve">* SHCN: Sở hữu công nghiệp</w:t>
      </w:r>
      <w:r>
        <w:t xml:space="preserve"> </w:t>
      </w:r>
      <w:r>
        <w:t xml:space="preserve">* SHTT: Sở hữu trí tuệ</w:t>
      </w:r>
      <w:r>
        <w:t xml:space="preserve"> </w:t>
      </w:r>
      <w:r>
        <w:t xml:space="preserve">* TMĐT: Thương mại điện tử</w:t>
      </w:r>
      <w:r>
        <w:t xml:space="preserve"> </w:t>
      </w:r>
      <w:r>
        <w:t xml:space="preserve">* WIPO: World Intellectual Property Organization</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2026-07-20T13:22:30Z</dcterms:created>
  <dcterms:modified xsi:type="dcterms:W3CDTF">2026-07-20T13:22:30Z</dcterms:modified>
</cp:coreProperties>
</file>

<file path=docProps/custom.xml><?xml version="1.0" encoding="utf-8"?>
<Properties xmlns="http://schemas.openxmlformats.org/officeDocument/2006/custom-properties" xmlns:vt="http://schemas.openxmlformats.org/officeDocument/2006/docPropsVTypes"/>
</file>