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F76DC" w14:textId="77777777" w:rsidR="008776BD" w:rsidRDefault="008776BD">
      <w:r>
        <w:t>3. KẾT QUẢ NGHIÊN CỨU</w:t>
      </w:r>
    </w:p>
    <w:p w14:paraId="236210C5" w14:textId="77777777" w:rsidR="008776BD" w:rsidRDefault="008776BD"/>
    <w:p w14:paraId="5DBD84BE" w14:textId="77777777" w:rsidR="008776BD" w:rsidRDefault="008776BD">
      <w:r>
        <w:t>3.1. Chuyển đổi pháp luật và phân bổ trách nhiệm</w:t>
      </w:r>
    </w:p>
    <w:p w14:paraId="6964C0F1" w14:textId="77777777" w:rsidR="008776BD" w:rsidRDefault="008776BD">
      <w:r>
        <w:t xml:space="preserve">Kết quả phân tích văn bản cho thấy quá trình chuyển đổi diễn ra theo hai giai đoạn. Giai đoạn thứ nhất (2022-2025), khung pháp luật bước đầu đặt doanh nghiệp cung cấp dịch vụ trung gian vào hệ thống bảo vệ quyền thông qua Luật sửa đổi năm 2022 và các Nghị định liên quan, nhưng nền tảng thương mại điện tử chưa trở thành trung tâm của một quy trình thực thi liên thông. </w:t>
      </w:r>
    </w:p>
    <w:p w14:paraId="31014715" w14:textId="77777777" w:rsidR="008776BD" w:rsidRDefault="008776BD">
      <w:r>
        <w:t xml:space="preserve">Giai đoạn thứ hai (từ 2026), Luật số 131/2025/QH15 và Luật Thương mại điện tử số 122/2025/QH15 cùng các nghị định hướng dẫn đã mở rộng khung trách nhiệm pháp lý đối với chủ quản nền tảng số. Sự kết hợp này làm rõ hơn trách nhiệm của nền tảng ở cả khâu phòng ngừa và hỗ trợ cơ quan có thẩm quyền. </w:t>
      </w:r>
    </w:p>
    <w:p w14:paraId="5F6D46A2" w14:textId="77777777" w:rsidR="008776BD" w:rsidRDefault="008776BD">
      <w:r>
        <w:t>Bảng 2 cho thấy thay đổi pháp luật đã mở rộng phạm vi chủ thể, tuy nhiên cơ chế điều phối toàn chuỗi và bộ chỉ số kết quả chưa được cấu thành thành một chế độ quản trị thống nhất. Do đó, trạng thái hiện tại là sự phân bổ trách nhiệm đa chủ thể chứ chưa phải quản trị cộng tác hoàn chỉnh. Khó khăn mới nằm ở khoảng cách giữa nghĩa vụ pháp lý và năng lực phối hợp khi dữ liệu không tương thích.</w:t>
      </w:r>
    </w:p>
    <w:p w14:paraId="51562603" w14:textId="77777777" w:rsidR="008776BD" w:rsidRDefault="008776BD"/>
    <w:p w14:paraId="37D3FB95" w14:textId="77777777" w:rsidR="008776BD" w:rsidRDefault="008776BD">
      <w:r>
        <w:t>3.2. Năng lực thực thi công và phối hợp chuyên môn</w:t>
      </w:r>
    </w:p>
    <w:p w14:paraId="30461D7A" w14:textId="77777777" w:rsidR="008776BD" w:rsidRDefault="008776BD">
      <w:r>
        <w:t>Dữ liệu xử lý hành chính giai đoạn 2020-2024 cho thấy biện pháp hành chính tiếp tục giữ vai trò chủ đạo với khối lượng vụ việc lớn và tăng mạnh trong hai năm cuối kỳ (Bảng 3). Mặc dù vậy, dữ liệu hiện không phân tách được số vụ bắt nguồn từ nền tảng số hay do nền tảng cung cấp thông tin. Hạn chế này của hệ thống thống kê làm giảm khả năng đánh giá chính xác mức độ vi phạm trực tuyến.</w:t>
      </w:r>
    </w:p>
    <w:p w14:paraId="4B1BA970" w14:textId="77777777" w:rsidR="008776BD" w:rsidRDefault="008776BD">
      <w:r>
        <w:t>Báo cáo thị trường nội địa năm 2025 cũng cho thấy quy mô kiểm tra rộng, trong đó SHTT chiếm 16,36% và thương mại điện tử chiếm 2,19% số lượt vi phạm. Việc không tách riêng giao điểm giữa SHTT và thương mại điện tử là minh chứng rõ về dữ liệu quản lý chưa được thiết kế theo chuỗi vi phạm số.</w:t>
      </w:r>
    </w:p>
    <w:p w14:paraId="669111C7" w14:textId="77777777" w:rsidR="008776BD" w:rsidRDefault="008776BD">
      <w:r>
        <w:t>Về phối hợp chuyên môn, số vụ xin ý kiến Cục SHTT (Bảng 4) nhỏ hơn rất nhiều tổng số vụ xử lý hành chính, xác nhận nhu cầu hỗ trợ liên ngành nhưng chưa phản ánh được tốc độ hay mức độ số hóa của cơ chế phối hợp công - công này.</w:t>
      </w:r>
    </w:p>
    <w:p w14:paraId="21EC43BD" w14:textId="77777777" w:rsidR="008776BD" w:rsidRDefault="008776BD"/>
    <w:p w14:paraId="1EAF240D" w14:textId="77777777" w:rsidR="008776BD" w:rsidRDefault="008776BD">
      <w:r>
        <w:t>3.3. Năng lực tự điều tiết của nền tảng và khu vực tư nhân</w:t>
      </w:r>
    </w:p>
    <w:p w14:paraId="745A522B" w14:textId="77777777" w:rsidR="008776BD" w:rsidRDefault="008776BD">
      <w:r>
        <w:t>Trong khi hệ thống công dựa vào thẩm quyền tóm gọn, nền tảng nắm giữ lợi thế dữ liệu và công cụ can thiệp tức thời. Giai đoạn 2024-2025, báo cáo của nền tảng (Bảng 5) cho thấy quy mô xử lý kỹ thuật rất lớn với lượng đăng ký SHTT đạt 48.432 đăng ký vào năm 2025. Thời gian phản hồi trung bình rút ngắn còn 1,6 ngày và trên 96% trường hợp vi phạm bị gỡ bỏ chủ động trước khi giao dịch phát sinh nhờ công nghệ nhận diện thông minh.</w:t>
      </w:r>
    </w:p>
    <w:p w14:paraId="274C9C1B" w14:textId="77777777" w:rsidR="008776BD" w:rsidRDefault="008776BD">
      <w:r>
        <w:t>Mặc dù vậy, dữ liệu nền tảng có ba giới hạn: báo cáo bao gồm nhiều thị trường ngoài Việt Nam, chỉ báo gỡ bỏ nội bộ không tương đương với kết luận vi phạm của cơ quan nhà nước, và thiếu sự kiểm chứng độc lập. Do đó, các chỉ số này không dùng để kết luận nền tảng hiệu quả hơn Nhà nước, mà chỉ cho thấy khu vực tư nhân sở hữu năng lực phát hiện và quản trị tài khoản mạnh mẽ mà mô hình công cần kết nối giám sát.</w:t>
      </w:r>
    </w:p>
    <w:p w14:paraId="04CBFF9B" w14:textId="77777777" w:rsidR="008776BD" w:rsidRDefault="008776BD">
      <w:r>
        <w:t>Ngoài nền tảng, mạng lưới đại diện sở hữu công nghiệp (tăng lên 344 tổ chức năm 2024) cũng cho thấy Việt Nam có sẵn mạng lưới chuyên môn trung gian có thể huy động để hỗ trợ doanh nghiệp nhỏ xác minh quyền trong cơ chế đa chủ thể.</w:t>
      </w:r>
    </w:p>
    <w:p w14:paraId="6EE24906" w14:textId="77777777" w:rsidR="008776BD" w:rsidRDefault="008776BD"/>
    <w:p w14:paraId="12026CA3" w14:textId="77777777" w:rsidR="008776BD" w:rsidRDefault="008776BD">
      <w:r>
        <w:t>3.4. Đánh giá mức độ chuyển đổi theo sáu phương diện</w:t>
      </w:r>
    </w:p>
    <w:p w14:paraId="2A892896" w14:textId="7B7E4208" w:rsidR="006E6534" w:rsidRDefault="008776BD">
      <w:r>
        <w:t>Tổng hợp các nguồn cho thấy Việt Nam đang ở giai đoạn chuyển tiếp, thể hiện tại Bảng 6. Vai trò Nhà nước đã bắt đầu thay đổi từ xử lý trực tiếp sang phân bổ trách nhiệm, nhưng chức năng điều phối mạng lưới chưa được thiết kế rõ. Cấu trúc chủ thể đã mở rộng, song sự tham gia không cân bằng: cơ quan nhà nước có thẩm quyền pháp lý, nền tảng có dữ liệu và quyền lực kỹ thuật, chủ thể quyền có thông tin chuyên môn, còn doanh nghiệp nhỏ và người bán thường có ít nguồn lực hơn.</w:t>
      </w:r>
    </w:p>
    <w:sectPr w:rsidR="006E6534" w:rsidSect="00CD6515">
      <w:pgSz w:w="12240" w:h="15840"/>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6BD"/>
    <w:rsid w:val="006E6534"/>
    <w:rsid w:val="008776BD"/>
    <w:rsid w:val="008A6682"/>
    <w:rsid w:val="00996514"/>
    <w:rsid w:val="00A56E8A"/>
    <w:rsid w:val="00CD6515"/>
    <w:rsid w:val="00D301DC"/>
    <w:rsid w:val="00E35DDB"/>
    <w:rsid w:val="00F924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6C7A3"/>
  <w15:chartTrackingRefBased/>
  <w15:docId w15:val="{7A2F24F9-099A-49A1-A139-D33BAF8E2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line="264"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76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76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76B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76B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776B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776B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776B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776B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776B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6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76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76B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76B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776B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776B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776B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776B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776B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776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6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6BD"/>
    <w:pPr>
      <w:numPr>
        <w:ilvl w:val="1"/>
      </w:numPr>
      <w:spacing w:after="160"/>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6B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776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776BD"/>
    <w:rPr>
      <w:i/>
      <w:iCs/>
      <w:color w:val="404040" w:themeColor="text1" w:themeTint="BF"/>
    </w:rPr>
  </w:style>
  <w:style w:type="paragraph" w:styleId="ListParagraph">
    <w:name w:val="List Paragraph"/>
    <w:basedOn w:val="Normal"/>
    <w:uiPriority w:val="34"/>
    <w:qFormat/>
    <w:rsid w:val="008776BD"/>
    <w:pPr>
      <w:ind w:left="720"/>
      <w:contextualSpacing/>
    </w:pPr>
  </w:style>
  <w:style w:type="character" w:styleId="IntenseEmphasis">
    <w:name w:val="Intense Emphasis"/>
    <w:basedOn w:val="DefaultParagraphFont"/>
    <w:uiPriority w:val="21"/>
    <w:qFormat/>
    <w:rsid w:val="008776BD"/>
    <w:rPr>
      <w:i/>
      <w:iCs/>
      <w:color w:val="2F5496" w:themeColor="accent1" w:themeShade="BF"/>
    </w:rPr>
  </w:style>
  <w:style w:type="paragraph" w:styleId="IntenseQuote">
    <w:name w:val="Intense Quote"/>
    <w:basedOn w:val="Normal"/>
    <w:next w:val="Normal"/>
    <w:link w:val="IntenseQuoteChar"/>
    <w:uiPriority w:val="30"/>
    <w:qFormat/>
    <w:rsid w:val="008776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76BD"/>
    <w:rPr>
      <w:i/>
      <w:iCs/>
      <w:color w:val="2F5496" w:themeColor="accent1" w:themeShade="BF"/>
    </w:rPr>
  </w:style>
  <w:style w:type="character" w:styleId="IntenseReference">
    <w:name w:val="Intense Reference"/>
    <w:basedOn w:val="DefaultParagraphFont"/>
    <w:uiPriority w:val="32"/>
    <w:qFormat/>
    <w:rsid w:val="008776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560</Words>
  <Characters>3192</Characters>
  <Application>Microsoft Office Word</Application>
  <DocSecurity>0</DocSecurity>
  <Lines>26</Lines>
  <Paragraphs>7</Paragraphs>
  <ScaleCrop>false</ScaleCrop>
  <Company/>
  <LinksUpToDate>false</LinksUpToDate>
  <CharactersWithSpaces>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Thị Tố Uyên Nguyễn</dc:creator>
  <cp:keywords/>
  <dc:description/>
  <cp:lastModifiedBy>Thị Tố Uyên Nguyễn</cp:lastModifiedBy>
  <cp:revision>1</cp:revision>
  <dcterms:created xsi:type="dcterms:W3CDTF">2026-07-22T09:12:00Z</dcterms:created>
  <dcterms:modified xsi:type="dcterms:W3CDTF">2026-07-22T09:12:00Z</dcterms:modified>
</cp:coreProperties>
</file>