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1F4E79"/>
          <w:sz w:val="32"/>
        </w:rPr>
        <w:t>CHUYỂN ĐỔI MÔ HÌNH QUẢN LÝ NHÀ NƯỚC VỀ THỰC THI QUYỀN SỞ HỮU TRÍ TUỆ TRÊN NỀN TẢNG SỐ TẠI VIỆT NAM:</w:t>
        <w:br/>
        <w:t>TIẾP CẬN QUẢN TRỊ ĐA CHỦ THỂ</w:t>
      </w:r>
    </w:p>
    <w:p>
      <w:pPr>
        <w:spacing w:after="480"/>
        <w:jc w:val="center"/>
      </w:pPr>
      <w:r>
        <w:rPr>
          <w:rFonts w:ascii="Times New Roman" w:hAnsi="Times New Roman"/>
          <w:i/>
          <w:sz w:val="22"/>
        </w:rPr>
        <w:t>Báo cáo Nghiên cứu Thực chứng &amp; Kiến nghị Chính sách</w:t>
        <w:br/>
        <w:t>Tác giả: Nhóm Nghiên cứu Sở hữu trí tuệ và Kinh tế số</w:t>
        <w:br/>
        <w:t>Đơn vị: Chuyên gia Xử lý Số liệu</w:t>
      </w:r>
    </w:p>
    <w:p>
      <w:pPr>
        <w:spacing w:after="360"/>
        <w:ind w:left="720" w:right="720"/>
      </w:pPr>
      <w:r>
        <w:rPr>
          <w:b/>
          <w:sz w:val="20"/>
        </w:rPr>
        <w:t xml:space="preserve">Tóm tắt: </w:t>
      </w:r>
      <w:r>
        <w:rPr>
          <w:i/>
          <w:sz w:val="20"/>
        </w:rPr>
        <w:t>Sự bùng nổ của kinh tế số và kinh tế nền tảng tại Việt Nam trong những năm qua đang tạo ra áp lực khổng lồ lên hệ thống thực thi quyền sở hữu trí tuệ (SHTT) truyền thống. Nghiên cứu này đánh giá thực trạng năng lực thực thi quyền SHTT trực tuyến thông qua phân tích dữ liệu về hạ tầng số, các báo cáo đánh giá của các tổ chức quốc tế như USTR và các cam kết pháp lý từ Hiệp định thương mại tự do giữa Việt Nam và Liên minh châu Âu (EVFTA). Kết quả phân tích cho thấy mô hình quản lý nhà nước một chiều, đơn lẻ hiện nay đang bộc lộ những hạn chế nghiêm trọng về nguồn lực phối hợp, quá lệ thuộc vào chế tài hành chính răn đe thấp và hội chứng hoạt động đơn lẻ (silo). Bài viết đề xuất chuyển đổi sang mô hình quản trị đa chủ thể (Multi-stakeholder governance) theo xu hướng toàn cầu, làm rõ vai trò phối hợp giữa Nhà nước, các nhà cung cấp dịch vụ Internet (ISPs), các sàn thương mại điện tử và các chủ thể quyền để bảo vệ tài sản trí tuệ hiệu quả trên không gian số.</w:t>
      </w:r>
    </w:p>
    <w:p>
      <w:pPr>
        <w:pStyle w:val="Heading1"/>
        <w:keepNext/>
        <w:spacing w:before="240" w:after="120"/>
      </w:pPr>
      <w:r>
        <w:rPr>
          <w:rFonts w:ascii="Times New Roman" w:hAnsi="Times New Roman"/>
          <w:b/>
          <w:color w:val="1F4E79"/>
          <w:sz w:val="28"/>
        </w:rPr>
        <w:t>I. Đặt vấn đề: Sự bùng nổ của Kinh tế số và Hạ tầng số tại Việt Nam</w:t>
      </w:r>
    </w:p>
    <w:p>
      <w:pPr>
        <w:spacing w:line="276" w:lineRule="auto" w:after="120"/>
        <w:ind w:firstLine="432"/>
      </w:pPr>
      <w:r>
        <w:t>Nền kinh tế số của Việt Nam đang có những bước tiến thần tốc và trở thành một trong những thị trường tăng trưởng nhanh nhất khu vực Đông Nam Á. Số liệu thống kê thực chứng từ các tổ chức quốc tế cho thấy kinh tế Internet của Việt Nam đạt quy mô giá trị khoảng 12 tỷ USD vào năm 2019, ghi nhận tốc độ tăng trưởng lũy kế liên tục ở mức 38% mỗi năm kể từ năm 2015. Tổng giá trị giao dịch hàng hóa trực tuyến (gross merchandise value) đã chiếm tỷ trọng trên 5% GDP cả nước ngay từ năm 2019. Trước sự bùng nổ này, Chính phủ Việt Nam đã xác định các mục tiêu mang tính chiến lược dài hạn, cụ thể phấn đấu đưa ngành kinh tế số đóng góp chiếm tỷ lệ 20% GDP vào năm 2025 và tăng mạnh lên định hướng đóng góp 30% GDP vào tầm nhìn năm 2030.</w:t>
      </w:r>
    </w:p>
    <w:p>
      <w:pPr>
        <w:spacing w:line="276" w:lineRule="auto" w:after="240"/>
        <w:ind w:firstLine="432"/>
      </w:pPr>
      <w:r>
        <w:t>Sự chuyển dịch cơ cấu kinh tế này được hậu thuẫn bởi một hạ tầng số sẵn sàng và mật độ tiếp cận dịch vụ trực tuyến cực kỳ cao của người dân. Tính đến giai đoạn năm 2019-2020, Việt Nam có khoảng 61 triệu đến 68,17 triệu người dùng Internet, tương đương với tỷ lệ thâm nhập internet đạt trên 70% dân số toàn quốc. Số lượng kết nối mạng viễn thông di động hoạt động đạt tới 145,8 triệu thuê bao, chiếm tỷ lệ khoảng 150% tổng dân số cả nước. Mức độ sẵn sàng kết nối này đã thúc đẩy thị trường thương mại điện tử trực tuyến tăng trưởng mạnh mẽ với tốc độ khoảng 35% mỗi năm, đạt quy mô mua sắm trực tuyến thường xuyên lên đến hơn 40 triệu người tiêu dùng. Sự bùng nổ giao dịch trực tuyến này đặt ra một thách thức chưa từng có đối với công tác quản lý nhà nước về SHTT, khi các hành vi xâm phạm quyền tác giả, nhãn hiệu và bí mật kinh doanh dịch chuyển hoàn toàn từ môi trường chợ vật lý truyền thống lên không gian kỹ thuật số phi biên giới.</w:t>
      </w:r>
    </w:p>
    <w:p>
      <w:pPr>
        <w:spacing w:after="80"/>
        <w:jc w:val="center"/>
      </w:pPr>
      <w:r>
        <w:rPr>
          <w:b/>
          <w:sz w:val="20"/>
        </w:rPr>
        <w:t>Bảng 1: Các chỉ số phát triển kinh tế số và kinh tế nền tảng tại Việt Nam</w:t>
      </w:r>
    </w:p>
    <w:tbl>
      <w:tblPr>
        <w:tblW w:type="auto" w:w="0"/>
        <w:jc w:val="center"/>
        <w:tblLayout w:type="fixed"/>
        <w:tblLook w:firstColumn="1" w:firstRow="1" w:lastColumn="0" w:lastRow="0" w:noHBand="0" w:noVBand="1" w:val="04A0"/>
      </w:tblPr>
      <w:tblGrid>
        <w:gridCol w:w="2340"/>
        <w:gridCol w:w="2340"/>
        <w:gridCol w:w="2340"/>
        <w:gridCol w:w="2340"/>
      </w:tblGrid>
      <w:tr>
        <w:trPr>
          <w:trHeight w:val="400" w:hRule="atLeast"/>
        </w:trPr>
        <w:tc>
          <w:tcPr>
            <w:tcW w:type="dxa" w:w="3168"/>
            <w:shd w:fill="1F4E79"/>
            <w:tcMar>
              <w:top w:w="80" w:type="dxa"/>
              <w:bottom w:w="80" w:type="dxa"/>
              <w:left w:w="100" w:type="dxa"/>
              <w:right w:w="100" w:type="dxa"/>
            </w:tcMar>
          </w:tcPr>
          <w:p>
            <w:pPr>
              <w:spacing w:before="80" w:after="80"/>
              <w:jc w:val="center"/>
            </w:pPr>
            <w:r>
              <w:rPr>
                <w:rFonts w:ascii="Times New Roman" w:hAnsi="Times New Roman"/>
                <w:b/>
                <w:color w:val="FFFFFF"/>
                <w:sz w:val="19"/>
              </w:rPr>
              <w:t>Chỉ tiêu đo lường</w:t>
            </w:r>
          </w:p>
        </w:tc>
        <w:tc>
          <w:tcPr>
            <w:tcW w:type="dxa" w:w="1872"/>
            <w:shd w:fill="1F4E79"/>
            <w:tcMar>
              <w:top w:w="80" w:type="dxa"/>
              <w:bottom w:w="80" w:type="dxa"/>
              <w:left w:w="100" w:type="dxa"/>
              <w:right w:w="100" w:type="dxa"/>
            </w:tcMar>
          </w:tcPr>
          <w:p>
            <w:pPr>
              <w:spacing w:before="80" w:after="80"/>
              <w:jc w:val="center"/>
            </w:pPr>
            <w:r>
              <w:rPr>
                <w:rFonts w:ascii="Times New Roman" w:hAnsi="Times New Roman"/>
                <w:b/>
                <w:color w:val="FFFFFF"/>
                <w:sz w:val="19"/>
              </w:rPr>
              <w:t>Giá trị thực chứng / Mục tiêu</w:t>
            </w:r>
          </w:p>
        </w:tc>
        <w:tc>
          <w:tcPr>
            <w:tcW w:type="dxa" w:w="1728"/>
            <w:shd w:fill="1F4E79"/>
            <w:tcMar>
              <w:top w:w="80" w:type="dxa"/>
              <w:bottom w:w="80" w:type="dxa"/>
              <w:left w:w="100" w:type="dxa"/>
              <w:right w:w="100" w:type="dxa"/>
            </w:tcMar>
          </w:tcPr>
          <w:p>
            <w:pPr>
              <w:spacing w:before="80" w:after="80"/>
              <w:jc w:val="center"/>
            </w:pPr>
            <w:r>
              <w:rPr>
                <w:rFonts w:ascii="Times New Roman" w:hAnsi="Times New Roman"/>
                <w:b/>
                <w:color w:val="FFFFFF"/>
                <w:sz w:val="19"/>
              </w:rPr>
              <w:t>Thời điểm / Giai đoạn</w:t>
            </w:r>
          </w:p>
        </w:tc>
        <w:tc>
          <w:tcPr>
            <w:tcW w:type="dxa" w:w="3312"/>
            <w:shd w:fill="1F4E79"/>
            <w:tcMar>
              <w:top w:w="80" w:type="dxa"/>
              <w:bottom w:w="80" w:type="dxa"/>
              <w:left w:w="100" w:type="dxa"/>
              <w:right w:w="100" w:type="dxa"/>
            </w:tcMar>
          </w:tcPr>
          <w:p>
            <w:pPr>
              <w:spacing w:before="80" w:after="80"/>
              <w:jc w:val="center"/>
            </w:pPr>
            <w:r>
              <w:rPr>
                <w:rFonts w:ascii="Times New Roman" w:hAnsi="Times New Roman"/>
                <w:b/>
                <w:color w:val="FFFFFF"/>
                <w:sz w:val="19"/>
              </w:rPr>
              <w:t>Nguồn gốc dữ liệu / Ý nghĩa</w:t>
            </w:r>
          </w:p>
        </w:tc>
      </w:tr>
      <w:tr>
        <w:trPr>
          <w:trHeight w:val="400" w:hRule="atLeast"/>
        </w:trPr>
        <w:tc>
          <w:tcPr>
            <w:tcW w:type="dxa" w:w="3168"/>
            <w:shd w:fill="F2F4F8"/>
            <w:tcMar>
              <w:top w:w="80" w:type="dxa"/>
              <w:bottom w:w="80" w:type="dxa"/>
              <w:left w:w="100" w:type="dxa"/>
              <w:right w:w="100" w:type="dxa"/>
            </w:tcMar>
          </w:tcPr>
          <w:p>
            <w:pPr>
              <w:spacing w:before="80" w:after="80"/>
              <w:jc w:val="left"/>
            </w:pPr>
            <w:r>
              <w:rPr>
                <w:rFonts w:ascii="Times New Roman" w:hAnsi="Times New Roman"/>
                <w:color w:val="333333"/>
                <w:sz w:val="19"/>
              </w:rPr>
              <w:t>Quy mô nền kinh tế Internet</w:t>
            </w:r>
          </w:p>
        </w:tc>
        <w:tc>
          <w:tcPr>
            <w:tcW w:type="dxa" w:w="1872"/>
            <w:shd w:fill="F2F4F8"/>
            <w:tcMar>
              <w:top w:w="80" w:type="dxa"/>
              <w:bottom w:w="80" w:type="dxa"/>
              <w:left w:w="100" w:type="dxa"/>
              <w:right w:w="100" w:type="dxa"/>
            </w:tcMar>
          </w:tcPr>
          <w:p>
            <w:pPr>
              <w:spacing w:before="80" w:after="80"/>
              <w:jc w:val="left"/>
            </w:pPr>
            <w:r>
              <w:rPr>
                <w:rFonts w:ascii="Times New Roman" w:hAnsi="Times New Roman"/>
                <w:color w:val="333333"/>
                <w:sz w:val="19"/>
              </w:rPr>
              <w:t>12 tỷ USD</w:t>
            </w:r>
          </w:p>
        </w:tc>
        <w:tc>
          <w:tcPr>
            <w:tcW w:type="dxa" w:w="1728"/>
            <w:shd w:fill="F2F4F8"/>
            <w:tcMar>
              <w:top w:w="80" w:type="dxa"/>
              <w:bottom w:w="80" w:type="dxa"/>
              <w:left w:w="100" w:type="dxa"/>
              <w:right w:w="100" w:type="dxa"/>
            </w:tcMar>
          </w:tcPr>
          <w:p>
            <w:pPr>
              <w:spacing w:before="80" w:after="80"/>
              <w:jc w:val="left"/>
            </w:pPr>
            <w:r>
              <w:rPr>
                <w:rFonts w:ascii="Times New Roman" w:hAnsi="Times New Roman"/>
                <w:color w:val="333333"/>
                <w:sz w:val="19"/>
              </w:rPr>
              <w:t>Năm 2019</w:t>
            </w:r>
          </w:p>
        </w:tc>
        <w:tc>
          <w:tcPr>
            <w:tcW w:type="dxa" w:w="3312"/>
            <w:shd w:fill="F2F4F8"/>
            <w:tcMar>
              <w:top w:w="80" w:type="dxa"/>
              <w:bottom w:w="80" w:type="dxa"/>
              <w:left w:w="100" w:type="dxa"/>
              <w:right w:w="100" w:type="dxa"/>
            </w:tcMar>
          </w:tcPr>
          <w:p>
            <w:pPr>
              <w:spacing w:before="80" w:after="80"/>
              <w:jc w:val="left"/>
            </w:pPr>
            <w:r>
              <w:rPr>
                <w:rFonts w:ascii="Times New Roman" w:hAnsi="Times New Roman"/>
                <w:color w:val="333333"/>
                <w:sz w:val="19"/>
              </w:rPr>
              <w:t>Google, Temasek &amp; Bain (chiếm 5% GDP)</w:t>
            </w:r>
          </w:p>
        </w:tc>
      </w:tr>
      <w:tr>
        <w:trPr>
          <w:trHeight w:val="400" w:hRule="atLeast"/>
        </w:trPr>
        <w:tc>
          <w:tcPr>
            <w:tcW w:type="dxa" w:w="3168"/>
            <w:tcMar>
              <w:top w:w="80" w:type="dxa"/>
              <w:bottom w:w="80" w:type="dxa"/>
              <w:left w:w="100" w:type="dxa"/>
              <w:right w:w="100" w:type="dxa"/>
            </w:tcMar>
          </w:tcPr>
          <w:p>
            <w:pPr>
              <w:spacing w:before="80" w:after="80"/>
              <w:jc w:val="left"/>
            </w:pPr>
            <w:r>
              <w:rPr>
                <w:rFonts w:ascii="Times New Roman" w:hAnsi="Times New Roman"/>
                <w:color w:val="333333"/>
                <w:sz w:val="19"/>
              </w:rPr>
              <w:t>Tốc độ tăng trưởng kinh tế Internet</w:t>
            </w:r>
          </w:p>
        </w:tc>
        <w:tc>
          <w:tcPr>
            <w:tcW w:type="dxa" w:w="1872"/>
            <w:tcMar>
              <w:top w:w="80" w:type="dxa"/>
              <w:bottom w:w="80" w:type="dxa"/>
              <w:left w:w="100" w:type="dxa"/>
              <w:right w:w="100" w:type="dxa"/>
            </w:tcMar>
          </w:tcPr>
          <w:p>
            <w:pPr>
              <w:spacing w:before="80" w:after="80"/>
              <w:jc w:val="left"/>
            </w:pPr>
            <w:r>
              <w:rPr>
                <w:rFonts w:ascii="Times New Roman" w:hAnsi="Times New Roman"/>
                <w:color w:val="333333"/>
                <w:sz w:val="19"/>
              </w:rPr>
              <w:t>38% / năm</w:t>
            </w:r>
          </w:p>
        </w:tc>
        <w:tc>
          <w:tcPr>
            <w:tcW w:type="dxa" w:w="1728"/>
            <w:tcMar>
              <w:top w:w="80" w:type="dxa"/>
              <w:bottom w:w="80" w:type="dxa"/>
              <w:left w:w="100" w:type="dxa"/>
              <w:right w:w="100" w:type="dxa"/>
            </w:tcMar>
          </w:tcPr>
          <w:p>
            <w:pPr>
              <w:spacing w:before="80" w:after="80"/>
              <w:jc w:val="left"/>
            </w:pPr>
            <w:r>
              <w:rPr>
                <w:rFonts w:ascii="Times New Roman" w:hAnsi="Times New Roman"/>
                <w:color w:val="333333"/>
                <w:sz w:val="19"/>
              </w:rPr>
              <w:t>Từ năm 2015</w:t>
            </w:r>
          </w:p>
        </w:tc>
        <w:tc>
          <w:tcPr>
            <w:tcW w:type="dxa" w:w="3312"/>
            <w:tcMar>
              <w:top w:w="80" w:type="dxa"/>
              <w:bottom w:w="80" w:type="dxa"/>
              <w:left w:w="100" w:type="dxa"/>
              <w:right w:w="100" w:type="dxa"/>
            </w:tcMar>
          </w:tcPr>
          <w:p>
            <w:pPr>
              <w:spacing w:before="80" w:after="80"/>
              <w:jc w:val="left"/>
            </w:pPr>
            <w:r>
              <w:rPr>
                <w:rFonts w:ascii="Times New Roman" w:hAnsi="Times New Roman"/>
                <w:color w:val="333333"/>
                <w:sz w:val="19"/>
              </w:rPr>
              <w:t>Đứng thứ hai toàn Đông Nam Á</w:t>
            </w:r>
          </w:p>
        </w:tc>
      </w:tr>
      <w:tr>
        <w:trPr>
          <w:trHeight w:val="400" w:hRule="atLeast"/>
        </w:trPr>
        <w:tc>
          <w:tcPr>
            <w:tcW w:type="dxa" w:w="3168"/>
            <w:shd w:fill="F2F4F8"/>
            <w:tcMar>
              <w:top w:w="80" w:type="dxa"/>
              <w:bottom w:w="80" w:type="dxa"/>
              <w:left w:w="100" w:type="dxa"/>
              <w:right w:w="100" w:type="dxa"/>
            </w:tcMar>
          </w:tcPr>
          <w:p>
            <w:pPr>
              <w:spacing w:before="80" w:after="80"/>
              <w:jc w:val="left"/>
            </w:pPr>
            <w:r>
              <w:rPr>
                <w:rFonts w:ascii="Times New Roman" w:hAnsi="Times New Roman"/>
                <w:color w:val="333333"/>
                <w:sz w:val="19"/>
              </w:rPr>
              <w:t>Dự báo quy mô kinh tế Internet</w:t>
            </w:r>
          </w:p>
        </w:tc>
        <w:tc>
          <w:tcPr>
            <w:tcW w:type="dxa" w:w="1872"/>
            <w:shd w:fill="F2F4F8"/>
            <w:tcMar>
              <w:top w:w="80" w:type="dxa"/>
              <w:bottom w:w="80" w:type="dxa"/>
              <w:left w:w="100" w:type="dxa"/>
              <w:right w:w="100" w:type="dxa"/>
            </w:tcMar>
          </w:tcPr>
          <w:p>
            <w:pPr>
              <w:spacing w:before="80" w:after="80"/>
              <w:jc w:val="left"/>
            </w:pPr>
            <w:r>
              <w:rPr>
                <w:rFonts w:ascii="Times New Roman" w:hAnsi="Times New Roman"/>
                <w:color w:val="333333"/>
                <w:sz w:val="19"/>
              </w:rPr>
              <w:t>43 tỷ USD</w:t>
            </w:r>
          </w:p>
        </w:tc>
        <w:tc>
          <w:tcPr>
            <w:tcW w:type="dxa" w:w="1728"/>
            <w:shd w:fill="F2F4F8"/>
            <w:tcMar>
              <w:top w:w="80" w:type="dxa"/>
              <w:bottom w:w="80" w:type="dxa"/>
              <w:left w:w="100" w:type="dxa"/>
              <w:right w:w="100" w:type="dxa"/>
            </w:tcMar>
          </w:tcPr>
          <w:p>
            <w:pPr>
              <w:spacing w:before="80" w:after="80"/>
              <w:jc w:val="left"/>
            </w:pPr>
            <w:r>
              <w:rPr>
                <w:rFonts w:ascii="Times New Roman" w:hAnsi="Times New Roman"/>
                <w:color w:val="333333"/>
                <w:sz w:val="19"/>
              </w:rPr>
              <w:t>Năm 2025</w:t>
            </w:r>
          </w:p>
        </w:tc>
        <w:tc>
          <w:tcPr>
            <w:tcW w:type="dxa" w:w="3312"/>
            <w:shd w:fill="F2F4F8"/>
            <w:tcMar>
              <w:top w:w="80" w:type="dxa"/>
              <w:bottom w:w="80" w:type="dxa"/>
              <w:left w:w="100" w:type="dxa"/>
              <w:right w:w="100" w:type="dxa"/>
            </w:tcMar>
          </w:tcPr>
          <w:p>
            <w:pPr>
              <w:spacing w:before="80" w:after="80"/>
              <w:jc w:val="left"/>
            </w:pPr>
            <w:r>
              <w:rPr>
                <w:rFonts w:ascii="Times New Roman" w:hAnsi="Times New Roman"/>
                <w:color w:val="333333"/>
                <w:sz w:val="19"/>
              </w:rPr>
              <w:t>Dự báo từ báo cáo e-Conomy SEA</w:t>
            </w:r>
          </w:p>
        </w:tc>
      </w:tr>
      <w:tr>
        <w:trPr>
          <w:trHeight w:val="400" w:hRule="atLeast"/>
        </w:trPr>
        <w:tc>
          <w:tcPr>
            <w:tcW w:type="dxa" w:w="3168"/>
            <w:tcMar>
              <w:top w:w="80" w:type="dxa"/>
              <w:bottom w:w="80" w:type="dxa"/>
              <w:left w:w="100" w:type="dxa"/>
              <w:right w:w="100" w:type="dxa"/>
            </w:tcMar>
          </w:tcPr>
          <w:p>
            <w:pPr>
              <w:spacing w:before="80" w:after="80"/>
              <w:jc w:val="left"/>
            </w:pPr>
            <w:r>
              <w:rPr>
                <w:rFonts w:ascii="Times New Roman" w:hAnsi="Times New Roman"/>
                <w:color w:val="333333"/>
                <w:sz w:val="19"/>
              </w:rPr>
              <w:t>Tỷ trọng Kinh tế số trong GDP</w:t>
            </w:r>
          </w:p>
        </w:tc>
        <w:tc>
          <w:tcPr>
            <w:tcW w:type="dxa" w:w="1872"/>
            <w:tcMar>
              <w:top w:w="80" w:type="dxa"/>
              <w:bottom w:w="80" w:type="dxa"/>
              <w:left w:w="100" w:type="dxa"/>
              <w:right w:w="100" w:type="dxa"/>
            </w:tcMar>
          </w:tcPr>
          <w:p>
            <w:pPr>
              <w:spacing w:before="80" w:after="80"/>
              <w:jc w:val="left"/>
            </w:pPr>
            <w:r>
              <w:rPr>
                <w:rFonts w:ascii="Times New Roman" w:hAnsi="Times New Roman"/>
                <w:color w:val="333333"/>
                <w:sz w:val="19"/>
              </w:rPr>
              <w:t>20% GDP</w:t>
            </w:r>
          </w:p>
        </w:tc>
        <w:tc>
          <w:tcPr>
            <w:tcW w:type="dxa" w:w="1728"/>
            <w:tcMar>
              <w:top w:w="80" w:type="dxa"/>
              <w:bottom w:w="80" w:type="dxa"/>
              <w:left w:w="100" w:type="dxa"/>
              <w:right w:w="100" w:type="dxa"/>
            </w:tcMar>
          </w:tcPr>
          <w:p>
            <w:pPr>
              <w:spacing w:before="80" w:after="80"/>
              <w:jc w:val="left"/>
            </w:pPr>
            <w:r>
              <w:rPr>
                <w:rFonts w:ascii="Times New Roman" w:hAnsi="Times New Roman"/>
                <w:color w:val="333333"/>
                <w:sz w:val="19"/>
              </w:rPr>
              <w:t>Mục tiêu năm 2025</w:t>
            </w:r>
          </w:p>
        </w:tc>
        <w:tc>
          <w:tcPr>
            <w:tcW w:type="dxa" w:w="3312"/>
            <w:tcMar>
              <w:top w:w="80" w:type="dxa"/>
              <w:bottom w:w="80" w:type="dxa"/>
              <w:left w:w="100" w:type="dxa"/>
              <w:right w:w="100" w:type="dxa"/>
            </w:tcMar>
          </w:tcPr>
          <w:p>
            <w:pPr>
              <w:spacing w:before="80" w:after="80"/>
              <w:jc w:val="left"/>
            </w:pPr>
            <w:r>
              <w:rPr>
                <w:rFonts w:ascii="Times New Roman" w:hAnsi="Times New Roman"/>
                <w:color w:val="333333"/>
                <w:sz w:val="19"/>
              </w:rPr>
              <w:t>Quyết định phê duyệt chiến lược của Chính phủ</w:t>
            </w:r>
          </w:p>
        </w:tc>
      </w:tr>
      <w:tr>
        <w:trPr>
          <w:trHeight w:val="400" w:hRule="atLeast"/>
        </w:trPr>
        <w:tc>
          <w:tcPr>
            <w:tcW w:type="dxa" w:w="3168"/>
            <w:shd w:fill="F2F4F8"/>
            <w:tcMar>
              <w:top w:w="80" w:type="dxa"/>
              <w:bottom w:w="80" w:type="dxa"/>
              <w:left w:w="100" w:type="dxa"/>
              <w:right w:w="100" w:type="dxa"/>
            </w:tcMar>
          </w:tcPr>
          <w:p>
            <w:pPr>
              <w:spacing w:before="80" w:after="80"/>
              <w:jc w:val="left"/>
            </w:pPr>
            <w:r>
              <w:rPr>
                <w:rFonts w:ascii="Times New Roman" w:hAnsi="Times New Roman"/>
                <w:color w:val="333333"/>
                <w:sz w:val="19"/>
              </w:rPr>
              <w:t>Định hướng Kinh tế số trong GDP</w:t>
            </w:r>
          </w:p>
        </w:tc>
        <w:tc>
          <w:tcPr>
            <w:tcW w:type="dxa" w:w="1872"/>
            <w:shd w:fill="F2F4F8"/>
            <w:tcMar>
              <w:top w:w="80" w:type="dxa"/>
              <w:bottom w:w="80" w:type="dxa"/>
              <w:left w:w="100" w:type="dxa"/>
              <w:right w:w="100" w:type="dxa"/>
            </w:tcMar>
          </w:tcPr>
          <w:p>
            <w:pPr>
              <w:spacing w:before="80" w:after="80"/>
              <w:jc w:val="left"/>
            </w:pPr>
            <w:r>
              <w:rPr>
                <w:rFonts w:ascii="Times New Roman" w:hAnsi="Times New Roman"/>
                <w:color w:val="333333"/>
                <w:sz w:val="19"/>
              </w:rPr>
              <w:t>30% GDP</w:t>
            </w:r>
          </w:p>
        </w:tc>
        <w:tc>
          <w:tcPr>
            <w:tcW w:type="dxa" w:w="1728"/>
            <w:shd w:fill="F2F4F8"/>
            <w:tcMar>
              <w:top w:w="80" w:type="dxa"/>
              <w:bottom w:w="80" w:type="dxa"/>
              <w:left w:w="100" w:type="dxa"/>
              <w:right w:w="100" w:type="dxa"/>
            </w:tcMar>
          </w:tcPr>
          <w:p>
            <w:pPr>
              <w:spacing w:before="80" w:after="80"/>
              <w:jc w:val="left"/>
            </w:pPr>
            <w:r>
              <w:rPr>
                <w:rFonts w:ascii="Times New Roman" w:hAnsi="Times New Roman"/>
                <w:color w:val="333333"/>
                <w:sz w:val="19"/>
              </w:rPr>
              <w:t>Định hướng năm 2030</w:t>
            </w:r>
          </w:p>
        </w:tc>
        <w:tc>
          <w:tcPr>
            <w:tcW w:type="dxa" w:w="3312"/>
            <w:shd w:fill="F2F4F8"/>
            <w:tcMar>
              <w:top w:w="80" w:type="dxa"/>
              <w:bottom w:w="80" w:type="dxa"/>
              <w:left w:w="100" w:type="dxa"/>
              <w:right w:w="100" w:type="dxa"/>
            </w:tcMar>
          </w:tcPr>
          <w:p>
            <w:pPr>
              <w:spacing w:before="80" w:after="80"/>
              <w:jc w:val="left"/>
            </w:pPr>
            <w:r>
              <w:rPr>
                <w:rFonts w:ascii="Times New Roman" w:hAnsi="Times New Roman"/>
                <w:color w:val="333333"/>
                <w:sz w:val="19"/>
              </w:rPr>
              <w:t>Kế hoạch phát triển dài hạn quốc gia</w:t>
            </w:r>
          </w:p>
        </w:tc>
      </w:tr>
      <w:tr>
        <w:trPr>
          <w:trHeight w:val="400" w:hRule="atLeast"/>
        </w:trPr>
        <w:tc>
          <w:tcPr>
            <w:tcW w:type="dxa" w:w="3168"/>
            <w:tcMar>
              <w:top w:w="80" w:type="dxa"/>
              <w:bottom w:w="80" w:type="dxa"/>
              <w:left w:w="100" w:type="dxa"/>
              <w:right w:w="100" w:type="dxa"/>
            </w:tcMar>
          </w:tcPr>
          <w:p>
            <w:pPr>
              <w:spacing w:before="80" w:after="80"/>
              <w:jc w:val="left"/>
            </w:pPr>
            <w:r>
              <w:rPr>
                <w:rFonts w:ascii="Times New Roman" w:hAnsi="Times New Roman"/>
                <w:color w:val="333333"/>
                <w:sz w:val="19"/>
              </w:rPr>
              <w:t>Doanh thu toàn ngành ICT</w:t>
            </w:r>
          </w:p>
        </w:tc>
        <w:tc>
          <w:tcPr>
            <w:tcW w:type="dxa" w:w="1872"/>
            <w:tcMar>
              <w:top w:w="80" w:type="dxa"/>
              <w:bottom w:w="80" w:type="dxa"/>
              <w:left w:w="100" w:type="dxa"/>
              <w:right w:w="100" w:type="dxa"/>
            </w:tcMar>
          </w:tcPr>
          <w:p>
            <w:pPr>
              <w:spacing w:before="80" w:after="80"/>
              <w:jc w:val="left"/>
            </w:pPr>
            <w:r>
              <w:rPr>
                <w:rFonts w:ascii="Times New Roman" w:hAnsi="Times New Roman"/>
                <w:color w:val="333333"/>
                <w:sz w:val="19"/>
              </w:rPr>
              <w:t>112,35 tỷ USD</w:t>
            </w:r>
          </w:p>
        </w:tc>
        <w:tc>
          <w:tcPr>
            <w:tcW w:type="dxa" w:w="1728"/>
            <w:tcMar>
              <w:top w:w="80" w:type="dxa"/>
              <w:bottom w:w="80" w:type="dxa"/>
              <w:left w:w="100" w:type="dxa"/>
              <w:right w:w="100" w:type="dxa"/>
            </w:tcMar>
          </w:tcPr>
          <w:p>
            <w:pPr>
              <w:spacing w:before="80" w:after="80"/>
              <w:jc w:val="left"/>
            </w:pPr>
            <w:r>
              <w:rPr>
                <w:rFonts w:ascii="Times New Roman" w:hAnsi="Times New Roman"/>
                <w:color w:val="333333"/>
                <w:sz w:val="19"/>
              </w:rPr>
              <w:t>Năm 2019</w:t>
            </w:r>
          </w:p>
        </w:tc>
        <w:tc>
          <w:tcPr>
            <w:tcW w:type="dxa" w:w="3312"/>
            <w:tcMar>
              <w:top w:w="80" w:type="dxa"/>
              <w:bottom w:w="80" w:type="dxa"/>
              <w:left w:w="100" w:type="dxa"/>
              <w:right w:w="100" w:type="dxa"/>
            </w:tcMar>
          </w:tcPr>
          <w:p>
            <w:pPr>
              <w:spacing w:before="80" w:after="80"/>
              <w:jc w:val="left"/>
            </w:pPr>
            <w:r>
              <w:rPr>
                <w:rFonts w:ascii="Times New Roman" w:hAnsi="Times New Roman"/>
                <w:color w:val="333333"/>
                <w:sz w:val="19"/>
              </w:rPr>
              <w:t>Báo cáo tóm tắt của Bộ Thông tin &amp; Truyền thông</w:t>
            </w:r>
          </w:p>
        </w:tc>
      </w:tr>
      <w:tr>
        <w:trPr>
          <w:trHeight w:val="400" w:hRule="atLeast"/>
        </w:trPr>
        <w:tc>
          <w:tcPr>
            <w:tcW w:type="dxa" w:w="3168"/>
            <w:shd w:fill="F2F4F8"/>
            <w:tcMar>
              <w:top w:w="80" w:type="dxa"/>
              <w:bottom w:w="80" w:type="dxa"/>
              <w:left w:w="100" w:type="dxa"/>
              <w:right w:w="100" w:type="dxa"/>
            </w:tcMar>
          </w:tcPr>
          <w:p>
            <w:pPr>
              <w:spacing w:before="80" w:after="80"/>
              <w:jc w:val="left"/>
            </w:pPr>
            <w:r>
              <w:rPr>
                <w:rFonts w:ascii="Times New Roman" w:hAnsi="Times New Roman"/>
                <w:color w:val="333333"/>
                <w:sz w:val="19"/>
              </w:rPr>
              <w:t>Doanh thu ngành phần mềm</w:t>
            </w:r>
          </w:p>
        </w:tc>
        <w:tc>
          <w:tcPr>
            <w:tcW w:type="dxa" w:w="1872"/>
            <w:shd w:fill="F2F4F8"/>
            <w:tcMar>
              <w:top w:w="80" w:type="dxa"/>
              <w:bottom w:w="80" w:type="dxa"/>
              <w:left w:w="100" w:type="dxa"/>
              <w:right w:w="100" w:type="dxa"/>
            </w:tcMar>
          </w:tcPr>
          <w:p>
            <w:pPr>
              <w:spacing w:before="80" w:after="80"/>
              <w:jc w:val="left"/>
            </w:pPr>
            <w:r>
              <w:rPr>
                <w:rFonts w:ascii="Times New Roman" w:hAnsi="Times New Roman"/>
                <w:color w:val="333333"/>
                <w:sz w:val="19"/>
              </w:rPr>
              <w:t>5 tỷ USD</w:t>
            </w:r>
          </w:p>
        </w:tc>
        <w:tc>
          <w:tcPr>
            <w:tcW w:type="dxa" w:w="1728"/>
            <w:shd w:fill="F2F4F8"/>
            <w:tcMar>
              <w:top w:w="80" w:type="dxa"/>
              <w:bottom w:w="80" w:type="dxa"/>
              <w:left w:w="100" w:type="dxa"/>
              <w:right w:w="100" w:type="dxa"/>
            </w:tcMar>
          </w:tcPr>
          <w:p>
            <w:pPr>
              <w:spacing w:before="80" w:after="80"/>
              <w:jc w:val="left"/>
            </w:pPr>
            <w:r>
              <w:rPr>
                <w:rFonts w:ascii="Times New Roman" w:hAnsi="Times New Roman"/>
                <w:color w:val="333333"/>
                <w:sz w:val="19"/>
              </w:rPr>
              <w:t>Năm 2019</w:t>
            </w:r>
          </w:p>
        </w:tc>
        <w:tc>
          <w:tcPr>
            <w:tcW w:type="dxa" w:w="3312"/>
            <w:shd w:fill="F2F4F8"/>
            <w:tcMar>
              <w:top w:w="80" w:type="dxa"/>
              <w:bottom w:w="80" w:type="dxa"/>
              <w:left w:w="100" w:type="dxa"/>
              <w:right w:w="100" w:type="dxa"/>
            </w:tcMar>
          </w:tcPr>
          <w:p>
            <w:pPr>
              <w:spacing w:before="80" w:after="80"/>
              <w:jc w:val="left"/>
            </w:pPr>
            <w:r>
              <w:rPr>
                <w:rFonts w:ascii="Times New Roman" w:hAnsi="Times New Roman"/>
                <w:color w:val="333333"/>
                <w:sz w:val="19"/>
              </w:rPr>
              <w:t>Tăng 500 triệu USD so với năm 2018</w:t>
            </w:r>
          </w:p>
        </w:tc>
      </w:tr>
      <w:tr>
        <w:trPr>
          <w:trHeight w:val="400" w:hRule="atLeast"/>
        </w:trPr>
        <w:tc>
          <w:tcPr>
            <w:tcW w:type="dxa" w:w="3168"/>
            <w:tcMar>
              <w:top w:w="80" w:type="dxa"/>
              <w:bottom w:w="80" w:type="dxa"/>
              <w:left w:w="100" w:type="dxa"/>
              <w:right w:w="100" w:type="dxa"/>
            </w:tcMar>
          </w:tcPr>
          <w:p>
            <w:pPr>
              <w:spacing w:before="80" w:after="80"/>
              <w:jc w:val="left"/>
            </w:pPr>
            <w:r>
              <w:rPr>
                <w:rFonts w:ascii="Times New Roman" w:hAnsi="Times New Roman"/>
                <w:color w:val="333333"/>
                <w:sz w:val="19"/>
              </w:rPr>
              <w:t>Doanh thu bán lẻ thương mại điện tử</w:t>
            </w:r>
          </w:p>
        </w:tc>
        <w:tc>
          <w:tcPr>
            <w:tcW w:type="dxa" w:w="1872"/>
            <w:tcMar>
              <w:top w:w="80" w:type="dxa"/>
              <w:bottom w:w="80" w:type="dxa"/>
              <w:left w:w="100" w:type="dxa"/>
              <w:right w:w="100" w:type="dxa"/>
            </w:tcMar>
          </w:tcPr>
          <w:p>
            <w:pPr>
              <w:spacing w:before="80" w:after="80"/>
              <w:jc w:val="left"/>
            </w:pPr>
            <w:r>
              <w:rPr>
                <w:rFonts w:ascii="Times New Roman" w:hAnsi="Times New Roman"/>
                <w:color w:val="333333"/>
                <w:sz w:val="19"/>
              </w:rPr>
              <w:t>6,2 tỷ USD</w:t>
            </w:r>
          </w:p>
        </w:tc>
        <w:tc>
          <w:tcPr>
            <w:tcW w:type="dxa" w:w="1728"/>
            <w:tcMar>
              <w:top w:w="80" w:type="dxa"/>
              <w:bottom w:w="80" w:type="dxa"/>
              <w:left w:w="100" w:type="dxa"/>
              <w:right w:w="100" w:type="dxa"/>
            </w:tcMar>
          </w:tcPr>
          <w:p>
            <w:pPr>
              <w:spacing w:before="80" w:after="80"/>
              <w:jc w:val="left"/>
            </w:pPr>
            <w:r>
              <w:rPr>
                <w:rFonts w:ascii="Times New Roman" w:hAnsi="Times New Roman"/>
                <w:color w:val="333333"/>
                <w:sz w:val="19"/>
              </w:rPr>
              <w:t>Năm 2017</w:t>
            </w:r>
          </w:p>
        </w:tc>
        <w:tc>
          <w:tcPr>
            <w:tcW w:type="dxa" w:w="3312"/>
            <w:tcMar>
              <w:top w:w="80" w:type="dxa"/>
              <w:bottom w:w="80" w:type="dxa"/>
              <w:left w:w="100" w:type="dxa"/>
              <w:right w:w="100" w:type="dxa"/>
            </w:tcMar>
          </w:tcPr>
          <w:p>
            <w:pPr>
              <w:spacing w:before="80" w:after="80"/>
              <w:jc w:val="left"/>
            </w:pPr>
            <w:r>
              <w:rPr>
                <w:rFonts w:ascii="Times New Roman" w:hAnsi="Times New Roman"/>
                <w:color w:val="333333"/>
                <w:sz w:val="19"/>
              </w:rPr>
              <w:t>Doanh thu bán lẻ TMĐT (E-commerce)</w:t>
            </w:r>
          </w:p>
        </w:tc>
      </w:tr>
      <w:tr>
        <w:trPr>
          <w:trHeight w:val="400" w:hRule="atLeast"/>
        </w:trPr>
        <w:tc>
          <w:tcPr>
            <w:tcW w:type="dxa" w:w="3168"/>
            <w:shd w:fill="F2F4F8"/>
            <w:tcMar>
              <w:top w:w="80" w:type="dxa"/>
              <w:bottom w:w="80" w:type="dxa"/>
              <w:left w:w="100" w:type="dxa"/>
              <w:right w:w="100" w:type="dxa"/>
            </w:tcMar>
          </w:tcPr>
          <w:p>
            <w:pPr>
              <w:spacing w:before="80" w:after="80"/>
              <w:jc w:val="left"/>
            </w:pPr>
            <w:r>
              <w:rPr>
                <w:rFonts w:ascii="Times New Roman" w:hAnsi="Times New Roman"/>
                <w:color w:val="333333"/>
                <w:sz w:val="19"/>
              </w:rPr>
              <w:t>Số lượng doanh nghiệp ICT</w:t>
            </w:r>
          </w:p>
        </w:tc>
        <w:tc>
          <w:tcPr>
            <w:tcW w:type="dxa" w:w="1872"/>
            <w:shd w:fill="F2F4F8"/>
            <w:tcMar>
              <w:top w:w="80" w:type="dxa"/>
              <w:bottom w:w="80" w:type="dxa"/>
              <w:left w:w="100" w:type="dxa"/>
              <w:right w:w="100" w:type="dxa"/>
            </w:tcMar>
          </w:tcPr>
          <w:p>
            <w:pPr>
              <w:spacing w:before="80" w:after="80"/>
              <w:jc w:val="left"/>
            </w:pPr>
            <w:r>
              <w:rPr>
                <w:rFonts w:ascii="Times New Roman" w:hAnsi="Times New Roman"/>
                <w:color w:val="333333"/>
                <w:sz w:val="19"/>
              </w:rPr>
              <w:t>~30.000 doanh nghiệp</w:t>
            </w:r>
          </w:p>
        </w:tc>
        <w:tc>
          <w:tcPr>
            <w:tcW w:type="dxa" w:w="1728"/>
            <w:shd w:fill="F2F4F8"/>
            <w:tcMar>
              <w:top w:w="80" w:type="dxa"/>
              <w:bottom w:w="80" w:type="dxa"/>
              <w:left w:w="100" w:type="dxa"/>
              <w:right w:w="100" w:type="dxa"/>
            </w:tcMar>
          </w:tcPr>
          <w:p>
            <w:pPr>
              <w:spacing w:before="80" w:after="80"/>
              <w:jc w:val="left"/>
            </w:pPr>
            <w:r>
              <w:rPr>
                <w:rFonts w:ascii="Times New Roman" w:hAnsi="Times New Roman"/>
                <w:color w:val="333333"/>
                <w:sz w:val="19"/>
              </w:rPr>
              <w:t>Giữa năm 2018</w:t>
            </w:r>
          </w:p>
        </w:tc>
        <w:tc>
          <w:tcPr>
            <w:tcW w:type="dxa" w:w="3312"/>
            <w:shd w:fill="F2F4F8"/>
            <w:tcMar>
              <w:top w:w="80" w:type="dxa"/>
              <w:bottom w:w="80" w:type="dxa"/>
              <w:left w:w="100" w:type="dxa"/>
              <w:right w:w="100" w:type="dxa"/>
            </w:tcMar>
          </w:tcPr>
          <w:p>
            <w:pPr>
              <w:spacing w:before="80" w:after="80"/>
              <w:jc w:val="left"/>
            </w:pPr>
            <w:r>
              <w:rPr>
                <w:rFonts w:ascii="Times New Roman" w:hAnsi="Times New Roman"/>
                <w:color w:val="333333"/>
                <w:sz w:val="19"/>
              </w:rPr>
              <w:t>Lực lượng phần cứng, phần mềm, dịch vụ</w:t>
            </w:r>
          </w:p>
        </w:tc>
      </w:tr>
      <w:tr>
        <w:trPr>
          <w:trHeight w:val="400" w:hRule="atLeast"/>
        </w:trPr>
        <w:tc>
          <w:tcPr>
            <w:tcW w:type="dxa" w:w="3168"/>
            <w:tcMar>
              <w:top w:w="80" w:type="dxa"/>
              <w:bottom w:w="80" w:type="dxa"/>
              <w:left w:w="100" w:type="dxa"/>
              <w:right w:w="100" w:type="dxa"/>
            </w:tcMar>
          </w:tcPr>
          <w:p>
            <w:pPr>
              <w:spacing w:before="80" w:after="80"/>
              <w:jc w:val="left"/>
            </w:pPr>
            <w:r>
              <w:rPr>
                <w:rFonts w:ascii="Times New Roman" w:hAnsi="Times New Roman"/>
                <w:color w:val="333333"/>
                <w:sz w:val="19"/>
              </w:rPr>
              <w:t>Doanh nghiệp phát triển phần mềm</w:t>
            </w:r>
          </w:p>
        </w:tc>
        <w:tc>
          <w:tcPr>
            <w:tcW w:type="dxa" w:w="1872"/>
            <w:tcMar>
              <w:top w:w="80" w:type="dxa"/>
              <w:bottom w:w="80" w:type="dxa"/>
              <w:left w:w="100" w:type="dxa"/>
              <w:right w:w="100" w:type="dxa"/>
            </w:tcMar>
          </w:tcPr>
          <w:p>
            <w:pPr>
              <w:spacing w:before="80" w:after="80"/>
              <w:jc w:val="left"/>
            </w:pPr>
            <w:r>
              <w:rPr>
                <w:rFonts w:ascii="Times New Roman" w:hAnsi="Times New Roman"/>
                <w:color w:val="333333"/>
                <w:sz w:val="19"/>
              </w:rPr>
              <w:t>~9.500 doanh nghiệp</w:t>
            </w:r>
          </w:p>
        </w:tc>
        <w:tc>
          <w:tcPr>
            <w:tcW w:type="dxa" w:w="1728"/>
            <w:tcMar>
              <w:top w:w="80" w:type="dxa"/>
              <w:bottom w:w="80" w:type="dxa"/>
              <w:left w:w="100" w:type="dxa"/>
              <w:right w:w="100" w:type="dxa"/>
            </w:tcMar>
          </w:tcPr>
          <w:p>
            <w:pPr>
              <w:spacing w:before="80" w:after="80"/>
              <w:jc w:val="left"/>
            </w:pPr>
            <w:r>
              <w:rPr>
                <w:rFonts w:ascii="Times New Roman" w:hAnsi="Times New Roman"/>
                <w:color w:val="333333"/>
                <w:sz w:val="19"/>
              </w:rPr>
              <w:t>Giữa năm 2018</w:t>
            </w:r>
          </w:p>
        </w:tc>
        <w:tc>
          <w:tcPr>
            <w:tcW w:type="dxa" w:w="3312"/>
            <w:tcMar>
              <w:top w:w="80" w:type="dxa"/>
              <w:bottom w:w="80" w:type="dxa"/>
              <w:left w:w="100" w:type="dxa"/>
              <w:right w:w="100" w:type="dxa"/>
            </w:tcMar>
          </w:tcPr>
          <w:p>
            <w:pPr>
              <w:spacing w:before="80" w:after="80"/>
              <w:jc w:val="left"/>
            </w:pPr>
            <w:r>
              <w:rPr>
                <w:rFonts w:ascii="Times New Roman" w:hAnsi="Times New Roman"/>
                <w:color w:val="333333"/>
                <w:sz w:val="19"/>
              </w:rPr>
              <w:t>Phục vụ tài chính, nông nghiệp, QLNN</w:t>
            </w:r>
          </w:p>
        </w:tc>
      </w:tr>
    </w:tbl>
    <w:p>
      <w:pPr>
        <w:spacing w:before="120" w:after="120"/>
      </w:pPr>
    </w:p>
    <w:p>
      <w:pPr>
        <w:spacing w:after="80"/>
        <w:jc w:val="center"/>
      </w:pPr>
      <w:r>
        <w:rPr>
          <w:b/>
          <w:sz w:val="20"/>
        </w:rPr>
        <w:t>Bảng 2: Sự di chuyển của chủ thể số và hạ tầng sẵn sàng tại Việt Nam</w:t>
      </w:r>
    </w:p>
    <w:tbl>
      <w:tblPr>
        <w:tblW w:type="auto" w:w="0"/>
        <w:jc w:val="center"/>
        <w:tblLayout w:type="fixed"/>
        <w:tblLook w:firstColumn="1" w:firstRow="1" w:lastColumn="0" w:lastRow="0" w:noHBand="0" w:noVBand="1" w:val="04A0"/>
      </w:tblPr>
      <w:tblGrid>
        <w:gridCol w:w="2340"/>
        <w:gridCol w:w="2340"/>
        <w:gridCol w:w="2340"/>
        <w:gridCol w:w="2340"/>
      </w:tblGrid>
      <w:tr>
        <w:trPr>
          <w:trHeight w:val="400" w:hRule="atLeast"/>
        </w:trPr>
        <w:tc>
          <w:tcPr>
            <w:tcW w:type="dxa" w:w="2880"/>
            <w:shd w:fill="1F4E79"/>
            <w:tcMar>
              <w:top w:w="80" w:type="dxa"/>
              <w:bottom w:w="80" w:type="dxa"/>
              <w:left w:w="100" w:type="dxa"/>
              <w:right w:w="100" w:type="dxa"/>
            </w:tcMar>
          </w:tcPr>
          <w:p>
            <w:pPr>
              <w:spacing w:before="80" w:after="80"/>
              <w:jc w:val="center"/>
            </w:pPr>
            <w:r>
              <w:rPr>
                <w:rFonts w:ascii="Times New Roman" w:hAnsi="Times New Roman"/>
                <w:b/>
                <w:color w:val="FFFFFF"/>
                <w:sz w:val="19"/>
              </w:rPr>
              <w:t>Chỉ tiêu đo lường</w:t>
            </w:r>
          </w:p>
        </w:tc>
        <w:tc>
          <w:tcPr>
            <w:tcW w:type="dxa" w:w="2016"/>
            <w:shd w:fill="1F4E79"/>
            <w:tcMar>
              <w:top w:w="80" w:type="dxa"/>
              <w:bottom w:w="80" w:type="dxa"/>
              <w:left w:w="100" w:type="dxa"/>
              <w:right w:w="100" w:type="dxa"/>
            </w:tcMar>
          </w:tcPr>
          <w:p>
            <w:pPr>
              <w:spacing w:before="80" w:after="80"/>
              <w:jc w:val="center"/>
            </w:pPr>
            <w:r>
              <w:rPr>
                <w:rFonts w:ascii="Times New Roman" w:hAnsi="Times New Roman"/>
                <w:b/>
                <w:color w:val="FFFFFF"/>
                <w:sz w:val="19"/>
              </w:rPr>
              <w:t>Giá trị thực chứng</w:t>
            </w:r>
          </w:p>
        </w:tc>
        <w:tc>
          <w:tcPr>
            <w:tcW w:type="dxa" w:w="1584"/>
            <w:shd w:fill="1F4E79"/>
            <w:tcMar>
              <w:top w:w="80" w:type="dxa"/>
              <w:bottom w:w="80" w:type="dxa"/>
              <w:left w:w="100" w:type="dxa"/>
              <w:right w:w="100" w:type="dxa"/>
            </w:tcMar>
          </w:tcPr>
          <w:p>
            <w:pPr>
              <w:spacing w:before="80" w:after="80"/>
              <w:jc w:val="center"/>
            </w:pPr>
            <w:r>
              <w:rPr>
                <w:rFonts w:ascii="Times New Roman" w:hAnsi="Times New Roman"/>
                <w:b/>
                <w:color w:val="FFFFFF"/>
                <w:sz w:val="19"/>
              </w:rPr>
              <w:t>Thời điểm</w:t>
            </w:r>
          </w:p>
        </w:tc>
        <w:tc>
          <w:tcPr>
            <w:tcW w:type="dxa" w:w="3600"/>
            <w:shd w:fill="1F4E79"/>
            <w:tcMar>
              <w:top w:w="80" w:type="dxa"/>
              <w:bottom w:w="80" w:type="dxa"/>
              <w:left w:w="100" w:type="dxa"/>
              <w:right w:w="100" w:type="dxa"/>
            </w:tcMar>
          </w:tcPr>
          <w:p>
            <w:pPr>
              <w:spacing w:before="80" w:after="80"/>
              <w:jc w:val="center"/>
            </w:pPr>
            <w:r>
              <w:rPr>
                <w:rFonts w:ascii="Times New Roman" w:hAnsi="Times New Roman"/>
                <w:b/>
                <w:color w:val="FFFFFF"/>
                <w:sz w:val="19"/>
              </w:rPr>
              <w:t>Ý nghĩa khoa học đối với việc thực thi SHTT</w:t>
            </w:r>
          </w:p>
        </w:tc>
      </w:tr>
      <w:tr>
        <w:trPr>
          <w:trHeight w:val="400" w:hRule="atLeast"/>
        </w:trPr>
        <w:tc>
          <w:tcPr>
            <w:tcW w:type="dxa" w:w="2880"/>
            <w:shd w:fill="F2F4F8"/>
            <w:tcMar>
              <w:top w:w="80" w:type="dxa"/>
              <w:bottom w:w="80" w:type="dxa"/>
              <w:left w:w="100" w:type="dxa"/>
              <w:right w:w="100" w:type="dxa"/>
            </w:tcMar>
          </w:tcPr>
          <w:p>
            <w:pPr>
              <w:spacing w:before="80" w:after="80"/>
              <w:jc w:val="left"/>
            </w:pPr>
            <w:r>
              <w:rPr>
                <w:rFonts w:ascii="Times New Roman" w:hAnsi="Times New Roman"/>
                <w:color w:val="333333"/>
                <w:sz w:val="19"/>
              </w:rPr>
              <w:t>Số lượng người truy cập Internet</w:t>
            </w:r>
          </w:p>
        </w:tc>
        <w:tc>
          <w:tcPr>
            <w:tcW w:type="dxa" w:w="2016"/>
            <w:shd w:fill="F2F4F8"/>
            <w:tcMar>
              <w:top w:w="80" w:type="dxa"/>
              <w:bottom w:w="80" w:type="dxa"/>
              <w:left w:w="100" w:type="dxa"/>
              <w:right w:w="100" w:type="dxa"/>
            </w:tcMar>
          </w:tcPr>
          <w:p>
            <w:pPr>
              <w:spacing w:before="80" w:after="80"/>
              <w:jc w:val="left"/>
            </w:pPr>
            <w:r>
              <w:rPr>
                <w:rFonts w:ascii="Times New Roman" w:hAnsi="Times New Roman"/>
                <w:color w:val="333333"/>
                <w:sz w:val="19"/>
              </w:rPr>
              <w:t>61 - 68,17 triệu người</w:t>
            </w:r>
          </w:p>
        </w:tc>
        <w:tc>
          <w:tcPr>
            <w:tcW w:type="dxa" w:w="1584"/>
            <w:shd w:fill="F2F4F8"/>
            <w:tcMar>
              <w:top w:w="80" w:type="dxa"/>
              <w:bottom w:w="80" w:type="dxa"/>
              <w:left w:w="100" w:type="dxa"/>
              <w:right w:w="100" w:type="dxa"/>
            </w:tcMar>
          </w:tcPr>
          <w:p>
            <w:pPr>
              <w:spacing w:before="80" w:after="80"/>
              <w:jc w:val="left"/>
            </w:pPr>
            <w:r>
              <w:rPr>
                <w:rFonts w:ascii="Times New Roman" w:hAnsi="Times New Roman"/>
                <w:color w:val="333333"/>
                <w:sz w:val="19"/>
              </w:rPr>
              <w:t>2019 - 2020</w:t>
            </w:r>
          </w:p>
        </w:tc>
        <w:tc>
          <w:tcPr>
            <w:tcW w:type="dxa" w:w="3600"/>
            <w:shd w:fill="F2F4F8"/>
            <w:tcMar>
              <w:top w:w="80" w:type="dxa"/>
              <w:bottom w:w="80" w:type="dxa"/>
              <w:left w:w="100" w:type="dxa"/>
              <w:right w:w="100" w:type="dxa"/>
            </w:tcMar>
          </w:tcPr>
          <w:p>
            <w:pPr>
              <w:spacing w:before="80" w:after="80"/>
              <w:jc w:val="left"/>
            </w:pPr>
            <w:r>
              <w:rPr>
                <w:rFonts w:ascii="Times New Roman" w:hAnsi="Times New Roman"/>
                <w:color w:val="333333"/>
                <w:sz w:val="19"/>
              </w:rPr>
              <w:t>Chiếm tỷ lệ ~70% dân số toàn quốc</w:t>
            </w:r>
          </w:p>
        </w:tc>
      </w:tr>
      <w:tr>
        <w:trPr>
          <w:trHeight w:val="400" w:hRule="atLeast"/>
        </w:trPr>
        <w:tc>
          <w:tcPr>
            <w:tcW w:type="dxa" w:w="2880"/>
            <w:tcMar>
              <w:top w:w="80" w:type="dxa"/>
              <w:bottom w:w="80" w:type="dxa"/>
              <w:left w:w="100" w:type="dxa"/>
              <w:right w:w="100" w:type="dxa"/>
            </w:tcMar>
          </w:tcPr>
          <w:p>
            <w:pPr>
              <w:spacing w:before="80" w:after="80"/>
              <w:jc w:val="left"/>
            </w:pPr>
            <w:r>
              <w:rPr>
                <w:rFonts w:ascii="Times New Roman" w:hAnsi="Times New Roman"/>
                <w:color w:val="333333"/>
                <w:sz w:val="19"/>
              </w:rPr>
              <w:t>Số lượng kết nối di động</w:t>
            </w:r>
          </w:p>
        </w:tc>
        <w:tc>
          <w:tcPr>
            <w:tcW w:type="dxa" w:w="2016"/>
            <w:tcMar>
              <w:top w:w="80" w:type="dxa"/>
              <w:bottom w:w="80" w:type="dxa"/>
              <w:left w:w="100" w:type="dxa"/>
              <w:right w:w="100" w:type="dxa"/>
            </w:tcMar>
          </w:tcPr>
          <w:p>
            <w:pPr>
              <w:spacing w:before="80" w:after="80"/>
              <w:jc w:val="left"/>
            </w:pPr>
            <w:r>
              <w:rPr>
                <w:rFonts w:ascii="Times New Roman" w:hAnsi="Times New Roman"/>
                <w:color w:val="333333"/>
                <w:sz w:val="19"/>
              </w:rPr>
              <w:t>145,8 triệu kết nối</w:t>
            </w:r>
          </w:p>
        </w:tc>
        <w:tc>
          <w:tcPr>
            <w:tcW w:type="dxa" w:w="1584"/>
            <w:tcMar>
              <w:top w:w="80" w:type="dxa"/>
              <w:bottom w:w="80" w:type="dxa"/>
              <w:left w:w="100" w:type="dxa"/>
              <w:right w:w="100" w:type="dxa"/>
            </w:tcMar>
          </w:tcPr>
          <w:p>
            <w:pPr>
              <w:spacing w:before="80" w:after="80"/>
              <w:jc w:val="left"/>
            </w:pPr>
            <w:r>
              <w:rPr>
                <w:rFonts w:ascii="Times New Roman" w:hAnsi="Times New Roman"/>
                <w:color w:val="333333"/>
                <w:sz w:val="19"/>
              </w:rPr>
              <w:t>Năm 2020</w:t>
            </w:r>
          </w:p>
        </w:tc>
        <w:tc>
          <w:tcPr>
            <w:tcW w:type="dxa" w:w="3600"/>
            <w:tcMar>
              <w:top w:w="80" w:type="dxa"/>
              <w:bottom w:w="80" w:type="dxa"/>
              <w:left w:w="100" w:type="dxa"/>
              <w:right w:w="100" w:type="dxa"/>
            </w:tcMar>
          </w:tcPr>
          <w:p>
            <w:pPr>
              <w:spacing w:before="80" w:after="80"/>
              <w:jc w:val="left"/>
            </w:pPr>
            <w:r>
              <w:rPr>
                <w:rFonts w:ascii="Times New Roman" w:hAnsi="Times New Roman"/>
                <w:color w:val="333333"/>
                <w:sz w:val="19"/>
              </w:rPr>
              <w:t>Tương đương 150% tổng dân số</w:t>
            </w:r>
          </w:p>
        </w:tc>
      </w:tr>
      <w:tr>
        <w:trPr>
          <w:trHeight w:val="400" w:hRule="atLeast"/>
        </w:trPr>
        <w:tc>
          <w:tcPr>
            <w:tcW w:type="dxa" w:w="2880"/>
            <w:shd w:fill="F2F4F8"/>
            <w:tcMar>
              <w:top w:w="80" w:type="dxa"/>
              <w:bottom w:w="80" w:type="dxa"/>
              <w:left w:w="100" w:type="dxa"/>
              <w:right w:w="100" w:type="dxa"/>
            </w:tcMar>
          </w:tcPr>
          <w:p>
            <w:pPr>
              <w:spacing w:before="80" w:after="80"/>
              <w:jc w:val="left"/>
            </w:pPr>
            <w:r>
              <w:rPr>
                <w:rFonts w:ascii="Times New Roman" w:hAnsi="Times New Roman"/>
                <w:color w:val="333333"/>
                <w:sz w:val="19"/>
              </w:rPr>
              <w:t>Số lượng người mua sắm trực tuyến</w:t>
            </w:r>
          </w:p>
        </w:tc>
        <w:tc>
          <w:tcPr>
            <w:tcW w:type="dxa" w:w="2016"/>
            <w:shd w:fill="F2F4F8"/>
            <w:tcMar>
              <w:top w:w="80" w:type="dxa"/>
              <w:bottom w:w="80" w:type="dxa"/>
              <w:left w:w="100" w:type="dxa"/>
              <w:right w:w="100" w:type="dxa"/>
            </w:tcMar>
          </w:tcPr>
          <w:p>
            <w:pPr>
              <w:spacing w:before="80" w:after="80"/>
              <w:jc w:val="left"/>
            </w:pPr>
            <w:r>
              <w:rPr>
                <w:rFonts w:ascii="Times New Roman" w:hAnsi="Times New Roman"/>
                <w:color w:val="333333"/>
                <w:sz w:val="19"/>
              </w:rPr>
              <w:t>40 triệu người</w:t>
            </w:r>
          </w:p>
        </w:tc>
        <w:tc>
          <w:tcPr>
            <w:tcW w:type="dxa" w:w="1584"/>
            <w:shd w:fill="F2F4F8"/>
            <w:tcMar>
              <w:top w:w="80" w:type="dxa"/>
              <w:bottom w:w="80" w:type="dxa"/>
              <w:left w:w="100" w:type="dxa"/>
              <w:right w:w="100" w:type="dxa"/>
            </w:tcMar>
          </w:tcPr>
          <w:p>
            <w:pPr>
              <w:spacing w:before="80" w:after="80"/>
              <w:jc w:val="left"/>
            </w:pPr>
            <w:r>
              <w:rPr>
                <w:rFonts w:ascii="Times New Roman" w:hAnsi="Times New Roman"/>
                <w:color w:val="333333"/>
                <w:sz w:val="19"/>
              </w:rPr>
              <w:t>Năm 2018</w:t>
            </w:r>
          </w:p>
        </w:tc>
        <w:tc>
          <w:tcPr>
            <w:tcW w:type="dxa" w:w="3600"/>
            <w:shd w:fill="F2F4F8"/>
            <w:tcMar>
              <w:top w:w="80" w:type="dxa"/>
              <w:bottom w:w="80" w:type="dxa"/>
              <w:left w:w="100" w:type="dxa"/>
              <w:right w:w="100" w:type="dxa"/>
            </w:tcMar>
          </w:tcPr>
          <w:p>
            <w:pPr>
              <w:spacing w:before="80" w:after="80"/>
              <w:jc w:val="left"/>
            </w:pPr>
            <w:r>
              <w:rPr>
                <w:rFonts w:ascii="Times New Roman" w:hAnsi="Times New Roman"/>
                <w:color w:val="333333"/>
                <w:sz w:val="19"/>
              </w:rPr>
              <w:t>Trung bình 1 trong 2 người tham gia mua sắm trực tuyến</w:t>
            </w:r>
          </w:p>
        </w:tc>
      </w:tr>
      <w:tr>
        <w:trPr>
          <w:trHeight w:val="400" w:hRule="atLeast"/>
        </w:trPr>
        <w:tc>
          <w:tcPr>
            <w:tcW w:type="dxa" w:w="2880"/>
            <w:tcMar>
              <w:top w:w="80" w:type="dxa"/>
              <w:bottom w:w="80" w:type="dxa"/>
              <w:left w:w="100" w:type="dxa"/>
              <w:right w:w="100" w:type="dxa"/>
            </w:tcMar>
          </w:tcPr>
          <w:p>
            <w:pPr>
              <w:spacing w:before="80" w:after="80"/>
              <w:jc w:val="left"/>
            </w:pPr>
            <w:r>
              <w:rPr>
                <w:rFonts w:ascii="Times New Roman" w:hAnsi="Times New Roman"/>
                <w:color w:val="333333"/>
                <w:sz w:val="19"/>
              </w:rPr>
              <w:t>Thời gian sử dụng Internet di động</w:t>
            </w:r>
          </w:p>
        </w:tc>
        <w:tc>
          <w:tcPr>
            <w:tcW w:type="dxa" w:w="2016"/>
            <w:tcMar>
              <w:top w:w="80" w:type="dxa"/>
              <w:bottom w:w="80" w:type="dxa"/>
              <w:left w:w="100" w:type="dxa"/>
              <w:right w:w="100" w:type="dxa"/>
            </w:tcMar>
          </w:tcPr>
          <w:p>
            <w:pPr>
              <w:spacing w:before="80" w:after="80"/>
              <w:jc w:val="left"/>
            </w:pPr>
            <w:r>
              <w:rPr>
                <w:rFonts w:ascii="Times New Roman" w:hAnsi="Times New Roman"/>
                <w:color w:val="333333"/>
                <w:sz w:val="19"/>
              </w:rPr>
              <w:t>3 giờ 12 phút / ngày</w:t>
            </w:r>
          </w:p>
        </w:tc>
        <w:tc>
          <w:tcPr>
            <w:tcW w:type="dxa" w:w="1584"/>
            <w:tcMar>
              <w:top w:w="80" w:type="dxa"/>
              <w:bottom w:w="80" w:type="dxa"/>
              <w:left w:w="100" w:type="dxa"/>
              <w:right w:w="100" w:type="dxa"/>
            </w:tcMar>
          </w:tcPr>
          <w:p>
            <w:pPr>
              <w:spacing w:before="80" w:after="80"/>
              <w:jc w:val="left"/>
            </w:pPr>
            <w:r>
              <w:rPr>
                <w:rFonts w:ascii="Times New Roman" w:hAnsi="Times New Roman"/>
                <w:color w:val="333333"/>
                <w:sz w:val="19"/>
              </w:rPr>
              <w:t>Năm 2019</w:t>
            </w:r>
          </w:p>
        </w:tc>
        <w:tc>
          <w:tcPr>
            <w:tcW w:type="dxa" w:w="3600"/>
            <w:tcMar>
              <w:top w:w="80" w:type="dxa"/>
              <w:bottom w:w="80" w:type="dxa"/>
              <w:left w:w="100" w:type="dxa"/>
              <w:right w:w="100" w:type="dxa"/>
            </w:tcMar>
          </w:tcPr>
          <w:p>
            <w:pPr>
              <w:spacing w:before="80" w:after="80"/>
              <w:jc w:val="left"/>
            </w:pPr>
            <w:r>
              <w:rPr>
                <w:rFonts w:ascii="Times New Roman" w:hAnsi="Times New Roman"/>
                <w:color w:val="333333"/>
                <w:sz w:val="19"/>
              </w:rPr>
              <w:t>Thể hiện mức độ tương tác trực tuyến cực cao</w:t>
            </w:r>
          </w:p>
        </w:tc>
      </w:tr>
      <w:tr>
        <w:trPr>
          <w:trHeight w:val="400" w:hRule="atLeast"/>
        </w:trPr>
        <w:tc>
          <w:tcPr>
            <w:tcW w:type="dxa" w:w="2880"/>
            <w:shd w:fill="F2F4F8"/>
            <w:tcMar>
              <w:top w:w="80" w:type="dxa"/>
              <w:bottom w:w="80" w:type="dxa"/>
              <w:left w:w="100" w:type="dxa"/>
              <w:right w:w="100" w:type="dxa"/>
            </w:tcMar>
          </w:tcPr>
          <w:p>
            <w:pPr>
              <w:spacing w:before="80" w:after="80"/>
              <w:jc w:val="left"/>
            </w:pPr>
            <w:r>
              <w:rPr>
                <w:rFonts w:ascii="Times New Roman" w:hAnsi="Times New Roman"/>
                <w:color w:val="333333"/>
                <w:sz w:val="19"/>
              </w:rPr>
              <w:t>Tên miền quốc gia ".vn"</w:t>
            </w:r>
          </w:p>
        </w:tc>
        <w:tc>
          <w:tcPr>
            <w:tcW w:type="dxa" w:w="2016"/>
            <w:shd w:fill="F2F4F8"/>
            <w:tcMar>
              <w:top w:w="80" w:type="dxa"/>
              <w:bottom w:w="80" w:type="dxa"/>
              <w:left w:w="100" w:type="dxa"/>
              <w:right w:w="100" w:type="dxa"/>
            </w:tcMar>
          </w:tcPr>
          <w:p>
            <w:pPr>
              <w:spacing w:before="80" w:after="80"/>
              <w:jc w:val="left"/>
            </w:pPr>
            <w:r>
              <w:rPr>
                <w:rFonts w:ascii="Times New Roman" w:hAnsi="Times New Roman"/>
                <w:color w:val="333333"/>
                <w:sz w:val="19"/>
              </w:rPr>
              <w:t>&gt; 500.000 tên miền</w:t>
            </w:r>
          </w:p>
        </w:tc>
        <w:tc>
          <w:tcPr>
            <w:tcW w:type="dxa" w:w="1584"/>
            <w:shd w:fill="F2F4F8"/>
            <w:tcMar>
              <w:top w:w="80" w:type="dxa"/>
              <w:bottom w:w="80" w:type="dxa"/>
              <w:left w:w="100" w:type="dxa"/>
              <w:right w:w="100" w:type="dxa"/>
            </w:tcMar>
          </w:tcPr>
          <w:p>
            <w:pPr>
              <w:spacing w:before="80" w:after="80"/>
              <w:jc w:val="left"/>
            </w:pPr>
            <w:r>
              <w:rPr>
                <w:rFonts w:ascii="Times New Roman" w:hAnsi="Times New Roman"/>
                <w:color w:val="333333"/>
                <w:sz w:val="19"/>
              </w:rPr>
              <w:t>Năm 2019</w:t>
            </w:r>
          </w:p>
        </w:tc>
        <w:tc>
          <w:tcPr>
            <w:tcW w:type="dxa" w:w="3600"/>
            <w:shd w:fill="F2F4F8"/>
            <w:tcMar>
              <w:top w:w="80" w:type="dxa"/>
              <w:bottom w:w="80" w:type="dxa"/>
              <w:left w:w="100" w:type="dxa"/>
              <w:right w:w="100" w:type="dxa"/>
            </w:tcMar>
          </w:tcPr>
          <w:p>
            <w:pPr>
              <w:spacing w:before="80" w:after="80"/>
              <w:jc w:val="left"/>
            </w:pPr>
            <w:r>
              <w:rPr>
                <w:rFonts w:ascii="Times New Roman" w:hAnsi="Times New Roman"/>
                <w:color w:val="333333"/>
                <w:sz w:val="19"/>
              </w:rPr>
              <w:t>Đứng đầu ASEAN, top 10 Châu Á - Thái Bình Dương</w:t>
            </w:r>
          </w:p>
        </w:tc>
      </w:tr>
      <w:tr>
        <w:trPr>
          <w:trHeight w:val="400" w:hRule="atLeast"/>
        </w:trPr>
        <w:tc>
          <w:tcPr>
            <w:tcW w:type="dxa" w:w="2880"/>
            <w:tcMar>
              <w:top w:w="80" w:type="dxa"/>
              <w:bottom w:w="80" w:type="dxa"/>
              <w:left w:w="100" w:type="dxa"/>
              <w:right w:w="100" w:type="dxa"/>
            </w:tcMar>
          </w:tcPr>
          <w:p>
            <w:pPr>
              <w:spacing w:before="80" w:after="80"/>
              <w:jc w:val="left"/>
            </w:pPr>
            <w:r>
              <w:rPr>
                <w:rFonts w:ascii="Times New Roman" w:hAnsi="Times New Roman"/>
                <w:color w:val="333333"/>
                <w:sz w:val="19"/>
              </w:rPr>
              <w:t>Mật độ thuê bao di động</w:t>
            </w:r>
          </w:p>
        </w:tc>
        <w:tc>
          <w:tcPr>
            <w:tcW w:type="dxa" w:w="2016"/>
            <w:tcMar>
              <w:top w:w="80" w:type="dxa"/>
              <w:bottom w:w="80" w:type="dxa"/>
              <w:left w:w="100" w:type="dxa"/>
              <w:right w:w="100" w:type="dxa"/>
            </w:tcMar>
          </w:tcPr>
          <w:p>
            <w:pPr>
              <w:spacing w:before="80" w:after="80"/>
              <w:jc w:val="left"/>
            </w:pPr>
            <w:r>
              <w:rPr>
                <w:rFonts w:ascii="Times New Roman" w:hAnsi="Times New Roman"/>
                <w:color w:val="333333"/>
                <w:sz w:val="19"/>
              </w:rPr>
              <w:t>120 thuê bao / 100 dân</w:t>
            </w:r>
          </w:p>
        </w:tc>
        <w:tc>
          <w:tcPr>
            <w:tcW w:type="dxa" w:w="1584"/>
            <w:tcMar>
              <w:top w:w="80" w:type="dxa"/>
              <w:bottom w:w="80" w:type="dxa"/>
              <w:left w:w="100" w:type="dxa"/>
              <w:right w:w="100" w:type="dxa"/>
            </w:tcMar>
          </w:tcPr>
          <w:p>
            <w:pPr>
              <w:spacing w:before="80" w:after="80"/>
              <w:jc w:val="left"/>
            </w:pPr>
            <w:r>
              <w:rPr>
                <w:rFonts w:ascii="Times New Roman" w:hAnsi="Times New Roman"/>
                <w:color w:val="333333"/>
                <w:sz w:val="19"/>
              </w:rPr>
              <w:t>Năm 2020</w:t>
            </w:r>
          </w:p>
        </w:tc>
        <w:tc>
          <w:tcPr>
            <w:tcW w:type="dxa" w:w="3600"/>
            <w:tcMar>
              <w:top w:w="80" w:type="dxa"/>
              <w:bottom w:w="80" w:type="dxa"/>
              <w:left w:w="100" w:type="dxa"/>
              <w:right w:w="100" w:type="dxa"/>
            </w:tcMar>
          </w:tcPr>
          <w:p>
            <w:pPr>
              <w:spacing w:before="80" w:after="80"/>
              <w:jc w:val="left"/>
            </w:pPr>
            <w:r>
              <w:rPr>
                <w:rFonts w:ascii="Times New Roman" w:hAnsi="Times New Roman"/>
                <w:color w:val="333333"/>
                <w:sz w:val="19"/>
              </w:rPr>
              <w:t>Tạo kênh liên lạc số rộng khắp</w:t>
            </w:r>
          </w:p>
        </w:tc>
      </w:tr>
      <w:tr>
        <w:trPr>
          <w:trHeight w:val="400" w:hRule="atLeast"/>
        </w:trPr>
        <w:tc>
          <w:tcPr>
            <w:tcW w:type="dxa" w:w="2880"/>
            <w:shd w:fill="F2F4F8"/>
            <w:tcMar>
              <w:top w:w="80" w:type="dxa"/>
              <w:bottom w:w="80" w:type="dxa"/>
              <w:left w:w="100" w:type="dxa"/>
              <w:right w:w="100" w:type="dxa"/>
            </w:tcMar>
          </w:tcPr>
          <w:p>
            <w:pPr>
              <w:spacing w:before="80" w:after="80"/>
              <w:jc w:val="left"/>
            </w:pPr>
            <w:r>
              <w:rPr>
                <w:rFonts w:ascii="Times New Roman" w:hAnsi="Times New Roman"/>
                <w:color w:val="333333"/>
                <w:sz w:val="19"/>
              </w:rPr>
              <w:t>Mật độ thuê bao băng rộng cố định</w:t>
            </w:r>
          </w:p>
        </w:tc>
        <w:tc>
          <w:tcPr>
            <w:tcW w:type="dxa" w:w="2016"/>
            <w:shd w:fill="F2F4F8"/>
            <w:tcMar>
              <w:top w:w="80" w:type="dxa"/>
              <w:bottom w:w="80" w:type="dxa"/>
              <w:left w:w="100" w:type="dxa"/>
              <w:right w:w="100" w:type="dxa"/>
            </w:tcMar>
          </w:tcPr>
          <w:p>
            <w:pPr>
              <w:spacing w:before="80" w:after="80"/>
              <w:jc w:val="left"/>
            </w:pPr>
            <w:r>
              <w:rPr>
                <w:rFonts w:ascii="Times New Roman" w:hAnsi="Times New Roman"/>
                <w:color w:val="333333"/>
                <w:sz w:val="19"/>
              </w:rPr>
              <w:t>13,6 thuê bao / 100 dân</w:t>
            </w:r>
          </w:p>
        </w:tc>
        <w:tc>
          <w:tcPr>
            <w:tcW w:type="dxa" w:w="1584"/>
            <w:shd w:fill="F2F4F8"/>
            <w:tcMar>
              <w:top w:w="80" w:type="dxa"/>
              <w:bottom w:w="80" w:type="dxa"/>
              <w:left w:w="100" w:type="dxa"/>
              <w:right w:w="100" w:type="dxa"/>
            </w:tcMar>
          </w:tcPr>
          <w:p>
            <w:pPr>
              <w:spacing w:before="80" w:after="80"/>
              <w:jc w:val="left"/>
            </w:pPr>
            <w:r>
              <w:rPr>
                <w:rFonts w:ascii="Times New Roman" w:hAnsi="Times New Roman"/>
                <w:color w:val="333333"/>
                <w:sz w:val="19"/>
              </w:rPr>
              <w:t>Năm 2020</w:t>
            </w:r>
          </w:p>
        </w:tc>
        <w:tc>
          <w:tcPr>
            <w:tcW w:type="dxa" w:w="3600"/>
            <w:shd w:fill="F2F4F8"/>
            <w:tcMar>
              <w:top w:w="80" w:type="dxa"/>
              <w:bottom w:w="80" w:type="dxa"/>
              <w:left w:w="100" w:type="dxa"/>
              <w:right w:w="100" w:type="dxa"/>
            </w:tcMar>
          </w:tcPr>
          <w:p>
            <w:pPr>
              <w:spacing w:before="80" w:after="80"/>
              <w:jc w:val="left"/>
            </w:pPr>
            <w:r>
              <w:rPr>
                <w:rFonts w:ascii="Times New Roman" w:hAnsi="Times New Roman"/>
                <w:color w:val="333333"/>
                <w:sz w:val="19"/>
              </w:rPr>
              <w:t>Nền tảng hạ tầng kết nối cố định</w:t>
            </w:r>
          </w:p>
        </w:tc>
      </w:tr>
      <w:tr>
        <w:trPr>
          <w:trHeight w:val="400" w:hRule="atLeast"/>
        </w:trPr>
        <w:tc>
          <w:tcPr>
            <w:tcW w:type="dxa" w:w="2880"/>
            <w:tcMar>
              <w:top w:w="80" w:type="dxa"/>
              <w:bottom w:w="80" w:type="dxa"/>
              <w:left w:w="100" w:type="dxa"/>
              <w:right w:w="100" w:type="dxa"/>
            </w:tcMar>
          </w:tcPr>
          <w:p>
            <w:pPr>
              <w:spacing w:before="80" w:after="80"/>
              <w:jc w:val="left"/>
            </w:pPr>
            <w:r>
              <w:rPr>
                <w:rFonts w:ascii="Times New Roman" w:hAnsi="Times New Roman"/>
                <w:color w:val="333333"/>
                <w:sz w:val="19"/>
              </w:rPr>
              <w:t>Mật độ thuê bao băng rộng di động</w:t>
            </w:r>
          </w:p>
        </w:tc>
        <w:tc>
          <w:tcPr>
            <w:tcW w:type="dxa" w:w="2016"/>
            <w:tcMar>
              <w:top w:w="80" w:type="dxa"/>
              <w:bottom w:w="80" w:type="dxa"/>
              <w:left w:w="100" w:type="dxa"/>
              <w:right w:w="100" w:type="dxa"/>
            </w:tcMar>
          </w:tcPr>
          <w:p>
            <w:pPr>
              <w:spacing w:before="80" w:after="80"/>
              <w:jc w:val="left"/>
            </w:pPr>
            <w:r>
              <w:rPr>
                <w:rFonts w:ascii="Times New Roman" w:hAnsi="Times New Roman"/>
                <w:color w:val="333333"/>
                <w:sz w:val="19"/>
              </w:rPr>
              <w:t>71,89 thuê bao / 100 dân</w:t>
            </w:r>
          </w:p>
        </w:tc>
        <w:tc>
          <w:tcPr>
            <w:tcW w:type="dxa" w:w="1584"/>
            <w:tcMar>
              <w:top w:w="80" w:type="dxa"/>
              <w:bottom w:w="80" w:type="dxa"/>
              <w:left w:w="100" w:type="dxa"/>
              <w:right w:w="100" w:type="dxa"/>
            </w:tcMar>
          </w:tcPr>
          <w:p>
            <w:pPr>
              <w:spacing w:before="80" w:after="80"/>
              <w:jc w:val="left"/>
            </w:pPr>
            <w:r>
              <w:rPr>
                <w:rFonts w:ascii="Times New Roman" w:hAnsi="Times New Roman"/>
                <w:color w:val="333333"/>
                <w:sz w:val="19"/>
              </w:rPr>
              <w:t>Năm 2020</w:t>
            </w:r>
          </w:p>
        </w:tc>
        <w:tc>
          <w:tcPr>
            <w:tcW w:type="dxa" w:w="3600"/>
            <w:tcMar>
              <w:top w:w="80" w:type="dxa"/>
              <w:bottom w:w="80" w:type="dxa"/>
              <w:left w:w="100" w:type="dxa"/>
              <w:right w:w="100" w:type="dxa"/>
            </w:tcMar>
          </w:tcPr>
          <w:p>
            <w:pPr>
              <w:spacing w:before="80" w:after="80"/>
              <w:jc w:val="left"/>
            </w:pPr>
            <w:r>
              <w:rPr>
                <w:rFonts w:ascii="Times New Roman" w:hAnsi="Times New Roman"/>
                <w:color w:val="333333"/>
                <w:sz w:val="19"/>
              </w:rPr>
              <w:t>Hạ tầng kết nối mạng 3G/4G/5G</w:t>
            </w:r>
          </w:p>
        </w:tc>
      </w:tr>
      <w:tr>
        <w:trPr>
          <w:trHeight w:val="400" w:hRule="atLeast"/>
        </w:trPr>
        <w:tc>
          <w:tcPr>
            <w:tcW w:type="dxa" w:w="2880"/>
            <w:shd w:fill="F2F4F8"/>
            <w:tcMar>
              <w:top w:w="80" w:type="dxa"/>
              <w:bottom w:w="80" w:type="dxa"/>
              <w:left w:w="100" w:type="dxa"/>
              <w:right w:w="100" w:type="dxa"/>
            </w:tcMar>
          </w:tcPr>
          <w:p>
            <w:pPr>
              <w:spacing w:before="80" w:after="80"/>
              <w:jc w:val="left"/>
            </w:pPr>
            <w:r>
              <w:rPr>
                <w:rFonts w:ascii="Times New Roman" w:hAnsi="Times New Roman"/>
                <w:color w:val="333333"/>
                <w:sz w:val="19"/>
              </w:rPr>
              <w:t>Chỉ số hạ tầng viễn thông (TII)</w:t>
            </w:r>
          </w:p>
        </w:tc>
        <w:tc>
          <w:tcPr>
            <w:tcW w:type="dxa" w:w="2016"/>
            <w:shd w:fill="F2F4F8"/>
            <w:tcMar>
              <w:top w:w="80" w:type="dxa"/>
              <w:bottom w:w="80" w:type="dxa"/>
              <w:left w:w="100" w:type="dxa"/>
              <w:right w:w="100" w:type="dxa"/>
            </w:tcMar>
          </w:tcPr>
          <w:p>
            <w:pPr>
              <w:spacing w:before="80" w:after="80"/>
              <w:jc w:val="left"/>
            </w:pPr>
            <w:r>
              <w:rPr>
                <w:rFonts w:ascii="Times New Roman" w:hAnsi="Times New Roman"/>
                <w:color w:val="333333"/>
                <w:sz w:val="19"/>
              </w:rPr>
              <w:t>Xếp hạng 69 / 193 nước</w:t>
            </w:r>
          </w:p>
        </w:tc>
        <w:tc>
          <w:tcPr>
            <w:tcW w:type="dxa" w:w="1584"/>
            <w:shd w:fill="F2F4F8"/>
            <w:tcMar>
              <w:top w:w="80" w:type="dxa"/>
              <w:bottom w:w="80" w:type="dxa"/>
              <w:left w:w="100" w:type="dxa"/>
              <w:right w:w="100" w:type="dxa"/>
            </w:tcMar>
          </w:tcPr>
          <w:p>
            <w:pPr>
              <w:spacing w:before="80" w:after="80"/>
              <w:jc w:val="left"/>
            </w:pPr>
            <w:r>
              <w:rPr>
                <w:rFonts w:ascii="Times New Roman" w:hAnsi="Times New Roman"/>
                <w:color w:val="333333"/>
                <w:sz w:val="19"/>
              </w:rPr>
              <w:t>Năm 2020</w:t>
            </w:r>
          </w:p>
        </w:tc>
        <w:tc>
          <w:tcPr>
            <w:tcW w:type="dxa" w:w="3600"/>
            <w:shd w:fill="F2F4F8"/>
            <w:tcMar>
              <w:top w:w="80" w:type="dxa"/>
              <w:bottom w:w="80" w:type="dxa"/>
              <w:left w:w="100" w:type="dxa"/>
              <w:right w:w="100" w:type="dxa"/>
            </w:tcMar>
          </w:tcPr>
          <w:p>
            <w:pPr>
              <w:spacing w:before="80" w:after="80"/>
              <w:jc w:val="left"/>
            </w:pPr>
            <w:r>
              <w:rPr>
                <w:rFonts w:ascii="Times New Roman" w:hAnsi="Times New Roman"/>
                <w:color w:val="333333"/>
                <w:sz w:val="19"/>
              </w:rPr>
              <w:t>Tăng mạnh 31 bậc trong báo cáo Chính phủ điện tử</w:t>
            </w:r>
          </w:p>
        </w:tc>
      </w:tr>
      <w:tr>
        <w:trPr>
          <w:trHeight w:val="400" w:hRule="atLeast"/>
        </w:trPr>
        <w:tc>
          <w:tcPr>
            <w:tcW w:type="dxa" w:w="2880"/>
            <w:tcMar>
              <w:top w:w="80" w:type="dxa"/>
              <w:bottom w:w="80" w:type="dxa"/>
              <w:left w:w="100" w:type="dxa"/>
              <w:right w:w="100" w:type="dxa"/>
            </w:tcMar>
          </w:tcPr>
          <w:p>
            <w:pPr>
              <w:spacing w:before="80" w:after="80"/>
              <w:jc w:val="left"/>
            </w:pPr>
            <w:r>
              <w:rPr>
                <w:rFonts w:ascii="Times New Roman" w:hAnsi="Times New Roman"/>
                <w:color w:val="333333"/>
                <w:sz w:val="19"/>
              </w:rPr>
              <w:t>Chỉ số dịch vụ trực tuyến (OSI)</w:t>
            </w:r>
          </w:p>
        </w:tc>
        <w:tc>
          <w:tcPr>
            <w:tcW w:type="dxa" w:w="2016"/>
            <w:tcMar>
              <w:top w:w="80" w:type="dxa"/>
              <w:bottom w:w="80" w:type="dxa"/>
              <w:left w:w="100" w:type="dxa"/>
              <w:right w:w="100" w:type="dxa"/>
            </w:tcMar>
          </w:tcPr>
          <w:p>
            <w:pPr>
              <w:spacing w:before="80" w:after="80"/>
              <w:jc w:val="left"/>
            </w:pPr>
            <w:r>
              <w:rPr>
                <w:rFonts w:ascii="Times New Roman" w:hAnsi="Times New Roman"/>
                <w:color w:val="333333"/>
                <w:sz w:val="19"/>
              </w:rPr>
              <w:t>Xếp hạng 81 / 193 nước</w:t>
            </w:r>
          </w:p>
        </w:tc>
        <w:tc>
          <w:tcPr>
            <w:tcW w:type="dxa" w:w="1584"/>
            <w:tcMar>
              <w:top w:w="80" w:type="dxa"/>
              <w:bottom w:w="80" w:type="dxa"/>
              <w:left w:w="100" w:type="dxa"/>
              <w:right w:w="100" w:type="dxa"/>
            </w:tcMar>
          </w:tcPr>
          <w:p>
            <w:pPr>
              <w:spacing w:before="80" w:after="80"/>
              <w:jc w:val="left"/>
            </w:pPr>
            <w:r>
              <w:rPr>
                <w:rFonts w:ascii="Times New Roman" w:hAnsi="Times New Roman"/>
                <w:color w:val="333333"/>
                <w:sz w:val="19"/>
              </w:rPr>
              <w:t>Năm 2020</w:t>
            </w:r>
          </w:p>
        </w:tc>
        <w:tc>
          <w:tcPr>
            <w:tcW w:type="dxa" w:w="3600"/>
            <w:tcMar>
              <w:top w:w="80" w:type="dxa"/>
              <w:bottom w:w="80" w:type="dxa"/>
              <w:left w:w="100" w:type="dxa"/>
              <w:right w:w="100" w:type="dxa"/>
            </w:tcMar>
          </w:tcPr>
          <w:p>
            <w:pPr>
              <w:spacing w:before="80" w:after="80"/>
              <w:jc w:val="left"/>
            </w:pPr>
            <w:r>
              <w:rPr>
                <w:rFonts w:ascii="Times New Roman" w:hAnsi="Times New Roman"/>
                <w:color w:val="333333"/>
                <w:sz w:val="19"/>
              </w:rPr>
              <w:t>Giảm 22 bậc, phản ánh khoảng trống dịch vụ công số</w:t>
            </w:r>
          </w:p>
        </w:tc>
      </w:tr>
    </w:tbl>
    <w:p>
      <w:pPr>
        <w:spacing w:before="240" w:after="120"/>
      </w:pPr>
    </w:p>
    <w:p>
      <w:pPr>
        <w:pStyle w:val="Heading1"/>
        <w:keepNext/>
        <w:spacing w:before="240" w:after="120"/>
      </w:pPr>
      <w:r>
        <w:rPr>
          <w:rFonts w:ascii="Times New Roman" w:hAnsi="Times New Roman"/>
          <w:b/>
          <w:color w:val="1F4E79"/>
          <w:sz w:val="28"/>
        </w:rPr>
        <w:t>II. Thực trạng thực thi Quyền Sở hữu trí tuệ trên nền tảng số tại Việt Nam: Những điểm nghẽn cốt lõi</w:t>
      </w:r>
    </w:p>
    <w:p>
      <w:pPr>
        <w:spacing w:line="276" w:lineRule="auto" w:after="120"/>
        <w:ind w:firstLine="432"/>
      </w:pPr>
      <w:r>
        <w:t>Mặc dù có sự bùng nổ mạnh mẽ về cơ sở hạ tầng số và khối lượng giao dịch thương mại nền tảng, công tác quản lý nhà nước về thực thi quyền SHTT tại Việt Nam đang gặp phải những nút thắt và điểm nghẽn nghiêm trọng. Các báo cáo đánh giá uy tín trên trường quốc tế đã liên tiếp đưa ra các cảnh báo khách quan về thực tế thực thi quyền SHTT tại Việt Nam. Theo Báo cáo đặc biệt 301 năm 2023 của Cơ quan Đại diện Thương mại Hoa Kỳ (USTR), Việt Nam tiếp tục bị giữ lại trong Danh sách theo dõi (Watch List) về bảo hộ và thực thi SHTT. Điều này phản ánh mối lo ngại kéo dài của cộng đồng quốc tế đối với tình trạng vi phạm bản quyền trực tuyến, phát sóng lậu, phân phối phần mềm không bản quyền và sự bùng phát của hàng giả, hàng nhái trên các trang mạng xã hội cũng như các sàn thương mại điện tử lớn.</w:t>
      </w:r>
    </w:p>
    <w:p>
      <w:pPr>
        <w:spacing w:line="276" w:lineRule="auto" w:after="120"/>
        <w:ind w:firstLine="432"/>
      </w:pPr>
      <w:r>
        <w:t>Báo cáo thị trường vi phạm khét tiếng (Notorious Markets List) năm 2023 của USTR tiếp tục liệt kê ba địa điểm vật lý nổi tiếng tại Việt Nam là chợ Saigon Square tại Thành phố Hồ Chí Minh, chợ Tân Thanh và Trung tâm Thương mại Việt Trung tại tỉnh Lạng Sơn vào danh sách các chợ hàng giả hàng nhái nghiêm trọng toàn cầu. Tuy nhiên, thách thức mang tính chất quyết định đối với quản lý nhà nước hiện nay không còn nằm ở các chợ vật lý này, mà là sự chuyển dịch cực kỳ nhanh chóng và tinh vi của các luồng phân phối hàng giả từ các điểm nóng này lên các nền tảng trực tuyến như Facebook, TikTok, Shopee và Lazada.</w:t>
      </w:r>
    </w:p>
    <w:p>
      <w:pPr>
        <w:spacing w:line="276" w:lineRule="auto" w:after="120"/>
        <w:ind w:firstLine="432"/>
      </w:pPr>
      <w:r>
        <w:t>Trước các hành vi vi phạm có tính chất ảo, ẩn danh và quy mô lớn trên nền tảng trực tuyến, mô hình thực thi pháp luật truyền thống của Việt Nam đang bộc lộ ba hạn chế mang tính hệ thống:</w:t>
      </w:r>
    </w:p>
    <w:p>
      <w:pPr>
        <w:pStyle w:val="ListBullet"/>
        <w:spacing w:after="80" w:line="276" w:lineRule="auto"/>
      </w:pPr>
      <w:r>
        <w:rPr>
          <w:b/>
        </w:rPr>
        <w:t xml:space="preserve">Lệ thuộc quá mức vào các chế tài hành chính: </w:t>
      </w:r>
      <w:r>
        <w:t>Hiện nay, Việt Nam vẫn dựa chủ yếu vào cơ chế xử phạt vi phạm hành chính để xử lý các vụ việc xâm phạm SHTT. Mặc dù khung luật pháp hình sự Việt Nam đã quy định rất rõ ràng về các tội danh xâm phạm quyền tác giả, nhãn hiệu với hình phạt tiền nặng và án tù giam dài hạn, nhưng trên thực tế hầu như không có các cuộc điều tra hay truy tố hình sự nào được thực hiện hiệu quả đối với các đối tượng vi phạm trên không gian số. Chế tài hành chính với mức phạt tiền nhỏ đã chứng minh sự thất bại hoàn toàn trong việc răn đe các đường dây vi phạm trực tuyến thu lợi bất chính hàng tỷ đồng.</w:t>
      </w:r>
    </w:p>
    <w:p>
      <w:pPr>
        <w:pStyle w:val="ListBullet"/>
        <w:spacing w:after="80" w:line="276" w:lineRule="auto"/>
      </w:pPr>
      <w:r>
        <w:rPr>
          <w:b/>
        </w:rPr>
        <w:t xml:space="preserve">Hội chứng hoạt động đơn lẻ (Silo) và thiếu điều phối liên ngành: </w:t>
      </w:r>
      <w:r>
        <w:t>Công tác thực thi SHTT bị phân rã giữa nhiều Bộ, ngành (Khoa học và Công nghệ, Công thương, Thông tin và Truyền thông, Hải quan, Công an). Thực tế cho thấy sự phối hợp thông tin và dữ liệu thời gian thực giữa các cơ quan này là cực kỳ yếu kém. Ví dụ, mặc dù Tổng cục Hải quan và Bộ Tài chính đã hợp tác rất tốt trong xây dựng cơ sở hạ tầng thanh toán điện tử hải quan để thông quan nhanh chóng, nhưng dữ liệu kiểm soát hàng hóa xuất nhập khẩu này lại hoàn toàn tách rời, không được liên kết hay đối chiếu với các chiến lược phát triển kinh tế số rộng hơn, làm giảm khả năng ngăn chặn hàng giả SHTT từ biên giới.</w:t>
      </w:r>
    </w:p>
    <w:p>
      <w:pPr>
        <w:pStyle w:val="ListBullet"/>
        <w:spacing w:after="240" w:line="276" w:lineRule="auto"/>
      </w:pPr>
      <w:r>
        <w:rPr>
          <w:b/>
        </w:rPr>
        <w:t xml:space="preserve">Sự vắng bóng của cơ chế chỉ đạo tối cao: </w:t>
      </w:r>
      <w:r>
        <w:t>Sự thiếu phối hợp liên ngành xuất phát từ việc thiếu một cơ chế lãnh đạo chính trị tập trung ở cấp cao (như cấp Thủ tướng hoặc Phó Thủ tướng) đứng ra chỉ đạo trực tiếp, cùng với sự thiếu vắng của một tổ công tác điều phối liên ngành thực quyền. Các Kế hoạch và Đề án của từng Bộ ngành thường bị giậm chân tại chỗ và không thể hiện thực hóa do vướng mắc về thẩm quyền và thiếu sự đồng bộ trong phối hợp thực hiện.</w:t>
      </w:r>
    </w:p>
    <w:p>
      <w:pPr>
        <w:pStyle w:val="Heading1"/>
        <w:keepNext/>
        <w:spacing w:before="240" w:after="120"/>
      </w:pPr>
      <w:r>
        <w:rPr>
          <w:rFonts w:ascii="Times New Roman" w:hAnsi="Times New Roman"/>
          <w:b/>
          <w:color w:val="1F4E79"/>
          <w:sz w:val="28"/>
        </w:rPr>
        <w:t>III. Hiệp định EVFTA và áp lực chuyển đổi sang cơ chế trách nhiệm trung gian số</w:t>
      </w:r>
    </w:p>
    <w:p>
      <w:pPr>
        <w:spacing w:line="276" w:lineRule="auto" w:after="120"/>
        <w:ind w:firstLine="432"/>
      </w:pPr>
      <w:r>
        <w:t>Việc tham gia vào Hiệp định Thương mại tự do giữa Việt Nam và Liên minh châu Âu (EVFTA) không chỉ mang lại các cơ hội giao thương lớn mà còn tạo ra một sức ép cải cách pháp lý mang tính chất bước ngoặt đối với hệ thống bảo hộ và thực thi SHTT của Việt Nam. Luật Sở hữu trí tuệ sửa đổi của Việt Nam chính thức có hiệu lực từ tháng 1 năm 2023 chính là nỗ lực cụ thể nhất nhằm nội luật hóa các cam kết tiêu chuẩn cao của EVFTA.</w:t>
      </w:r>
    </w:p>
    <w:p>
      <w:pPr>
        <w:spacing w:line="276" w:lineRule="auto" w:after="240"/>
        <w:ind w:firstLine="432"/>
      </w:pPr>
      <w:r>
        <w:t>Điểm mấu chốt quan trọng nhất trong Chương 8 (mục Thương mại điện tử) của EVFTA là yêu cầu thiết lập rõ ràng vấn đề trách nhiệm pháp lý của nhà cung cấp dịch vụ trung gian (ISPs) đối với việc truyền dẫn và lưu trữ thông tin trực tuyến. Khác với hệ thống pháp luật cũ của Việt Nam vốn có xu hướng quy kết trách nhiệm liên đới trực tiếp hoặc áp đặt trách nhiệm một chiều lên các doanh nghiệp ISPs khi xảy ra xâm phạm bản quyền, EVFTA đòi hỏi Việt Nam phải áp dụng cơ chế quản lý hiện đại: quy định cụ thể các giới hạn và miễn trừ trách nhiệm pháp lý của ISPs thông qua việc tuân thủ quy trình thông báo và gỡ bỏ (Notice-and-Takedown). Cơ chế này định hình một mô hình phối hợp công - tư mới, nơi các doanh nghiệp công nghệ, nhà cung cấp mạng viễn thông và các sàn thương mại điện tử không còn đứng ngoài cuộc hay đối đầu với cơ quan nhà nước, mà trở thành một mắt xích thực thi quyền chủ động, trực tiếp gỡ bỏ các nội dung, sản phẩm vi phạm khi nhận được thông báo hợp lệ từ chủ thể quyền.</w:t>
      </w:r>
    </w:p>
    <w:p>
      <w:pPr>
        <w:pStyle w:val="Heading1"/>
        <w:keepNext/>
        <w:spacing w:before="240" w:after="120"/>
      </w:pPr>
      <w:r>
        <w:rPr>
          <w:rFonts w:ascii="Times New Roman" w:hAnsi="Times New Roman"/>
          <w:b/>
          <w:color w:val="1F4E79"/>
          <w:sz w:val="28"/>
        </w:rPr>
        <w:t>IV. Chuyển đổi mô hình: Tiếp cận Quản trị Đa chủ thể (Multi-stakeholder Governance)</w:t>
      </w:r>
    </w:p>
    <w:p>
      <w:pPr>
        <w:spacing w:line="276" w:lineRule="auto" w:after="120"/>
        <w:ind w:firstLine="432"/>
      </w:pPr>
      <w:r>
        <w:t>Để giải quyết triệt để các điểm nghẽn thực tại và đáp ứng tiêu chuẩn hội nhập quốc tế khắt khe, Việt Nam cần thực hiện chuyển đổi căn bản mô hình quản lý nhà nước: dịch chuyển từ mô hình 'Quản lý nhà nước một chiều, đơn lẻ bằng chế tài hành chính' sang mô hình 'Quản trị đa chủ thể trực tuyến'. Tiếp cận quản trị đa chủ thể (Multi-stakeholder governance) là một xu hướng tất yếu toàn cầu, đã được ghi nhận rõ trong báo cáo xu hướng kinh tế số toàn cầu của DCO (Digital Economy Trends 2025). Trong đó, mô hình quản trị này nhấn mạnh sự phối hợp đồng bộ giữa ba khối chủ thể chính:</w:t>
      </w:r>
    </w:p>
    <w:p>
      <w:pPr>
        <w:pStyle w:val="ListBullet"/>
        <w:spacing w:after="80" w:line="276" w:lineRule="auto"/>
      </w:pPr>
      <w:r>
        <w:rPr>
          <w:b/>
        </w:rPr>
        <w:t xml:space="preserve">1. Khối Nhà nước (Cơ quan hoạch định và giám sát tối cao): </w:t>
      </w:r>
      <w:r>
        <w:t>Chuyển từ vai trò 'người đi bắt vi phạm' trực tiếp sang người kiến tạo luật pháp, thiết lập tiêu chuẩn kỹ thuật, xây dựng hạ tầng dữ liệu liên thông và thực thi các biện pháp chế tài hình sự nghiêm khắc để răn đe. Thiết lập cơ quan chỉ đạo tập trung cấp Chính phủ và tổ công tác điều phối liên ngành thực quyền để xóa bỏ các silo thông tin.</w:t>
      </w:r>
    </w:p>
    <w:p>
      <w:pPr>
        <w:pStyle w:val="ListBullet"/>
        <w:spacing w:after="80" w:line="276" w:lineRule="auto"/>
      </w:pPr>
      <w:r>
        <w:rPr>
          <w:b/>
        </w:rPr>
        <w:t xml:space="preserve">2. Khối Trung gian trực tuyến (ISPs, Sàn TMĐT, Nền tảng mạng xã hội): </w:t>
      </w:r>
      <w:r>
        <w:t>Đóng vai trò là 'người gác cổng' thực quyền thông qua việc chủ động áp dụng công nghệ số lọc nội dung, vận hành quy trình gỡ bỏ nhanh chóng (Notice-and-Takedown) và cam kết tự điều tiết thông qua các bộ quy tắc ứng xử (codes of conduct) chung của ngành.</w:t>
      </w:r>
    </w:p>
    <w:p>
      <w:pPr>
        <w:pStyle w:val="ListBullet"/>
        <w:spacing w:after="240" w:line="276" w:lineRule="auto"/>
      </w:pPr>
      <w:r>
        <w:rPr>
          <w:b/>
        </w:rPr>
        <w:t xml:space="preserve">3. Khối Chủ thể quyền (Doanh nghiệp, Tác giả, Liên minh SHTT) &amp; Người tiêu dùng: </w:t>
      </w:r>
      <w:r>
        <w:t>Chủ động đăng ký bảo hộ quyền, ứng dụng các công nghệ truy xuất nguồn gốc số (như Blockchain, mã QR, e-traceability), giám sát phát hiện và cung cấp chứng cứ vi phạm rõ ràng cho nền tảng trực tuyến, đồng thời nâng cao nhận thức nói không với hàng giả.</w:t>
      </w:r>
    </w:p>
    <w:p>
      <w:pPr>
        <w:spacing w:after="80"/>
        <w:jc w:val="center"/>
      </w:pPr>
      <w:r>
        <w:rPr>
          <w:b/>
          <w:sz w:val="20"/>
        </w:rPr>
        <w:t>Bảng 3: So sánh phương thức thực thi SHTT truyền thống và tiếp cận quản trị đa chủ thể</w:t>
      </w:r>
    </w:p>
    <w:tbl>
      <w:tblPr>
        <w:tblW w:type="auto" w:w="0"/>
        <w:jc w:val="center"/>
        <w:tblLayout w:type="fixed"/>
        <w:tblLook w:firstColumn="1" w:firstRow="1" w:lastColumn="0" w:lastRow="0" w:noHBand="0" w:noVBand="1" w:val="04A0"/>
      </w:tblPr>
      <w:tblGrid>
        <w:gridCol w:w="3120"/>
        <w:gridCol w:w="3120"/>
        <w:gridCol w:w="3120"/>
      </w:tblGrid>
      <w:tr>
        <w:trPr>
          <w:trHeight w:val="450" w:hRule="atLeast"/>
        </w:trPr>
        <w:tc>
          <w:tcPr>
            <w:tcW w:type="dxa" w:w="2592"/>
            <w:shd w:fill="1F4E79"/>
            <w:tcMar>
              <w:top w:w="80" w:type="dxa"/>
              <w:bottom w:w="80" w:type="dxa"/>
              <w:left w:w="100" w:type="dxa"/>
              <w:right w:w="100" w:type="dxa"/>
            </w:tcMar>
          </w:tcPr>
          <w:p>
            <w:pPr>
              <w:spacing w:before="80" w:after="80"/>
              <w:jc w:val="center"/>
            </w:pPr>
            <w:r>
              <w:rPr>
                <w:rFonts w:ascii="Times New Roman" w:hAnsi="Times New Roman"/>
                <w:b/>
                <w:color w:val="FFFFFF"/>
                <w:sz w:val="19"/>
              </w:rPr>
              <w:t>Tiêu chí so sánh</w:t>
            </w:r>
          </w:p>
        </w:tc>
        <w:tc>
          <w:tcPr>
            <w:tcW w:type="dxa" w:w="3744"/>
            <w:shd w:fill="1F4E79"/>
            <w:tcMar>
              <w:top w:w="80" w:type="dxa"/>
              <w:bottom w:w="80" w:type="dxa"/>
              <w:left w:w="100" w:type="dxa"/>
              <w:right w:w="100" w:type="dxa"/>
            </w:tcMar>
          </w:tcPr>
          <w:p>
            <w:pPr>
              <w:spacing w:before="80" w:after="80"/>
              <w:jc w:val="center"/>
            </w:pPr>
            <w:r>
              <w:rPr>
                <w:rFonts w:ascii="Times New Roman" w:hAnsi="Times New Roman"/>
                <w:b/>
                <w:color w:val="FFFFFF"/>
                <w:sz w:val="19"/>
              </w:rPr>
              <w:t>Mô hình quản lý nhà nước một chiều, đơn lẻ</w:t>
            </w:r>
          </w:p>
        </w:tc>
        <w:tc>
          <w:tcPr>
            <w:tcW w:type="dxa" w:w="3744"/>
            <w:shd w:fill="1F4E79"/>
            <w:tcMar>
              <w:top w:w="80" w:type="dxa"/>
              <w:bottom w:w="80" w:type="dxa"/>
              <w:left w:w="100" w:type="dxa"/>
              <w:right w:w="100" w:type="dxa"/>
            </w:tcMar>
          </w:tcPr>
          <w:p>
            <w:pPr>
              <w:spacing w:before="80" w:after="80"/>
              <w:jc w:val="center"/>
            </w:pPr>
            <w:r>
              <w:rPr>
                <w:rFonts w:ascii="Times New Roman" w:hAnsi="Times New Roman"/>
                <w:b/>
                <w:color w:val="FFFFFF"/>
                <w:sz w:val="19"/>
              </w:rPr>
              <w:t>Mô hình quản trị đa chủ thể trên nền tảng số</w:t>
            </w:r>
          </w:p>
        </w:tc>
      </w:tr>
      <w:tr>
        <w:trPr>
          <w:trHeight w:val="450" w:hRule="atLeast"/>
        </w:trPr>
        <w:tc>
          <w:tcPr>
            <w:tcW w:type="dxa" w:w="2592"/>
            <w:shd w:fill="F2F4F8"/>
            <w:tcMar>
              <w:top w:w="80" w:type="dxa"/>
              <w:bottom w:w="80" w:type="dxa"/>
              <w:left w:w="100" w:type="dxa"/>
              <w:right w:w="100" w:type="dxa"/>
            </w:tcMar>
          </w:tcPr>
          <w:p>
            <w:pPr>
              <w:spacing w:before="80" w:after="80"/>
              <w:jc w:val="left"/>
            </w:pPr>
            <w:r>
              <w:rPr>
                <w:rFonts w:ascii="Times New Roman" w:hAnsi="Times New Roman"/>
                <w:color w:val="333333"/>
                <w:sz w:val="19"/>
              </w:rPr>
              <w:t>Vị thế quốc tế của quốc gia</w:t>
            </w:r>
          </w:p>
        </w:tc>
        <w:tc>
          <w:tcPr>
            <w:tcW w:type="dxa" w:w="3744"/>
            <w:shd w:fill="F2F4F8"/>
            <w:tcMar>
              <w:top w:w="80" w:type="dxa"/>
              <w:bottom w:w="80" w:type="dxa"/>
              <w:left w:w="100" w:type="dxa"/>
              <w:right w:w="100" w:type="dxa"/>
            </w:tcMar>
          </w:tcPr>
          <w:p>
            <w:pPr>
              <w:spacing w:before="80" w:after="80"/>
              <w:jc w:val="left"/>
            </w:pPr>
            <w:r>
              <w:rPr>
                <w:rFonts w:ascii="Times New Roman" w:hAnsi="Times New Roman"/>
                <w:color w:val="333333"/>
                <w:sz w:val="19"/>
              </w:rPr>
              <w:t>Việt Nam liên tục nằm trong Watch List (USTR) do lo ngại thực thi trực tuyến kém hiệu quả.</w:t>
            </w:r>
          </w:p>
        </w:tc>
        <w:tc>
          <w:tcPr>
            <w:tcW w:type="dxa" w:w="3744"/>
            <w:shd w:fill="F2F4F8"/>
            <w:tcMar>
              <w:top w:w="80" w:type="dxa"/>
              <w:bottom w:w="80" w:type="dxa"/>
              <w:left w:w="100" w:type="dxa"/>
              <w:right w:w="100" w:type="dxa"/>
            </w:tcMar>
          </w:tcPr>
          <w:p>
            <w:pPr>
              <w:spacing w:before="80" w:after="80"/>
              <w:jc w:val="left"/>
            </w:pPr>
            <w:r>
              <w:rPr>
                <w:rFonts w:ascii="Times New Roman" w:hAnsi="Times New Roman"/>
                <w:color w:val="333333"/>
                <w:sz w:val="19"/>
              </w:rPr>
              <w:t>Nâng cao uy tín quốc tế, thu hút dòng vốn đầu tư công nghệ cao và R&amp;D từ Liên minh Châu Âu.</w:t>
            </w:r>
          </w:p>
        </w:tc>
      </w:tr>
      <w:tr>
        <w:trPr>
          <w:trHeight w:val="450" w:hRule="atLeast"/>
        </w:trPr>
        <w:tc>
          <w:tcPr>
            <w:tcW w:type="dxa" w:w="2592"/>
            <w:tcMar>
              <w:top w:w="80" w:type="dxa"/>
              <w:bottom w:w="80" w:type="dxa"/>
              <w:left w:w="100" w:type="dxa"/>
              <w:right w:w="100" w:type="dxa"/>
            </w:tcMar>
          </w:tcPr>
          <w:p>
            <w:pPr>
              <w:spacing w:before="80" w:after="80"/>
              <w:jc w:val="left"/>
            </w:pPr>
            <w:r>
              <w:rPr>
                <w:rFonts w:ascii="Times New Roman" w:hAnsi="Times New Roman"/>
                <w:color w:val="333333"/>
                <w:sz w:val="19"/>
              </w:rPr>
              <w:t>Chế tài xử lý vi phạm chủ đạo</w:t>
            </w:r>
          </w:p>
        </w:tc>
        <w:tc>
          <w:tcPr>
            <w:tcW w:type="dxa" w:w="3744"/>
            <w:tcMar>
              <w:top w:w="80" w:type="dxa"/>
              <w:bottom w:w="80" w:type="dxa"/>
              <w:left w:w="100" w:type="dxa"/>
              <w:right w:w="100" w:type="dxa"/>
            </w:tcMar>
          </w:tcPr>
          <w:p>
            <w:pPr>
              <w:spacing w:before="80" w:after="80"/>
              <w:jc w:val="left"/>
            </w:pPr>
            <w:r>
              <w:rPr>
                <w:rFonts w:ascii="Times New Roman" w:hAnsi="Times New Roman"/>
                <w:color w:val="333333"/>
                <w:sz w:val="19"/>
              </w:rPr>
              <w:t>Lệ thuộc nặng nề vào phạt vi phạm hành chính răn đe cực thấp; hình sự hóa bị bỏ ngỏ trên thực tế.</w:t>
            </w:r>
          </w:p>
        </w:tc>
        <w:tc>
          <w:tcPr>
            <w:tcW w:type="dxa" w:w="3744"/>
            <w:tcMar>
              <w:top w:w="80" w:type="dxa"/>
              <w:bottom w:w="80" w:type="dxa"/>
              <w:left w:w="100" w:type="dxa"/>
              <w:right w:w="100" w:type="dxa"/>
            </w:tcMar>
          </w:tcPr>
          <w:p>
            <w:pPr>
              <w:spacing w:before="80" w:after="80"/>
              <w:jc w:val="left"/>
            </w:pPr>
            <w:r>
              <w:rPr>
                <w:rFonts w:ascii="Times New Roman" w:hAnsi="Times New Roman"/>
                <w:color w:val="333333"/>
                <w:sz w:val="19"/>
              </w:rPr>
              <w:t>Phối hợp đa dạng hóa chế tài: dân sự bồi thường thiệt hại trực tuyến và chế tài hình sự nghiêm khắc.</w:t>
            </w:r>
          </w:p>
        </w:tc>
      </w:tr>
      <w:tr>
        <w:trPr>
          <w:trHeight w:val="450" w:hRule="atLeast"/>
        </w:trPr>
        <w:tc>
          <w:tcPr>
            <w:tcW w:type="dxa" w:w="2592"/>
            <w:shd w:fill="F2F4F8"/>
            <w:tcMar>
              <w:top w:w="80" w:type="dxa"/>
              <w:bottom w:w="80" w:type="dxa"/>
              <w:left w:w="100" w:type="dxa"/>
              <w:right w:w="100" w:type="dxa"/>
            </w:tcMar>
          </w:tcPr>
          <w:p>
            <w:pPr>
              <w:spacing w:before="80" w:after="80"/>
              <w:jc w:val="left"/>
            </w:pPr>
            <w:r>
              <w:rPr>
                <w:rFonts w:ascii="Times New Roman" w:hAnsi="Times New Roman"/>
                <w:color w:val="333333"/>
                <w:sz w:val="19"/>
              </w:rPr>
              <w:t>Địa bàn kiểm soát trọng điểm</w:t>
            </w:r>
          </w:p>
        </w:tc>
        <w:tc>
          <w:tcPr>
            <w:tcW w:type="dxa" w:w="3744"/>
            <w:shd w:fill="F2F4F8"/>
            <w:tcMar>
              <w:top w:w="80" w:type="dxa"/>
              <w:bottom w:w="80" w:type="dxa"/>
              <w:left w:w="100" w:type="dxa"/>
              <w:right w:w="100" w:type="dxa"/>
            </w:tcMar>
          </w:tcPr>
          <w:p>
            <w:pPr>
              <w:spacing w:before="80" w:after="80"/>
              <w:jc w:val="left"/>
            </w:pPr>
            <w:r>
              <w:rPr>
                <w:rFonts w:ascii="Times New Roman" w:hAnsi="Times New Roman"/>
                <w:color w:val="333333"/>
                <w:sz w:val="19"/>
              </w:rPr>
              <w:t>Chủ yếu kiểm soát tại các chợ vật lý truyền thống nổi tiếng (Saigon Square, Tân Thanh).</w:t>
            </w:r>
          </w:p>
        </w:tc>
        <w:tc>
          <w:tcPr>
            <w:tcW w:type="dxa" w:w="3744"/>
            <w:shd w:fill="F2F4F8"/>
            <w:tcMar>
              <w:top w:w="80" w:type="dxa"/>
              <w:bottom w:w="80" w:type="dxa"/>
              <w:left w:w="100" w:type="dxa"/>
              <w:right w:w="100" w:type="dxa"/>
            </w:tcMar>
          </w:tcPr>
          <w:p>
            <w:pPr>
              <w:spacing w:before="80" w:after="80"/>
              <w:jc w:val="left"/>
            </w:pPr>
            <w:r>
              <w:rPr>
                <w:rFonts w:ascii="Times New Roman" w:hAnsi="Times New Roman"/>
                <w:color w:val="333333"/>
                <w:sz w:val="19"/>
              </w:rPr>
              <w:t>Kiểm soát chủ động sự dịch chuyển vi phạm lên không gian ảo (mạng xã hội, thương mại điện tử trực tuyến).</w:t>
            </w:r>
          </w:p>
        </w:tc>
      </w:tr>
      <w:tr>
        <w:trPr>
          <w:trHeight w:val="450" w:hRule="atLeast"/>
        </w:trPr>
        <w:tc>
          <w:tcPr>
            <w:tcW w:type="dxa" w:w="2592"/>
            <w:tcMar>
              <w:top w:w="80" w:type="dxa"/>
              <w:bottom w:w="80" w:type="dxa"/>
              <w:left w:w="100" w:type="dxa"/>
              <w:right w:w="100" w:type="dxa"/>
            </w:tcMar>
          </w:tcPr>
          <w:p>
            <w:pPr>
              <w:spacing w:before="80" w:after="80"/>
              <w:jc w:val="left"/>
            </w:pPr>
            <w:r>
              <w:rPr>
                <w:rFonts w:ascii="Times New Roman" w:hAnsi="Times New Roman"/>
                <w:color w:val="333333"/>
                <w:sz w:val="19"/>
              </w:rPr>
              <w:t>Trách nhiệm của chủ thể trung gian</w:t>
            </w:r>
          </w:p>
        </w:tc>
        <w:tc>
          <w:tcPr>
            <w:tcW w:type="dxa" w:w="3744"/>
            <w:tcMar>
              <w:top w:w="80" w:type="dxa"/>
              <w:bottom w:w="80" w:type="dxa"/>
              <w:left w:w="100" w:type="dxa"/>
              <w:right w:w="100" w:type="dxa"/>
            </w:tcMar>
          </w:tcPr>
          <w:p>
            <w:pPr>
              <w:spacing w:before="80" w:after="80"/>
              <w:jc w:val="left"/>
            </w:pPr>
            <w:r>
              <w:rPr>
                <w:rFonts w:ascii="Times New Roman" w:hAnsi="Times New Roman"/>
                <w:color w:val="333333"/>
                <w:sz w:val="19"/>
              </w:rPr>
              <w:t>Áp đặt trách nhiệm pháp lý liên đới một chiều từ cơ quan nhà nước đối với ISPs.</w:t>
            </w:r>
          </w:p>
        </w:tc>
        <w:tc>
          <w:tcPr>
            <w:tcW w:type="dxa" w:w="3744"/>
            <w:tcMar>
              <w:top w:w="80" w:type="dxa"/>
              <w:bottom w:w="80" w:type="dxa"/>
              <w:left w:w="100" w:type="dxa"/>
              <w:right w:w="100" w:type="dxa"/>
            </w:tcMar>
          </w:tcPr>
          <w:p>
            <w:pPr>
              <w:spacing w:before="80" w:after="80"/>
              <w:jc w:val="left"/>
            </w:pPr>
            <w:r>
              <w:rPr>
                <w:rFonts w:ascii="Times New Roman" w:hAnsi="Times New Roman"/>
                <w:color w:val="333333"/>
                <w:sz w:val="19"/>
              </w:rPr>
              <w:t>Áp dụng cơ chế Notice-and-Takedown (EVFTA), giới hạn trách nhiệm để khuyến khích nền tảng phối hợp.</w:t>
            </w:r>
          </w:p>
        </w:tc>
      </w:tr>
      <w:tr>
        <w:trPr>
          <w:trHeight w:val="450" w:hRule="atLeast"/>
        </w:trPr>
        <w:tc>
          <w:tcPr>
            <w:tcW w:type="dxa" w:w="2592"/>
            <w:shd w:fill="F2F4F8"/>
            <w:tcMar>
              <w:top w:w="80" w:type="dxa"/>
              <w:bottom w:w="80" w:type="dxa"/>
              <w:left w:w="100" w:type="dxa"/>
              <w:right w:w="100" w:type="dxa"/>
            </w:tcMar>
          </w:tcPr>
          <w:p>
            <w:pPr>
              <w:spacing w:before="80" w:after="80"/>
              <w:jc w:val="left"/>
            </w:pPr>
            <w:r>
              <w:rPr>
                <w:rFonts w:ascii="Times New Roman" w:hAnsi="Times New Roman"/>
                <w:color w:val="333333"/>
                <w:sz w:val="19"/>
              </w:rPr>
              <w:t>Cơ chế phối hợp thực thi</w:t>
            </w:r>
          </w:p>
        </w:tc>
        <w:tc>
          <w:tcPr>
            <w:tcW w:type="dxa" w:w="3744"/>
            <w:shd w:fill="F2F4F8"/>
            <w:tcMar>
              <w:top w:w="80" w:type="dxa"/>
              <w:bottom w:w="80" w:type="dxa"/>
              <w:left w:w="100" w:type="dxa"/>
              <w:right w:w="100" w:type="dxa"/>
            </w:tcMar>
          </w:tcPr>
          <w:p>
            <w:pPr>
              <w:spacing w:before="80" w:after="80"/>
              <w:jc w:val="left"/>
            </w:pPr>
            <w:r>
              <w:rPr>
                <w:rFonts w:ascii="Times New Roman" w:hAnsi="Times New Roman"/>
                <w:color w:val="333333"/>
                <w:sz w:val="19"/>
              </w:rPr>
              <w:t>Hội chứng Silo hoạt động đơn lẻ, chồng chéo, dữ liệu giữa Hải quan, Thuế, CNTT bị tách rời hoàn toàn.</w:t>
            </w:r>
          </w:p>
        </w:tc>
        <w:tc>
          <w:tcPr>
            <w:tcW w:type="dxa" w:w="3744"/>
            <w:shd w:fill="F2F4F8"/>
            <w:tcMar>
              <w:top w:w="80" w:type="dxa"/>
              <w:bottom w:w="80" w:type="dxa"/>
              <w:left w:w="100" w:type="dxa"/>
              <w:right w:w="100" w:type="dxa"/>
            </w:tcMar>
          </w:tcPr>
          <w:p>
            <w:pPr>
              <w:spacing w:before="80" w:after="80"/>
              <w:jc w:val="left"/>
            </w:pPr>
            <w:r>
              <w:rPr>
                <w:rFonts w:ascii="Times New Roman" w:hAnsi="Times New Roman"/>
                <w:color w:val="333333"/>
                <w:sz w:val="19"/>
              </w:rPr>
              <w:t>Xây dựng tổ điều phối liên ngành tối cao Chính phủ; liên thông dữ liệu thời gian thực giữa các Bộ ngành.</w:t>
            </w:r>
          </w:p>
        </w:tc>
      </w:tr>
    </w:tbl>
    <w:p>
      <w:pPr>
        <w:spacing w:before="240" w:after="120"/>
      </w:pPr>
    </w:p>
    <w:p>
      <w:pPr>
        <w:pStyle w:val="Heading1"/>
        <w:keepNext/>
        <w:spacing w:before="240" w:after="120"/>
      </w:pPr>
      <w:r>
        <w:rPr>
          <w:rFonts w:ascii="Times New Roman" w:hAnsi="Times New Roman"/>
          <w:b/>
          <w:color w:val="1F4E79"/>
          <w:sz w:val="28"/>
        </w:rPr>
        <w:t>V. Kết luận và Khuyến nghị giải pháp cho Việt Nam</w:t>
      </w:r>
    </w:p>
    <w:p>
      <w:pPr>
        <w:spacing w:line="276" w:lineRule="auto" w:after="120"/>
        <w:ind w:firstLine="432"/>
      </w:pPr>
      <w:r>
        <w:t>Kinh tế số mở ra cơ hội phát triển đột phá cho Việt Nam thoát khỏi bẫy thu nhập trung bình nhưng cũng là thách thức pháp lý to lớn đối với việc bảo vệ tài sản trí tuệ. Quản lý thực thi SHTT một chiều truyền thống đã chạm ngưỡng giới hạn và không còn phù hợp với bối cảnh chuyển đổi số sâu rộng. Việc dịch chuyển sang mô hình quản trị đa chủ thể là giải pháp cấp thiết để xây dựng một môi trường kinh doanh trực tuyến an toàn, đáng tin cậy.</w:t>
      </w:r>
    </w:p>
    <w:p>
      <w:pPr>
        <w:spacing w:line="276" w:lineRule="auto" w:after="120"/>
        <w:ind w:firstLine="432"/>
      </w:pPr>
      <w:r>
        <w:t>Nghiên cứu này đưa ra ba nhóm kiến nghị chính sách cốt lõi đối với cơ quan quản lý nhà nước Việt Nam:</w:t>
      </w:r>
    </w:p>
    <w:p>
      <w:pPr>
        <w:pStyle w:val="ListBullet"/>
        <w:spacing w:after="80" w:line="276" w:lineRule="auto"/>
      </w:pPr>
      <w:r>
        <w:rPr>
          <w:b/>
        </w:rPr>
        <w:t xml:space="preserve">Kiến nghị 1: Thành lập Ủy ban Quốc gia về Sở hữu trí tuệ và Kinh tế số: </w:t>
      </w:r>
      <w:r>
        <w:t>Đặt dưới sự chỉ đạo trực tiếp của Lãnh đạo Chính phủ (Thủ tướng hoặc Phó Thủ tướng) nhằm xóa bỏ hoàn toàn tình trạng hoạt động cát cứ (silo), chồng chéo thẩm quyền giữa các bộ ngành. Cơ quan này sẽ đóng vai trò điều phối tối cao, đảm bảo sự liên thông dữ liệu thời gian thực và thống nhất hành động.</w:t>
      </w:r>
    </w:p>
    <w:p>
      <w:pPr>
        <w:pStyle w:val="ListBullet"/>
        <w:spacing w:after="80" w:line="276" w:lineRule="auto"/>
      </w:pPr>
      <w:r>
        <w:rPr>
          <w:b/>
        </w:rPr>
        <w:t xml:space="preserve">Kiến nghị 2: Hoàn thiện hành lang pháp lý Notice-and-Takedown và xử lý hình sự trực tuyến: </w:t>
      </w:r>
      <w:r>
        <w:t>Sửa đổi các thông tư, nghị định hướng dẫn chi tiết quy trình gỡ bỏ nội dung xâm phạm bản quyền trên không gian mạng theo đúng chuẩn mực EVFTA. Đồng thời, cần thiết lập các án lệ hình sự đối với tội xâm phạm quyền tác giả trực tuyến nhằm tạo ra mức độ răn đe thực chất.</w:t>
      </w:r>
    </w:p>
    <w:p>
      <w:pPr>
        <w:pStyle w:val="ListBullet"/>
        <w:spacing w:after="240" w:line="276" w:lineRule="auto"/>
      </w:pPr>
      <w:r>
        <w:rPr>
          <w:b/>
        </w:rPr>
        <w:t xml:space="preserve">Kiến nghị 3: Thúc đẩy Liên minh công - tư và tự điều tiết của ngành: </w:t>
      </w:r>
      <w:r>
        <w:t>Khuyến khích các hiệp hội ngành nghề, các sàn thương mại điện tử lớn của Việt Nam và các liên minh doanh nghiệp tự nguyện ký kết bộ quy tắc ứng xử (codes of conduct) chung chống hàng giả, bảo vệ bản quyền trực tuyến, và áp dụng các giải pháp truy xuất xuất xứ số hiện đại (BlockChain, QR Code, EUR.1 điện tử) để tự bảo vệ tài sản số của mình.</w:t>
      </w:r>
    </w:p>
    <w:p>
      <w:pPr>
        <w:pStyle w:val="Heading1"/>
        <w:keepNext/>
        <w:spacing w:before="360" w:after="120"/>
      </w:pPr>
      <w:r>
        <w:rPr>
          <w:rFonts w:ascii="Times New Roman" w:hAnsi="Times New Roman"/>
          <w:b/>
          <w:color w:val="1F4E79"/>
          <w:sz w:val="28"/>
        </w:rPr>
        <w:t>Tài liệu tham khảo</w:t>
      </w:r>
    </w:p>
    <w:p>
      <w:pPr>
        <w:spacing w:line="276" w:lineRule="auto" w:after="80"/>
        <w:ind w:left="360" w:hanging="360"/>
      </w:pPr>
      <w:r>
        <w:rPr>
          <w:rFonts w:ascii="Times New Roman" w:hAnsi="Times New Roman"/>
          <w:color w:val="333333"/>
          <w:sz w:val="19"/>
        </w:rPr>
        <w:t>1. Australia Government (2021), Digital Economy Strategy 2030: A leading digital economy and society by 2030, Commonwealth of Australia.</w:t>
      </w:r>
    </w:p>
    <w:p>
      <w:pPr>
        <w:spacing w:line="276" w:lineRule="auto" w:after="80"/>
        <w:ind w:left="360" w:hanging="360"/>
      </w:pPr>
      <w:r>
        <w:rPr>
          <w:rFonts w:ascii="Times New Roman" w:hAnsi="Times New Roman"/>
          <w:color w:val="333333"/>
          <w:sz w:val="19"/>
        </w:rPr>
        <w:t>2. Google, Temasek và Bain &amp; Company (2019), e-Economy Southeast Asia Report 2019: Swipe up and to the right: Southeast Asia's $100 billion Internet economy, Google.</w:t>
      </w:r>
    </w:p>
    <w:p>
      <w:pPr>
        <w:spacing w:line="276" w:lineRule="auto" w:after="80"/>
        <w:ind w:left="360" w:hanging="360"/>
      </w:pPr>
      <w:r>
        <w:rPr>
          <w:rFonts w:ascii="Times New Roman" w:hAnsi="Times New Roman"/>
          <w:color w:val="333333"/>
          <w:sz w:val="19"/>
        </w:rPr>
        <w:t>3. Le Duy Binh và Tran Thi Phuong (2020), Digital Economy and Digital Transformation in Vietnam: A Reader Prepared for Roundtable Series, GOPA Consultants &amp; Economica Vietnam.</w:t>
      </w:r>
    </w:p>
    <w:p>
      <w:pPr>
        <w:spacing w:line="276" w:lineRule="auto" w:after="80"/>
        <w:ind w:left="360" w:hanging="360"/>
      </w:pPr>
      <w:r>
        <w:rPr>
          <w:rFonts w:ascii="Times New Roman" w:hAnsi="Times New Roman"/>
          <w:color w:val="333333"/>
          <w:sz w:val="19"/>
        </w:rPr>
        <w:t>4. OECD (2019), Going Digital: Shaping Policies, Improving Lives, OECD Publishing, Paris.</w:t>
      </w:r>
    </w:p>
    <w:p>
      <w:pPr>
        <w:spacing w:line="276" w:lineRule="auto" w:after="80"/>
        <w:ind w:left="360" w:hanging="360"/>
      </w:pPr>
      <w:r>
        <w:rPr>
          <w:rFonts w:ascii="Times New Roman" w:hAnsi="Times New Roman"/>
          <w:color w:val="333333"/>
          <w:sz w:val="19"/>
        </w:rPr>
        <w:t>5. UNCTAD (2019), Digital Economy Report 2019: Value Creation and Capture: Implications for Developing Countries, United Nations, Geneva.</w:t>
      </w:r>
    </w:p>
    <w:p>
      <w:pPr>
        <w:spacing w:line="276" w:lineRule="auto" w:after="80"/>
        <w:ind w:left="360" w:hanging="360"/>
      </w:pPr>
      <w:r>
        <w:rPr>
          <w:rFonts w:ascii="Times New Roman" w:hAnsi="Times New Roman"/>
          <w:color w:val="333333"/>
          <w:sz w:val="19"/>
        </w:rPr>
        <w:t>6. UNCTAD (2021), Digital Economy Report 2021: Cross-border Data Flows and Development: For whom the data flow, United Nations, Geneva.</w:t>
      </w:r>
    </w:p>
    <w:p>
      <w:pPr>
        <w:spacing w:line="276" w:lineRule="auto" w:after="80"/>
        <w:ind w:left="360" w:hanging="360"/>
      </w:pPr>
      <w:r>
        <w:rPr>
          <w:rFonts w:ascii="Times New Roman" w:hAnsi="Times New Roman"/>
          <w:color w:val="333333"/>
          <w:sz w:val="19"/>
        </w:rPr>
        <w:t>7. UNCTAD (2021), Manual for the Production of Statistics on the Digital Economy, Revised Edition, Geneva.</w:t>
      </w:r>
    </w:p>
    <w:p>
      <w:pPr>
        <w:spacing w:line="276" w:lineRule="auto" w:after="80"/>
        <w:ind w:left="360" w:hanging="360"/>
      </w:pPr>
      <w:r>
        <w:rPr>
          <w:rFonts w:ascii="Times New Roman" w:hAnsi="Times New Roman"/>
          <w:color w:val="333333"/>
          <w:sz w:val="19"/>
        </w:rPr>
        <w:t>8. United States Trade Representative (USTR) (2023), Special 301 Report on Intellectual Property Protection and Enforcement, Washington, DC.</w:t>
      </w:r>
    </w:p>
    <w:p>
      <w:pPr>
        <w:spacing w:line="276" w:lineRule="auto" w:after="80"/>
        <w:ind w:left="360" w:hanging="360"/>
      </w:pPr>
      <w:r>
        <w:rPr>
          <w:rFonts w:ascii="Times New Roman" w:hAnsi="Times New Roman"/>
          <w:color w:val="333333"/>
          <w:sz w:val="19"/>
        </w:rPr>
        <w:t>9. United States Trade Representative (USTR) (2023), Review of Notorious Markets for Counterfeiting and Piracy, Washington, DC.</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9"/>
      </w:rPr>
      <w:t xml:space="preserve">Trang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Báo cáo Khoa học | Chuyên đề Quản lý Sở hữu trí tuệ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