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F4E79"/>
          <w:sz w:val="40"/>
        </w:rPr>
        <w:t>ĐỀ XUẤT HỆ THỐNG DỮ LIỆU VÀ MINH CHỨNG THỰC TIỄN</w:t>
        <w:br/>
      </w:r>
    </w:p>
    <w:p>
      <w:pPr>
        <w:spacing w:after="720"/>
        <w:jc w:val="center"/>
      </w:pPr>
      <w:r>
        <w:rPr>
          <w:rFonts w:ascii="Times New Roman" w:hAnsi="Times New Roman"/>
          <w:i/>
          <w:color w:val="595959"/>
          <w:sz w:val="24"/>
        </w:rPr>
        <w:t>Xây dựng cơ sở dữ liệu cho Luận án Tiến sĩ:</w:t>
        <w:br/>
        <w:t>"Quản lý Nhà nước về Quyền Sở hữu trí tuệ trong nền kinh tế số ở Việt Nam"</w:t>
        <w:br/>
        <w:t>Chuyên đề trọng tâm: "Phối hợp đa chủ thể trong thực thi quyền sở hữu trí tuệ trên nền tảng số"</w:t>
      </w:r>
    </w:p>
    <w:p>
      <w:r>
        <w:br w:type="page"/>
      </w:r>
    </w:p>
    <w:p>
      <w:pPr>
        <w:pStyle w:val="Heading1"/>
        <w:keepNext/>
        <w:spacing w:before="240" w:after="240"/>
      </w:pPr>
      <w:r>
        <w:rPr>
          <w:rFonts w:ascii="Times New Roman" w:hAnsi="Times New Roman"/>
          <w:b/>
          <w:color w:val="1F4E79"/>
          <w:sz w:val="32"/>
        </w:rPr>
        <w:t>MỤC LỤC TỰ ĐỘNG</w:t>
      </w:r>
    </w:p>
    <w:p>
      <w:pPr>
        <w:spacing w:after="480"/>
      </w:pPr>
      <w:r>
        <w:rPr>
          <w:rFonts w:ascii="Times New Roman" w:hAnsi="Times New Roman"/>
          <w:i/>
          <w:color w:val="787878"/>
          <w:sz w:val="22"/>
        </w:rPr>
        <w:t>(Mục lục này sẽ tự động cập nhật khi bạn mở tài liệu bằng Microsoft Word hoặc Google Docs. Vui lòng nhấp chuột phải và chọn 'Update Field' / 'Cập nhật trường' để hiển thị danh sách mục lục chi tiết.)</w:t>
      </w:r>
    </w:p>
    <w:p>
      <w:r>
        <w:fldChar w:fldCharType="begin"/>
        <w:instrText xml:space="preserve">TOC \o "1-3" \h \z \u</w:instrText>
        <w:fldChar w:fldCharType="end"/>
      </w:r>
    </w:p>
    <w:p>
      <w:r>
        <w:br w:type="page"/>
      </w:r>
    </w:p>
    <w:p>
      <w:pPr>
        <w:pStyle w:val="Heading1"/>
        <w:keepNext/>
        <w:spacing w:before="360" w:after="240"/>
      </w:pPr>
      <w:r>
        <w:rPr>
          <w:rFonts w:ascii="Times New Roman" w:hAnsi="Times New Roman"/>
          <w:b/>
          <w:color w:val="1F4E79"/>
          <w:sz w:val="32"/>
        </w:rPr>
        <w:t>1. LỜI MỞ ĐẦU</w:t>
      </w:r>
    </w:p>
    <w:p>
      <w:pPr>
        <w:spacing w:after="120" w:line="300" w:lineRule="auto"/>
        <w:jc w:val="left"/>
      </w:pPr>
      <w:r>
        <w:rPr>
          <w:rFonts w:ascii="Times New Roman" w:hAnsi="Times New Roman"/>
          <w:sz w:val="24"/>
        </w:rPr>
        <w:t xml:space="preserve">Nền kinh tế số tại Việt Nam đang trải qua giai đoạn bùng nổ mạnh mẽ, mang lại tiềm năng chuyển đổi to lớn nhưng cũng đặt ra những thách thức phi truyền thống đối với công tác quản lý nhà nước về sở hữu trí tuệ (SHTT). Trên môi trường mạng, các hành vi xâm phạm quyền tác giả, nhãn hiệu, bản quyền phần mềm và quyền SHTT đối với các công nghệ mới nổi (như trí tuệ nhân tạo - AI) diễn ra với tốc độ nhanh chóng, tính chất phi biên giới và vô cùng tinh vi. Sự tham gia của đa dạng các chủ thể—bao gồm các cơ quan quản lý nhà nước, các doanh nghiệp cung cấp dịch vụ trung gian Internet (ISP), các nền t hạn thương mại điện tử, các hiệp hội, chủ sở hữu quyền và cộng đồng người tiêu dùng số—đã tạo nên một hệ sinh thái phức tạp. </w:t>
      </w:r>
    </w:p>
    <w:p>
      <w:pPr>
        <w:spacing w:after="120" w:line="300" w:lineRule="auto"/>
        <w:jc w:val="left"/>
      </w:pPr>
      <w:r>
        <w:rPr>
          <w:rFonts w:ascii="Times New Roman" w:hAnsi="Times New Roman"/>
          <w:sz w:val="24"/>
        </w:rPr>
        <w:t>Do đó, việc xây dựng và vận hành một cơ chế phối hợp đa chủ thể trong thực thi quyền SHTT trên nền tảng số không chỉ là yêu cầu cấp bách để bảo vệ lợi ích hợp pháp của các nhà sáng chế, doanh nghiệp mà còn là động lực cốt lõi để thúc đẩy đổi mới sáng tạo và chuyển đổi số quốc gia. Tài liệu đề xuất này hệ thống hóa các số liệu vĩ mô và vi mô, bối cảnh thể chế pháp lý và các kịch bản định hướng giải pháp nhằm cung cấp một hệ thống minh chứng khoa học và thực tiễn vững chắc, có thể tích hợp trực tiếp vào các chương nội dung của luận án tiến sĩ.</w:t>
      </w:r>
    </w:p>
    <w:p>
      <w:pPr>
        <w:pStyle w:val="Heading1"/>
        <w:keepNext/>
        <w:spacing w:before="360" w:after="240"/>
      </w:pPr>
      <w:r>
        <w:rPr>
          <w:rFonts w:ascii="Times New Roman" w:hAnsi="Times New Roman"/>
          <w:b/>
          <w:color w:val="1F4E79"/>
          <w:sz w:val="32"/>
        </w:rPr>
        <w:t>2. CHƯƠNG 1: CƠ SỞ LÝ LUẬN VÀ THỂ CHẾ SHTT TRONG KỶ NGUYÊN SỐ</w:t>
      </w:r>
    </w:p>
    <w:p>
      <w:pPr>
        <w:pStyle w:val="Heading2"/>
        <w:keepNext/>
        <w:spacing w:before="240" w:after="120"/>
      </w:pPr>
      <w:r>
        <w:rPr>
          <w:rFonts w:ascii="Times New Roman" w:hAnsi="Times New Roman"/>
          <w:b/>
          <w:color w:val="2F5597"/>
          <w:sz w:val="26"/>
        </w:rPr>
        <w:t>2.1. Mối quan hệ biện chứng giữa thể chế sở hữu trí tuệ và chuyển đổi số</w:t>
      </w:r>
    </w:p>
    <w:p>
      <w:pPr>
        <w:spacing w:after="120" w:line="300" w:lineRule="auto"/>
        <w:jc w:val="left"/>
      </w:pPr>
      <w:r>
        <w:rPr>
          <w:rFonts w:ascii="Times New Roman" w:hAnsi="Times New Roman"/>
          <w:sz w:val="24"/>
        </w:rPr>
        <w:t>Khung thể chế và pháp lý đóng vai trò quan trọng quyết định trong quá trình số hóa nền kinh tế. Những chính sách hợp lý, chặt chẽ về bản quyền, quyền sở hữu trí tuệ và sự tự do hóa thị trường nghiên cứu khoa học sẽ tạo ra những bước đột phá cho Việt Nam trong quá trình chuyển đổi số toàn diện. Thể chế không chỉ đóng vai trò bảo vệ tài sản hiện có, mà còn thúc đẩy hành vi đầu tư mạo hiểm vào nghiên cứu và phát triển (R&amp;D).</w:t>
      </w:r>
    </w:p>
    <w:p>
      <w:pPr>
        <w:pStyle w:val="Heading2"/>
        <w:keepNext/>
        <w:spacing w:before="240" w:after="120"/>
      </w:pPr>
      <w:r>
        <w:rPr>
          <w:rFonts w:ascii="Times New Roman" w:hAnsi="Times New Roman"/>
          <w:b/>
          <w:color w:val="2F5597"/>
          <w:sz w:val="26"/>
        </w:rPr>
        <w:t>2.2. Chiến lược phát triển kinh tế dựa trên đổi mới sáng tạo</w:t>
      </w:r>
    </w:p>
    <w:p>
      <w:pPr>
        <w:spacing w:after="120" w:line="300" w:lineRule="auto"/>
        <w:jc w:val="left"/>
      </w:pPr>
      <w:r>
        <w:rPr>
          <w:rFonts w:ascii="Times New Roman" w:hAnsi="Times New Roman"/>
          <w:sz w:val="24"/>
        </w:rPr>
        <w:t>Để thoát khỏi 'bẫy thu nhập trung bình', các quốc gia đang phát triển như Việt Nam bắt buộc phải chuyển dịch mô hình tăng trưởng: dịch chuyển từ 'Chiến lược bắt chước, ứng dụng và nhập khẩu công nghệ' sang 'Chiến lược tăng trưởng dựa trên đổi mới sáng tạo và tri thức'. Việc gia tăng tỷ trọng đóng góp của Năng suất các nhân tố tổng hợp (TFP) vào GDP đòi hỏi một môi trường pháp lý SHTT cực kỳ nghiêm ngặt và đáng tin cậy. Nếu hệ thống SHTT yếu kém, quy trình đăng ký chậm và không chắc chắn, doanh nghiệp sẽ ngần ngại đầu tư chất xám vì lo ngại ý tưởng sẽ bị sao chép hoặc trộm cắp trước khi được bảo hộ, làm triệt tiêu năng lực nghiên cứu sáng tạo trong nước.</w:t>
      </w:r>
    </w:p>
    <w:p>
      <w:pPr>
        <w:pStyle w:val="Heading2"/>
        <w:keepNext/>
        <w:spacing w:before="240" w:after="120"/>
      </w:pPr>
      <w:r>
        <w:rPr>
          <w:rFonts w:ascii="Times New Roman" w:hAnsi="Times New Roman"/>
          <w:b/>
          <w:color w:val="2F5597"/>
          <w:sz w:val="26"/>
        </w:rPr>
        <w:t>2.3. Đối tượng bảo hộ mới trong làn sóng công nghệ mới nổi</w:t>
      </w:r>
    </w:p>
    <w:p>
      <w:pPr>
        <w:spacing w:after="120" w:line="300" w:lineRule="auto"/>
        <w:jc w:val="left"/>
      </w:pPr>
      <w:r>
        <w:rPr>
          <w:rFonts w:ascii="Times New Roman" w:hAnsi="Times New Roman"/>
          <w:sz w:val="24"/>
        </w:rPr>
        <w:t>Sự trỗi dậy của các công nghệ số mới nổi—bao gồm trí tuệ nhân tạo (AI), điện toán đám mây, chuỗi khối (blockchain), Internet vạn vật (IoT) và dữ liệu lớn (Big Data)—đang tạo ra những đối tượng sở hữu trí tuệ hoàn toàn mới. Hệ thống pháp luật SHTT truyền thống chưa kịp bao quát hết các khía cạnh bảo hộ đối với: thuật toán máy học, các mô hình ngôn ngữ lớn (LLMs), thiết kế mạch tích hợp bán dẫn, và đặc biệt là quyền tác giả đối với các tác phẩm (văn bản, hình ảnh, mã nguồn) do AI tạo ra. Đây là những vấn đề lý luận cốt lõi mà luận án cần làm sáng tỏ để đề xuất các cơ chế quản lý nhà nước phù hợp.</w:t>
      </w:r>
    </w:p>
    <w:p>
      <w:pPr>
        <w:pStyle w:val="Heading1"/>
        <w:keepNext/>
        <w:spacing w:before="360" w:after="240"/>
      </w:pPr>
      <w:r>
        <w:rPr>
          <w:rFonts w:ascii="Times New Roman" w:hAnsi="Times New Roman"/>
          <w:b/>
          <w:color w:val="1F4E79"/>
          <w:sz w:val="32"/>
        </w:rPr>
        <w:t>3. CHƯƠNG 2: THỰC TRẠNG KINH TẾ SỐ VÀ ĐIỂM NGHẼN TRONG CƠ CHẾ PHỐI HỢP SHTT</w:t>
      </w:r>
    </w:p>
    <w:p>
      <w:pPr>
        <w:pStyle w:val="Heading2"/>
        <w:keepNext/>
        <w:spacing w:before="240" w:after="120"/>
      </w:pPr>
      <w:r>
        <w:rPr>
          <w:rFonts w:ascii="Times New Roman" w:hAnsi="Times New Roman"/>
          <w:b/>
          <w:color w:val="2F5597"/>
          <w:sz w:val="26"/>
        </w:rPr>
        <w:t>3.1. Bối cảnh bùng nổ của nền Kinh tế số Việt Nam</w:t>
      </w:r>
    </w:p>
    <w:p>
      <w:pPr>
        <w:spacing w:after="120" w:line="300" w:lineRule="auto"/>
        <w:jc w:val="left"/>
      </w:pPr>
      <w:r>
        <w:rPr>
          <w:rFonts w:ascii="Times New Roman" w:hAnsi="Times New Roman"/>
          <w:sz w:val="24"/>
        </w:rPr>
        <w:t>Kinh tế số Việt Nam đang ghi nhận tốc độ tăng trưởng ấn tượng, đạt quy mô từ 34 đến 36 tỷ USD vào năm 2024 với tốc độ tăng trưởng hàng năm đạt tới 20%, khẳng định vị thế là nền kinh tế số phát triển nhanh nhất khu vực Đông Nam Á. Sự gia tăng nhanh chóng về tỷ lệ thâm nhập Internet (đạt tới 79,1% dân số vào năm 2023) và quy mô các ngành nhạy cảm với bản quyền như thương mại điện tử (đạt 21 tỷ USD năm 2024), nội dung số, và phần mềm đã đặt ra áp lực thực thi SHTT vô cùng lớn. Dưới đây là bảng thống kê chi tiết bối cảnh vĩ mô để minh chứng cho áp lực này: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12"/>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Chỉ số vĩ mô</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2021</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2022</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2023</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2024</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2025 (Dự báo)</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Quy mô Kinh tế số (GMV) (Tỷ USD)</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21</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23</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30</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34 - 36</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43</w:t>
            </w:r>
          </w:p>
        </w:tc>
      </w:tr>
      <w:tr>
        <w:tc>
          <w:tcPr>
            <w:tcW w:type="dxa" w:w="331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Đóng góp của Kinh tế số vào GDP (%)</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7,6</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16,5</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18,3</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20,0</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Tỷ lệ thâm nhập Internet (% dân số)</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70,0</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73,3</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79,1</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80,0</w:t>
            </w:r>
          </w:p>
        </w:tc>
      </w:tr>
      <w:tr>
        <w:tc>
          <w:tcPr>
            <w:tcW w:type="dxa" w:w="331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Số lượng Doanh nghiệp Công nghệ số</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45.500+</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50.000+</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Lực lượng Lao động CNTT (Người)</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500.000</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550.000+</w:t>
            </w:r>
          </w:p>
        </w:tc>
      </w:tr>
    </w:tbl>
    <w:p>
      <w:pPr>
        <w:spacing w:before="120" w:after="120"/>
      </w:pPr>
    </w:p>
    <w:p>
      <w:pPr>
        <w:spacing w:after="120" w:line="300" w:lineRule="auto"/>
        <w:jc w:val="left"/>
      </w:pPr>
      <w:r>
        <w:rPr>
          <w:rFonts w:ascii="Times New Roman" w:hAnsi="Times New Roman"/>
          <w:sz w:val="24"/>
        </w:rPr>
        <w:t>Phân tích dữ liệu: Việc thâm nhập Internet sâu rộng đạt sát mốc 80% dân số cùng hàng chục nghìn doanh nghiệp công nghệ số hoạt động liên tục trên môi trường mạng đã dịch chuyển toàn bộ hành vi của người tiêu dùng và doanh nghiệp lên nền tảng số. Không gian mạng giờ đây là thị trường giao dịch tài sản sáng tạo thực tế, nơi việc sao chép, phân phối lậu các tác phẩm số diễn ra chỉ bằng một cú nhấp chuột, đòi hỏi sự vào cuộc kỹ thuật của các nhà mạng ISP chứ không thể chỉ dựa vào thanh tra hành chính.</w:t>
      </w:r>
    </w:p>
    <w:p>
      <w:pPr>
        <w:pStyle w:val="Heading2"/>
        <w:keepNext/>
        <w:spacing w:before="240" w:after="120"/>
      </w:pPr>
      <w:r>
        <w:rPr>
          <w:rFonts w:ascii="Times New Roman" w:hAnsi="Times New Roman"/>
          <w:b/>
          <w:color w:val="2F5597"/>
          <w:sz w:val="26"/>
        </w:rPr>
        <w:t>3.2. Dòng vốn đầu tư công nghệ số và yêu cầu bảo hộ tài sản trí tuệ</w:t>
      </w:r>
    </w:p>
    <w:p>
      <w:pPr>
        <w:spacing w:after="120" w:line="300" w:lineRule="auto"/>
        <w:jc w:val="left"/>
      </w:pPr>
      <w:r>
        <w:rPr>
          <w:rFonts w:ascii="Times New Roman" w:hAnsi="Times New Roman"/>
          <w:sz w:val="24"/>
        </w:rPr>
        <w:t>Để thu hút dòng vốn đầu tư mạo hiểm (VC) và vốn cổ phần tư nhân (PE) toàn cầu dài hạn, hệ thống SHTT quốc gia phải bảo vệ được giá trị thương mại của tài sản trí tuệ thuộc về các startup. Dòng vốn đổ vào công nghệ tại Việt Nam đã ghi nhận sự phục hồi mạnh mẽ, đạt mức 4,5 tỷ USD vào năm 2025, thể hiện niềm tin bền bỉ của nhà đầu tư quốc tế vào các doanh nghiệp đổi mới sáng tạo có chất lượng cao tại Việt Nam:</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12"/>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Dòng vốn đầu tư công nghệ</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2021</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2022</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2023</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2024</w:t>
            </w:r>
          </w:p>
        </w:tc>
        <w:tc>
          <w:tcPr>
            <w:tcW w:type="dxa" w:w="121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Năm 2025</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Vốn Đầu tư Mạo hiểm (VC) (Triệu USD)</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1.442</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634</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529</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398</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509</w:t>
            </w:r>
          </w:p>
        </w:tc>
      </w:tr>
      <w:tr>
        <w:tc>
          <w:tcPr>
            <w:tcW w:type="dxa" w:w="331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Vốn Cổ phần Tư nhân (PE) (Tỷ USD)</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2,98</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1,86</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3,96</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Tổng vốn Đầu tư Công nghệ (Tỷ USD)</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3,51</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2,26</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4,47</w:t>
            </w:r>
          </w:p>
        </w:tc>
      </w:tr>
      <w:tr>
        <w:tc>
          <w:tcPr>
            <w:tcW w:type="dxa" w:w="331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Số lượng thương vụ đầu tư (VC)</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165</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134</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122</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118</w:t>
            </w:r>
          </w:p>
        </w:tc>
        <w:tc>
          <w:tcPr>
            <w:tcW w:type="dxa" w:w="121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103</w:t>
            </w:r>
          </w:p>
        </w:tc>
      </w:tr>
      <w:tr>
        <w:tc>
          <w:tcPr>
            <w:tcW w:type="dxa" w:w="331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Số lượng nhà hoạt động đầu tư VC (Quỹ)</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173</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108</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99</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147</w:t>
            </w:r>
          </w:p>
        </w:tc>
        <w:tc>
          <w:tcPr>
            <w:tcW w:type="dxa" w:w="121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119</w:t>
            </w:r>
          </w:p>
        </w:tc>
      </w:tr>
    </w:tbl>
    <w:p>
      <w:pPr>
        <w:spacing w:before="120" w:after="120"/>
      </w:pPr>
    </w:p>
    <w:p>
      <w:pPr>
        <w:spacing w:after="120" w:line="300" w:lineRule="auto"/>
        <w:jc w:val="left"/>
      </w:pPr>
      <w:r>
        <w:rPr>
          <w:rFonts w:ascii="Times New Roman" w:hAnsi="Times New Roman"/>
          <w:sz w:val="24"/>
        </w:rPr>
        <w:t>Phân tích dữ liệu: Dù số lượng thương vụ đầu tư mạo hiểm có xu hướng giảm từ 165 xuống còn 103 thương vụ, nhưng quy mô giải ngân trung bình lại tăng mạnh, đặc biệt là dòng vốn PE đạt mức cao kỷ lục gần 4 tỷ USD năm 2025. Xu hướng này phản ánh sự dịch chuyển sang 'đầu tư tập trung' vào các doanh nghiệp công nghệ quy mô lớn, sở hữu tài sản trí tuệ công nghệ độc quyền, có tính cạnh tranh cao. Việc xảy ra tranh chấp hoặc xâm phạm SHTT ở giai đoạn này có thể gây thiệt hại hàng triệu USD và làm đóng băng dòng vốn nước ngoài giải ngân vào Việt Nam.</w:t>
      </w:r>
    </w:p>
    <w:p>
      <w:pPr>
        <w:pStyle w:val="Heading2"/>
        <w:keepNext/>
        <w:spacing w:before="240" w:after="120"/>
      </w:pPr>
      <w:r>
        <w:rPr>
          <w:rFonts w:ascii="Times New Roman" w:hAnsi="Times New Roman"/>
          <w:b/>
          <w:color w:val="2F5597"/>
          <w:sz w:val="26"/>
        </w:rPr>
        <w:t>3.3. Trí tuệ nhân tạo (AI) - Phân khúc công nghệ nhạy cảm đặc biệt với SHTT</w:t>
      </w:r>
    </w:p>
    <w:p>
      <w:pPr>
        <w:spacing w:after="120" w:line="300" w:lineRule="auto"/>
        <w:jc w:val="left"/>
      </w:pPr>
      <w:r>
        <w:rPr>
          <w:rFonts w:ascii="Times New Roman" w:hAnsi="Times New Roman"/>
          <w:sz w:val="24"/>
        </w:rPr>
        <w:t>Trí tuệ nhân tạo (AI) đang vươn lên thành động lực chuyển đổi chính của nền kinh tế số Việt Nam, với quy mô tác động kinh tế dự kiến đạt tới 120-130 tỷ USD vào năm 2040. Trong đó, vốn đầu tư mạo hiểm giải ngân trực tiếp vào các doanh nghiệp AI tại Việt Nam đã tăng đột biến gấp 8 lần chỉ trong vòng một năm, đạt mức 80 triệu USD vào năm 2024 và tăng tiếp lên 130 triệu USD năm 2025. Dưới đây là các chỉ số chi tiết về phân khúc công nghệ chuyên sâu này:</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Chỉ số và Phân khúc Công nghệ AI</w:t>
            </w:r>
          </w:p>
        </w:tc>
        <w:tc>
          <w:tcPr>
            <w:tcW w:type="dxa" w:w="216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Giá trị số liệu</w:t>
            </w:r>
          </w:p>
        </w:tc>
        <w:tc>
          <w:tcPr>
            <w:tcW w:type="dxa" w:w="2592"/>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Nguồn / Ý nghĩa tác động</w:t>
            </w:r>
          </w:p>
        </w:tc>
      </w:tr>
      <w:tr>
        <w:tc>
          <w:tcPr>
            <w:tcW w:type="dxa" w:w="4608"/>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Vốn đầu tư vào các công ty AI tại Việt Nam (2023)</w:t>
            </w:r>
          </w:p>
        </w:tc>
        <w:tc>
          <w:tcPr>
            <w:tcW w:type="dxa" w:w="216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10 Triệu USD</w:t>
            </w:r>
          </w:p>
        </w:tc>
        <w:tc>
          <w:tcPr>
            <w:tcW w:type="dxa" w:w="2592"/>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Thuở sơ khai của hệ sinh thái</w:t>
            </w:r>
          </w:p>
        </w:tc>
      </w:tr>
      <w:tr>
        <w:tc>
          <w:tcPr>
            <w:tcW w:type="dxa" w:w="4608"/>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Vốn đầu tư vào các công ty AI tại Việt Nam (2024)</w:t>
            </w:r>
          </w:p>
        </w:tc>
        <w:tc>
          <w:tcPr>
            <w:tcW w:type="dxa" w:w="216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80 Triệu USD</w:t>
            </w:r>
          </w:p>
        </w:tc>
        <w:tc>
          <w:tcPr>
            <w:tcW w:type="dxa" w:w="2592"/>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Tăng đột phá gấp 8 lần</w:t>
            </w:r>
          </w:p>
        </w:tc>
      </w:tr>
      <w:tr>
        <w:tc>
          <w:tcPr>
            <w:tcW w:type="dxa" w:w="4608"/>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Vốn đầu tư vào các công ty AI tại Việt Nam (2025)</w:t>
            </w:r>
          </w:p>
        </w:tc>
        <w:tc>
          <w:tcPr>
            <w:tcW w:type="dxa" w:w="216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130 Triệu USD</w:t>
            </w:r>
          </w:p>
        </w:tc>
        <w:tc>
          <w:tcPr>
            <w:tcW w:type="dxa" w:w="2592"/>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Đầu tư tập trung, bùng nổ use cases</w:t>
            </w:r>
          </w:p>
        </w:tc>
      </w:tr>
      <w:tr>
        <w:tc>
          <w:tcPr>
            <w:tcW w:type="dxa" w:w="4608"/>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Quy mô thị trường Generative AI tại VN (2023)</w:t>
            </w:r>
          </w:p>
        </w:tc>
        <w:tc>
          <w:tcPr>
            <w:tcW w:type="dxa" w:w="216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100,2 Triệu USD</w:t>
            </w:r>
          </w:p>
        </w:tc>
        <w:tc>
          <w:tcPr>
            <w:tcW w:type="dxa" w:w="2592"/>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Statista Market Insights</w:t>
            </w:r>
          </w:p>
        </w:tc>
      </w:tr>
      <w:tr>
        <w:tc>
          <w:tcPr>
            <w:tcW w:type="dxa" w:w="4608"/>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Tác động của AI lên kinh tế Việt Nam (Dự báo 2040)</w:t>
            </w:r>
          </w:p>
        </w:tc>
        <w:tc>
          <w:tcPr>
            <w:tcW w:type="dxa" w:w="216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120 - 130 Tỷ USD</w:t>
            </w:r>
          </w:p>
        </w:tc>
        <w:tc>
          <w:tcPr>
            <w:tcW w:type="dxa" w:w="2592"/>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Dự báo của BCG</w:t>
            </w:r>
          </w:p>
        </w:tc>
      </w:tr>
      <w:tr>
        <w:tc>
          <w:tcPr>
            <w:tcW w:type="dxa" w:w="4608"/>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Tác động kinh tế của AI riêng ngành Sản xuất</w:t>
            </w:r>
          </w:p>
        </w:tc>
        <w:tc>
          <w:tcPr>
            <w:tcW w:type="dxa" w:w="216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25 - 30 Tỷ USD</w:t>
            </w:r>
          </w:p>
        </w:tc>
        <w:tc>
          <w:tcPr>
            <w:tcW w:type="dxa" w:w="2592"/>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BCG - Nâng cao năng suất và tự động hóa</w:t>
            </w:r>
          </w:p>
        </w:tc>
      </w:tr>
      <w:tr>
        <w:tc>
          <w:tcPr>
            <w:tcW w:type="dxa" w:w="4608"/>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Tác động kinh tế của AI riêng ngành Tiêu dùng</w:t>
            </w:r>
          </w:p>
        </w:tc>
        <w:tc>
          <w:tcPr>
            <w:tcW w:type="dxa" w:w="216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15 - 20 Tỷ USD</w:t>
            </w:r>
          </w:p>
        </w:tc>
        <w:tc>
          <w:tcPr>
            <w:tcW w:type="dxa" w:w="2592"/>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BCG - Cá nhân hóa nhu cầu tiêu dùng</w:t>
            </w:r>
          </w:p>
        </w:tc>
      </w:tr>
    </w:tbl>
    <w:p>
      <w:pPr>
        <w:spacing w:before="120" w:after="120"/>
      </w:pPr>
    </w:p>
    <w:p>
      <w:pPr>
        <w:spacing w:after="120" w:line="300" w:lineRule="auto"/>
        <w:jc w:val="left"/>
      </w:pPr>
      <w:r>
        <w:rPr>
          <w:rFonts w:ascii="Times New Roman" w:hAnsi="Times New Roman"/>
          <w:sz w:val="24"/>
        </w:rPr>
        <w:t>Phân tích dữ liệu: Việc tăng trưởng phi mã của dòng vốn đầu tư vào AI chứng minh rằng 'tài sản trí tuệ phi truyền thống' đang trở thành trung tâm của hoạt động sáng tạo số tại Việt Nam. Sự phát triển mạnh mẽ của Generative AI buộc các nhà hoạch định chính sách phải giải quyết bài toán pháp lý về việc: Ai là chủ sở hữu tác phẩm do AI tạo ra? Liệu việc sử dụng dữ liệu có bản quyền để huấn luyện mô hình ngôn ngữ lớn (LLMs) có cấu thành hành vi xâm phạm SHTT hay không?</w:t>
      </w:r>
    </w:p>
    <w:p>
      <w:pPr>
        <w:pStyle w:val="Heading2"/>
        <w:keepNext/>
        <w:spacing w:before="240" w:after="120"/>
      </w:pPr>
      <w:r>
        <w:rPr>
          <w:rFonts w:ascii="Times New Roman" w:hAnsi="Times New Roman"/>
          <w:b/>
          <w:color w:val="2F5597"/>
          <w:sz w:val="26"/>
        </w:rPr>
        <w:t>3.4. Các rào cản và khoảng trống phối hợp đa chủ thể hiện nay</w:t>
      </w:r>
    </w:p>
    <w:p>
      <w:pPr>
        <w:spacing w:after="120" w:line="300" w:lineRule="auto"/>
        <w:jc w:val="left"/>
      </w:pPr>
      <w:r>
        <w:rPr>
          <w:rFonts w:ascii="Times New Roman" w:hAnsi="Times New Roman"/>
          <w:sz w:val="24"/>
        </w:rPr>
        <w:t>Qua nghiên cứu hệ thống văn bản và số liệu thực tế từ các nguồn tài liệu, công tác quản lý nhà nước về SHTT trực tuyến tại Việt Nam đang đối mặt với các điểm nghẽn nghiêm trọng sau:</w:t>
      </w:r>
    </w:p>
    <w:p>
      <w:pPr>
        <w:spacing w:after="80" w:line="276" w:lineRule="auto"/>
        <w:ind w:left="360"/>
      </w:pPr>
      <w:r>
        <w:rPr>
          <w:rFonts w:ascii="Times New Roman" w:hAnsi="Times New Roman"/>
          <w:b/>
          <w:sz w:val="24"/>
        </w:rPr>
        <w:t xml:space="preserve">•  </w:t>
      </w:r>
      <w:r>
        <w:rPr>
          <w:rFonts w:ascii="Times New Roman" w:hAnsi="Times New Roman"/>
          <w:sz w:val="24"/>
        </w:rPr>
        <w:t>Đầu tư nguồn lực quốc gia cho KH&amp;CN còn rất thấp: Đầu tư cho khoa học và công nghệ của Việt Nam có xu hướng giảm và còn rất hạn chế, chỉ chiếm 0,8% tổng ngân sách nhà nước năm 2017 (giảm so với mức 1% trong năm 2005). Sự thiếu hụt nguồn lực tài chính khiến các cơ quan quản lý và thực thi pháp luật thiếu thốn các công cụ công nghệ hiện đại để giám sát, phát hiện và ngăn chặn hiệu quả các dòng dữ liệu vi phạm bản quyền trực tuyến vượt biên giới.</w:t>
      </w:r>
    </w:p>
    <w:p>
      <w:pPr>
        <w:spacing w:after="80" w:line="276" w:lineRule="auto"/>
        <w:ind w:left="360"/>
      </w:pPr>
      <w:r>
        <w:rPr>
          <w:rFonts w:ascii="Times New Roman" w:hAnsi="Times New Roman"/>
          <w:b/>
          <w:sz w:val="24"/>
        </w:rPr>
        <w:t xml:space="preserve">•  </w:t>
      </w:r>
      <w:r>
        <w:rPr>
          <w:rFonts w:ascii="Times New Roman" w:hAnsi="Times New Roman"/>
          <w:sz w:val="24"/>
        </w:rPr>
        <w:t>Hệ thống đổi mới sáng tạo quốc gia còn yếu và phân tán: Khả năng đóng góp của hoạt động nghiên cứu sáng tạo cho tăng trưởng kinh tế còn thấp; hệ thống tư pháp thực thi SHTT bị đánh giá là chậm chạp, không chắc chắn, gây ra rủi ro rò rỉ và mất mát tài sản trí tuệ. Điều này trực tiếp cản trở dòng chảy R&amp;D và xuất khẩu công nghệ cao.</w:t>
      </w:r>
    </w:p>
    <w:p>
      <w:pPr>
        <w:spacing w:after="80" w:line="276" w:lineRule="auto"/>
        <w:ind w:left="360"/>
      </w:pPr>
      <w:r>
        <w:rPr>
          <w:rFonts w:ascii="Times New Roman" w:hAnsi="Times New Roman"/>
          <w:b/>
          <w:sz w:val="24"/>
        </w:rPr>
        <w:t xml:space="preserve">•  </w:t>
      </w:r>
      <w:r>
        <w:rPr>
          <w:rFonts w:ascii="Times New Roman" w:hAnsi="Times New Roman"/>
          <w:sz w:val="24"/>
        </w:rPr>
        <w:t>Sự thiếu phối hợp đồng bộ liên ngành: Việc thực hiện các chiến lược chuyển đổi số và bảo hộ SHTT quốc gia còn rời rạc do thiếu vắng một cơ quan lãnh đạo hoặc điều phối chung thống nhất giữa các Bộ ban ngành (như Bộ KH&amp;CN, Bộ TT&amp;TT, Bộ VH-TT&amp;DL và cơ quan an ninh mạng), dẫn đến tình trạng đùn đẩy trách nhiệm hoặc chồng chéo thẩm quyền khi xử lý vi phạm.</w:t>
      </w:r>
    </w:p>
    <w:p>
      <w:pPr>
        <w:spacing w:after="80" w:line="276" w:lineRule="auto"/>
        <w:ind w:left="360"/>
      </w:pPr>
      <w:r>
        <w:rPr>
          <w:rFonts w:ascii="Times New Roman" w:hAnsi="Times New Roman"/>
          <w:b/>
          <w:sz w:val="24"/>
        </w:rPr>
        <w:t xml:space="preserve">•  </w:t>
      </w:r>
      <w:r>
        <w:rPr>
          <w:rFonts w:ascii="Times New Roman" w:hAnsi="Times New Roman"/>
          <w:sz w:val="24"/>
        </w:rPr>
        <w:t>Áp lực thể chế hóa các cam kết quốc tế tiêu chuẩn cao (EVFTA): Hiệp định EVFTA đưa ra các tiêu chuẩn rất cao về bảo hộ SHTT trực tuyến. Cụ thể, hiệp định yêu cầu Việt Nam phải luật hóa trách nhiệm pháp lý của nhà cung cấp dịch vụ Internet (ISP) trong bối cảnh vi phạm bản quyền mạng. Khác với luật hiện hành (chỉ quy định các tình huống ISP phải chịu trách nhiệm liên đới), EVFTA tập trung quy định về 'các giới hạn hoặc ngoại lệ đối với trách nhiệm pháp lý của ISP'. Điều này đòi hỏi Việt Nam phải thiết lập một cơ chế phối hợp chia sẻ thông tin và xử lý vi phạm cực kỳ nhanh chóng, linh hoạt giữa Nhà nước - ISP - Chủ sở hữu quyền.</w:t>
      </w:r>
    </w:p>
    <w:p>
      <w:pPr>
        <w:pStyle w:val="Heading1"/>
        <w:keepNext/>
        <w:spacing w:before="360" w:after="240"/>
      </w:pPr>
      <w:r>
        <w:rPr>
          <w:rFonts w:ascii="Times New Roman" w:hAnsi="Times New Roman"/>
          <w:b/>
          <w:color w:val="1F4E79"/>
          <w:sz w:val="32"/>
        </w:rPr>
        <w:t>4. CHƯƠNG 3: GIẢI PHÁP VÀ MÔ HÌNH PHỐI HỢP ĐA CHỦ THỂ TRONG THỰC THI SHTT SỐ</w:t>
      </w:r>
    </w:p>
    <w:p>
      <w:pPr>
        <w:pStyle w:val="Heading2"/>
        <w:keepNext/>
        <w:spacing w:before="240" w:after="120"/>
      </w:pPr>
      <w:r>
        <w:rPr>
          <w:rFonts w:ascii="Times New Roman" w:hAnsi="Times New Roman"/>
          <w:b/>
          <w:color w:val="2F5597"/>
          <w:sz w:val="26"/>
        </w:rPr>
        <w:t>4.1. Giải pháp công nghệ: Ứng dụng Blockchain kết nối đa bên</w:t>
      </w:r>
    </w:p>
    <w:p>
      <w:pPr>
        <w:spacing w:after="120" w:line="300" w:lineRule="auto"/>
        <w:jc w:val="left"/>
      </w:pPr>
      <w:r>
        <w:rPr>
          <w:rFonts w:ascii="Times New Roman" w:hAnsi="Times New Roman"/>
          <w:sz w:val="24"/>
        </w:rPr>
        <w:t>Đề xuất cải cách cơ sở dữ liệu và hệ thống quản trị SHTT quốc gia bằng cách xây dựng nền tảng đăng ký và thực thi trực tuyến dựa trên công nghệ blockchain tự động. Hệ thống này cho phép mã hóa tài sản trí tuệ trực tiếp sau khi sáng tạo, ghi nhận mốc thời gian không thể giả mạo và thiết lập kênh kết nối tự động giữa: Cơ quan nhà nước (Cục SHTT) - Doanh nghiệp ISP - Nền tảng số (Thương mại điện tử, mạng xã hội) - Chủ sở hữu SHTT. Khi phát hiện vi phạm bản quyền, chủ sở hữu có thể gửi yêu cầu gỡ bỏ lậu tự động đã được xác thực trên chuỗi khối, buộc ISP thực hiện hạ gỡ tức thì (Notice and Take-down) mà không cần chờ đợi thủ tục hành chính kéo dài.</w:t>
      </w:r>
    </w:p>
    <w:p>
      <w:pPr>
        <w:pStyle w:val="Heading2"/>
        <w:keepNext/>
        <w:spacing w:before="240" w:after="120"/>
      </w:pPr>
      <w:r>
        <w:rPr>
          <w:rFonts w:ascii="Times New Roman" w:hAnsi="Times New Roman"/>
          <w:b/>
          <w:color w:val="2F5597"/>
          <w:sz w:val="26"/>
        </w:rPr>
        <w:t>4.2. Giải pháp thể chế: Cơ chế 'Cân bằng lợi ích' trong môi trường số</w:t>
      </w:r>
    </w:p>
    <w:p>
      <w:pPr>
        <w:spacing w:after="120" w:line="300" w:lineRule="auto"/>
        <w:jc w:val="left"/>
      </w:pPr>
      <w:r>
        <w:rPr>
          <w:rFonts w:ascii="Times New Roman" w:hAnsi="Times New Roman"/>
          <w:sz w:val="24"/>
        </w:rPr>
        <w:t>Quản lý nhà nước về SHTT trực tuyến cần đạt được trạng thái cân bằng động giữa hai mục tiêu: (1) Đảm bảo quyền lợi tài chính hợp pháp cho các tác giả và doanh nghiệp đầu tư R&amp;D thông qua hệ thống thực thi đáng tin cậy; và (2) Khuyến khích hoạt động đổi mới sáng tạo mở, chia sẻ tri thức cộng đồng thông qua việc phát triển hệ thống dữ liệu mở, phần mềm mã nguồn mở, các sáng kiến cấp phép công cộng Creative Commons, nhằm tránh việc bảo hộ quá mức cản trở dòng chảy tri thức và tiếp cận công nghệ của toàn xã hội.</w:t>
      </w:r>
    </w:p>
    <w:p>
      <w:pPr>
        <w:pStyle w:val="Heading2"/>
        <w:keepNext/>
        <w:spacing w:before="240" w:after="120"/>
      </w:pPr>
      <w:r>
        <w:rPr>
          <w:rFonts w:ascii="Times New Roman" w:hAnsi="Times New Roman"/>
          <w:b/>
          <w:color w:val="2F5597"/>
          <w:sz w:val="26"/>
        </w:rPr>
        <w:t>4.3. Giải pháp chính sách: Mô hình 'Ba nhà' và cơ chế hỗ trợ giữ chân SHTT tư nhân</w:t>
      </w:r>
    </w:p>
    <w:p>
      <w:pPr>
        <w:spacing w:after="120" w:line="300" w:lineRule="auto"/>
        <w:jc w:val="left"/>
      </w:pPr>
      <w:r>
        <w:rPr>
          <w:rFonts w:ascii="Times New Roman" w:hAnsi="Times New Roman"/>
          <w:sz w:val="24"/>
        </w:rPr>
        <w:t>Đề xuất hoàn thiện chính sách chuyển giao và thương mại hóa tài sản trí tuệ theo mô hình liên kết Triple Helix (Chính phủ - Trường đại học - Doanh nghiệp tư nhân). Đặc biệt, cải cách quy định đấu thầu và mua sắm công đối với các sản phẩm công nghệ số: trong các dự án ứng dụng số do ngân sách nhà nước đầu tư, quyền SHTT đối với các phần mềm, ứng dụng, giải pháp số nên được giữ lại cho khu vực doanh nghiệp tư nhân phát triển trong nước. Điều này giúp các doanh nghiệp công nghệ trong nước có động lực tiếp tục cải tiến, thương mại hóa sản phẩm và xuất khẩu ra thế giới, thay vì bị 'bó cứng' quyền sở hữu trong các cơ quan hành chính.</w:t>
      </w:r>
    </w:p>
    <w:p>
      <w:pPr>
        <w:pStyle w:val="Heading1"/>
        <w:keepNext/>
        <w:spacing w:before="360" w:after="240"/>
      </w:pPr>
      <w:r>
        <w:rPr>
          <w:rFonts w:ascii="Times New Roman" w:hAnsi="Times New Roman"/>
          <w:b/>
          <w:color w:val="1F4E79"/>
          <w:sz w:val="32"/>
        </w:rPr>
        <w:t>5. PHỤ LỤC: BẢNG KHẢO SÁT DOANH NGHIỆP CÔNG NGHỆ VỀ RÀO CẢN SHTT TRÊN NỀN TẢNG SỐ</w:t>
      </w:r>
    </w:p>
    <w:p>
      <w:pPr>
        <w:spacing w:after="120" w:line="300" w:lineRule="auto"/>
        <w:jc w:val="left"/>
      </w:pPr>
      <w:r>
        <w:rPr>
          <w:rFonts w:ascii="Times New Roman" w:hAnsi="Times New Roman"/>
          <w:sz w:val="24"/>
        </w:rPr>
        <w:t>Để cung cấp dữ liệu sơ cấp thực chứng cho luận án tiến sĩ, nghiên cứu sinh có thể tiến hành khảo sát các doanh nghiệp công nghệ số tại Việt Nam. Dưới đây là khung bảng hỏi khảo sát mẫu được thiết kế dựa trên các chỉ số thành phần khoa học:</w:t>
      </w:r>
    </w:p>
    <w:p>
      <w:pPr>
        <w:spacing w:after="120" w:line="300" w:lineRule="auto"/>
        <w:jc w:val="center"/>
      </w:pPr>
      <w:r>
        <w:rPr>
          <w:rFonts w:ascii="Times New Roman" w:hAnsi="Times New Roman"/>
          <w:sz w:val="24"/>
        </w:rPr>
        <w:t>MỤC TIÊU KHẢO SÁT: Đánh giá thực trạng phối hợp và rào cản thực thi quyền SHTT của doanh nghiệp trên nền tảng số.</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Nhóm chỉ số thành phần</w:t>
            </w:r>
          </w:p>
        </w:tc>
        <w:tc>
          <w:tcPr>
            <w:tcW w:type="dxa" w:w="3888"/>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Câu hỏi khảo sát mẫu (Thang đo Likert 1-5)</w:t>
            </w:r>
          </w:p>
        </w:tc>
        <w:tc>
          <w:tcPr>
            <w:tcW w:type="dxa" w:w="2880"/>
            <w:shd w:fill="1F4E79" w:val="clear"/>
            <w:vAlign w:val="center"/>
            <w:tcMar>
              <w:top w:w="100" w:type="dxa"/>
              <w:bottom w:w="100" w:type="dxa"/>
              <w:left w:w="150" w:type="dxa"/>
              <w:right w:w="150" w:type="dxa"/>
            </w:tcMar>
          </w:tcPr>
          <w:p>
            <w:pPr>
              <w:spacing w:before="80" w:after="80"/>
              <w:jc w:val="center"/>
            </w:pPr>
            <w:r/>
            <w:r>
              <w:rPr>
                <w:rFonts w:ascii="Times New Roman" w:hAnsi="Times New Roman"/>
                <w:b/>
                <w:color w:val="FFFFFF"/>
                <w:sz w:val="22"/>
              </w:rPr>
              <w:t>Ý nghĩa khoa học phục vụ luận án</w:t>
            </w:r>
          </w:p>
        </w:tc>
      </w:tr>
      <w:tr>
        <w:tc>
          <w:tcPr>
            <w:tcW w:type="dxa" w:w="259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1. Chiến lược và Quy trình tổ chức SHTT</w:t>
            </w:r>
          </w:p>
        </w:tc>
        <w:tc>
          <w:tcPr>
            <w:tcW w:type="dxa" w:w="3888"/>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Doanh nghiệp có quy trình nội bộ bằng văn bản về việc rà soát, đăng ký và bảo hộ SHTT cho các sản phẩm công nghệ trước khi tung ra thị trường hay không?</w:t>
            </w:r>
          </w:p>
        </w:tc>
        <w:tc>
          <w:tcPr>
            <w:tcW w:type="dxa" w:w="288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Đánh giá mức độ chủ động và chuẩn hóa quản trị tài sản trí tuệ trong cấu trúc nội bộ của doanh nghiệp số.</w:t>
            </w:r>
          </w:p>
        </w:tc>
      </w:tr>
      <w:tr>
        <w:tc>
          <w:tcPr>
            <w:tcW w:type="dxa" w:w="259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2. Nhận thức và Năng lực nhân sự</w:t>
            </w:r>
          </w:p>
        </w:tc>
        <w:tc>
          <w:tcPr>
            <w:tcW w:type="dxa" w:w="3888"/>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Đội ngũ nhân sự kỹ thuật và pháp lý của doanh nghiệp có được đào tạo thường xuyên về quyền tác giả số, xử lý tranh chấp bản quyền và an ninh mạng hay không?</w:t>
            </w:r>
          </w:p>
        </w:tc>
        <w:tc>
          <w:tcPr>
            <w:tcW w:type="dxa" w:w="288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Đo lường năng lực tự bảo vệ tài sản trí tuệ trên không gian mạng và khoảng trống kỹ năng SHTT số.</w:t>
            </w:r>
          </w:p>
        </w:tc>
      </w:tr>
      <w:tr>
        <w:tc>
          <w:tcPr>
            <w:tcW w:type="dxa" w:w="2592"/>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3. Năng lực tài chính cho SHTT</w:t>
            </w:r>
          </w:p>
        </w:tc>
        <w:tc>
          <w:tcPr>
            <w:tcW w:type="dxa" w:w="3888"/>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Doanh nghiệp có phân bổ một tỷ lệ ngân sách cố định hàng năm cho việc đăng ký, duy trì bằng sáng chế và thực thi pháp lý chống xâm phạm SHTT trực tuyến không?</w:t>
            </w:r>
          </w:p>
        </w:tc>
        <w:tc>
          <w:tcPr>
            <w:tcW w:type="dxa" w:w="2880"/>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Xác định mức độ sẵn sàng chi trả và đầu tư bảo vệ tài sản trí tuệ của khu vực tư nhân.</w:t>
            </w:r>
          </w:p>
        </w:tc>
      </w:tr>
      <w:tr>
        <w:tc>
          <w:tcPr>
            <w:tcW w:type="dxa" w:w="2592"/>
            <w:shd w:fill="F2F4F8" w:val="clear"/>
            <w:vAlign w:val="center"/>
            <w:tcMar>
              <w:top w:w="80" w:type="dxa"/>
              <w:bottom w:w="80" w:type="dxa"/>
              <w:left w:w="120" w:type="dxa"/>
              <w:right w:w="120" w:type="dxa"/>
            </w:tcMar>
          </w:tcPr>
          <w:p>
            <w:pPr>
              <w:spacing w:before="60" w:after="60" w:line="252" w:lineRule="auto"/>
              <w:jc w:val="left"/>
            </w:pPr>
            <w:r/>
            <w:r>
              <w:rPr>
                <w:rFonts w:ascii="Times New Roman" w:hAnsi="Times New Roman"/>
                <w:b w:val="0"/>
                <w:sz w:val="20"/>
              </w:rPr>
              <w:t>4. Đánh giá mức độ phối hợp bên ngoài</w:t>
            </w:r>
          </w:p>
        </w:tc>
        <w:tc>
          <w:tcPr>
            <w:tcW w:type="dxa" w:w="3888"/>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Khi xảy ra xâm phạm SHTT trên Internet, doanh nghiệp đánh giá thế nào về tốc độ phối hợp xử lý của các cơ quan quản lý nhà nước và các doanh nghiệp ISP trung gian?</w:t>
            </w:r>
          </w:p>
        </w:tc>
        <w:tc>
          <w:tcPr>
            <w:tcW w:type="dxa" w:w="2880"/>
            <w:shd w:fill="F2F4F8" w:val="clear"/>
            <w:vAlign w:val="center"/>
            <w:tcMar>
              <w:top w:w="80" w:type="dxa"/>
              <w:bottom w:w="80" w:type="dxa"/>
              <w:left w:w="120" w:type="dxa"/>
              <w:right w:w="120" w:type="dxa"/>
            </w:tcMar>
          </w:tcPr>
          <w:p>
            <w:pPr>
              <w:spacing w:before="60" w:after="60" w:line="252" w:lineRule="auto"/>
              <w:jc w:val="center"/>
            </w:pPr>
            <w:r/>
            <w:r>
              <w:rPr>
                <w:rFonts w:ascii="Times New Roman" w:hAnsi="Times New Roman"/>
                <w:b w:val="0"/>
                <w:sz w:val="20"/>
              </w:rPr>
              <w:t>Cung cấp bằng chứng thực tế về tính hiệu quả của cơ chế phối hợp đa bên và trách nhiệm thực tế của ISP.</w:t>
            </w:r>
          </w:p>
        </w:tc>
      </w:tr>
    </w:tbl>
    <w:p>
      <w:pPr>
        <w:spacing w:before="120" w:after="120"/>
      </w:pPr>
    </w:p>
    <w:p>
      <w:pPr>
        <w:pStyle w:val="Heading1"/>
        <w:keepNext/>
        <w:spacing w:before="360" w:after="240"/>
      </w:pPr>
      <w:r>
        <w:rPr>
          <w:rFonts w:ascii="Times New Roman" w:hAnsi="Times New Roman"/>
          <w:b/>
          <w:color w:val="1F4E79"/>
          <w:sz w:val="32"/>
        </w:rPr>
        <w:t>6. TÀI LIỆU THAM KHẢO CHÍNH THỐNG</w:t>
      </w:r>
    </w:p>
    <w:p>
      <w:pPr>
        <w:spacing w:after="80" w:line="276" w:lineRule="auto"/>
        <w:ind w:left="360" w:hanging="360"/>
      </w:pPr>
      <w:r>
        <w:rPr>
          <w:rFonts w:ascii="Times New Roman" w:hAnsi="Times New Roman"/>
          <w:sz w:val="22"/>
        </w:rPr>
        <w:t>CSIRO &amp; Bộ Khoa học và Công nghệ Việt Nam (MOST). (2019). Tương lai nền kinh tế số Việt Nam hướng tới năm 2030 và 2045. Báo cáo hợp tác khoa học công nghệ song phương Việt Nam - Úc.</w:t>
      </w:r>
    </w:p>
    <w:p>
      <w:pPr>
        <w:spacing w:after="80" w:line="276" w:lineRule="auto"/>
        <w:ind w:left="360" w:hanging="360"/>
      </w:pPr>
      <w:r>
        <w:rPr>
          <w:rFonts w:ascii="Times New Roman" w:hAnsi="Times New Roman"/>
          <w:sz w:val="22"/>
        </w:rPr>
        <w:t>Google, Temasek, &amp; Bain &amp; Company. (2025). e-Conomy SEA 2025: Việt Nam tiếp tục dẫn đầu tăng trưởng kinh tế số khu vực Đông Nam Á. Báo cáo thường niên quy mô kinh tế số ASEAN.</w:t>
      </w:r>
    </w:p>
    <w:p>
      <w:pPr>
        <w:spacing w:after="80" w:line="276" w:lineRule="auto"/>
        <w:ind w:left="360" w:hanging="360"/>
      </w:pPr>
      <w:r>
        <w:rPr>
          <w:rFonts w:ascii="Times New Roman" w:hAnsi="Times New Roman"/>
          <w:sz w:val="22"/>
        </w:rPr>
        <w:t>Bộ Kế hoạch và Đầu tư, Trung tâm Đổi mới Sáng tạo Quốc gia (NIC), Hội Đầu tư Tư nhân Việt Nam (VPCA), &amp; Boston Consulting Group (BCG). (2025). Báo cáo Đổi mới Sáng tạo và Đầu tư Vốn Tư nhân Việt Nam 2025: Hành trình chuyển dịch vốn đầu tư mạo hiểm và cổ phần tư nhân.</w:t>
      </w:r>
    </w:p>
    <w:p>
      <w:pPr>
        <w:spacing w:after="80" w:line="276" w:lineRule="auto"/>
        <w:ind w:left="360" w:hanging="360"/>
      </w:pPr>
      <w:r>
        <w:rPr>
          <w:rFonts w:ascii="Times New Roman" w:hAnsi="Times New Roman"/>
          <w:sz w:val="22"/>
        </w:rPr>
        <w:t>Bộ Kế hoạch và Đầu tư, Trung tâm Đổi mới Sáng tạo Quốc gia (NIC), Hội Đầu tư Tư nhân Việt Nam (VPCA), &amp; Boston Consulting Group (BCG). (2026). Báo cáo Đổi mới Sáng tạo và Đầu tư Vốn Tư nhân Việt Nam 2026: Động lực công nghệ cao và cải cách thị trường vốn.</w:t>
      </w:r>
    </w:p>
    <w:p>
      <w:pPr>
        <w:spacing w:after="80" w:line="276" w:lineRule="auto"/>
        <w:ind w:left="360" w:hanging="360"/>
      </w:pPr>
      <w:r>
        <w:rPr>
          <w:rFonts w:ascii="Times New Roman" w:hAnsi="Times New Roman"/>
          <w:sz w:val="22"/>
        </w:rPr>
        <w:t>Bộ Kế hoạch và Đầu tư, Trung tâm Đổi mới Sáng tạo Quốc gia (NIC) &amp; Do Ventures. (2023). Báo cáo Đổi mới Sáng tạo và Đầu tư Công nghệ Việt Nam 2023: Sự chuyển dịch thế hệ nhà đầu tư mạo hiểm.</w:t>
      </w:r>
    </w:p>
    <w:p>
      <w:pPr>
        <w:spacing w:after="80" w:line="276" w:lineRule="auto"/>
        <w:ind w:left="360" w:hanging="360"/>
      </w:pPr>
      <w:r>
        <w:rPr>
          <w:rFonts w:ascii="Times New Roman" w:hAnsi="Times New Roman"/>
          <w:sz w:val="22"/>
        </w:rPr>
        <w:t>Phái đoàn Liên minh Châu Âu tại Việt Nam &amp; GOPA / Economica Việt Nam. (2020). Hiệp định EVFTA và Kinh tế số, chuyển đổi số tại Việt Nam. Báo cáo phân tích tác động và cải cách hành lang thể chế.</w:t>
      </w:r>
    </w:p>
    <w:p>
      <w:pPr>
        <w:spacing w:after="80" w:line="276" w:lineRule="auto"/>
        <w:ind w:left="360" w:hanging="360"/>
      </w:pPr>
      <w:r>
        <w:rPr>
          <w:rFonts w:ascii="Times New Roman" w:hAnsi="Times New Roman"/>
          <w:sz w:val="22"/>
        </w:rPr>
        <w:t>Acclime Vietnam &amp; United Overseas Bank (UOB) Vietnam. (2024). Breaking the digital frontier: Innovations shaping Vietnam’s transformation 2024-2025. Báo cáo ngành chuyển đổi số và tăng trưởng xanh bền vững.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