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3366"/>
          <w:sz w:val="28"/>
        </w:rPr>
        <w:t>QUY TRÌNH PHỐI HỢP ĐA CHỦ THỂ TRONG THỰC THI QUYỀN SHTT</w:t>
      </w:r>
    </w:p>
    <w:p>
      <w:pPr>
        <w:jc w:val="center"/>
      </w:pPr>
      <w:r>
        <w:rPr>
          <w:rFonts w:ascii="Times New Roman" w:hAnsi="Times New Roman"/>
          <w:i/>
          <w:color w:val="646464"/>
          <w:sz w:val="22"/>
        </w:rPr>
        <w:t>Mô hình thực tế theo Luật SHTT 2025 và Nghị định 100/2026/NĐ-CP</w:t>
      </w:r>
    </w:p>
    <w:p/>
    <w:tbl>
      <w:tblPr>
        <w:tblW w:type="auto" w:w="0"/>
        <w:jc w:val="center"/>
        <w:tblLayout w:type="fixed"/>
        <w:tblLook w:firstColumn="1" w:firstRow="1" w:lastColumn="0" w:lastRow="0" w:noHBand="0" w:noVBand="1" w:val="04A0"/>
      </w:tblPr>
      <w:tblGrid>
        <w:gridCol w:w="1927"/>
        <w:gridCol w:w="1927"/>
        <w:gridCol w:w="1927"/>
        <w:gridCol w:w="1927"/>
        <w:gridCol w:w="1927"/>
      </w:tblGrid>
      <w:tr>
        <w:tc>
          <w:tcPr>
            <w:tcW w:type="dxa" w:w="2592"/>
            <w:shd w:fill="F2F2F2" w:val="clear"/>
            <w:tcBorders>
              <w:top w:sz="8" w:val="single" w:color="595959"/>
              <w:left w:sz="8" w:val="single" w:color="595959"/>
              <w:bottom w:sz="8" w:val="single" w:color="595959"/>
              <w:right w:sz="8" w:val="single" w:color="595959"/>
            </w:tcBorders>
            <w:tcMar>
              <w:top w:w="140" w:type="dxa"/>
              <w:bottom w:w="140" w:type="dxa"/>
              <w:left w:w="100" w:type="dxa"/>
              <w:right w:w="100" w:type="dxa"/>
            </w:tcMar>
            <w:vAlign w:val="center"/>
          </w:tcPr>
          <w:p>
            <w:pPr>
              <w:jc w:val="center"/>
            </w:pPr>
            <w:r>
              <w:rPr>
                <w:rFonts w:ascii="Times New Roman" w:hAnsi="Times New Roman"/>
                <w:b/>
                <w:color w:val="003366"/>
                <w:sz w:val="20"/>
              </w:rPr>
              <w:t>BƯỚC 1: CẢNH BÁO</w:t>
              <w:br/>
            </w:r>
            <w:r>
              <w:rPr>
                <w:rFonts w:ascii="Times New Roman" w:hAnsi="Times New Roman"/>
                <w:sz w:val="19"/>
              </w:rPr>
              <w:t>(Chủ thể quyền SHTT</w:t>
              <w:br/>
              <w:t>Tự bảo vệ &amp; Báo động)</w:t>
            </w:r>
          </w:p>
        </w:tc>
        <w:tc>
          <w:tcPr>
            <w:tcW w:type="dxa" w:w="792"/>
            <w:tcMar>
              <w:top w:w="140" w:type="dxa"/>
              <w:bottom w:w="140" w:type="dxa"/>
              <w:left w:w="150" w:type="dxa"/>
              <w:right w:w="150" w:type="dxa"/>
            </w:tcMar>
            <w:vAlign w:val="center"/>
          </w:tcPr>
          <w:p>
            <w:pPr>
              <w:jc w:val="center"/>
            </w:pPr>
            <w:r>
              <w:rPr>
                <w:rFonts w:ascii="Times New Roman" w:hAnsi="Times New Roman"/>
                <w:b/>
                <w:color w:val="787878"/>
                <w:sz w:val="28"/>
              </w:rPr>
              <w:br/>
              <w:t>➔</w:t>
            </w:r>
          </w:p>
        </w:tc>
        <w:tc>
          <w:tcPr>
            <w:tcW w:type="dxa" w:w="2592"/>
            <w:shd w:fill="F2F2F2" w:val="clear"/>
            <w:tcBorders>
              <w:top w:sz="8" w:val="single" w:color="595959"/>
              <w:left w:sz="8" w:val="single" w:color="595959"/>
              <w:bottom w:sz="8" w:val="single" w:color="595959"/>
              <w:right w:sz="8" w:val="single" w:color="595959"/>
            </w:tcBorders>
            <w:tcMar>
              <w:top w:w="140" w:type="dxa"/>
              <w:bottom w:w="140" w:type="dxa"/>
              <w:left w:w="100" w:type="dxa"/>
              <w:right w:w="100" w:type="dxa"/>
            </w:tcMar>
            <w:vAlign w:val="center"/>
          </w:tcPr>
          <w:p>
            <w:pPr>
              <w:jc w:val="center"/>
            </w:pPr>
            <w:r>
              <w:rPr>
                <w:rFonts w:ascii="Times New Roman" w:hAnsi="Times New Roman"/>
                <w:b/>
                <w:color w:val="003366"/>
                <w:sz w:val="20"/>
              </w:rPr>
              <w:t>BƯỚC 2: CHẶN LỌC</w:t>
              <w:br/>
            </w:r>
            <w:r>
              <w:rPr>
                <w:rFonts w:ascii="Times New Roman" w:hAnsi="Times New Roman"/>
                <w:sz w:val="19"/>
              </w:rPr>
              <w:t>(Sàn TMĐT &amp; Nền tảng số</w:t>
              <w:br/>
              <w:t>Notice &amp; Takedown)</w:t>
            </w:r>
          </w:p>
        </w:tc>
        <w:tc>
          <w:tcPr>
            <w:tcW w:type="dxa" w:w="792"/>
            <w:tcMar>
              <w:top w:w="140" w:type="dxa"/>
              <w:bottom w:w="140" w:type="dxa"/>
              <w:left w:w="150" w:type="dxa"/>
              <w:right w:w="150" w:type="dxa"/>
            </w:tcMar>
            <w:vAlign w:val="center"/>
          </w:tcPr>
          <w:p>
            <w:pPr>
              <w:jc w:val="center"/>
            </w:pPr>
            <w:r>
              <w:rPr>
                <w:rFonts w:ascii="Times New Roman" w:hAnsi="Times New Roman"/>
                <w:b/>
                <w:color w:val="787878"/>
                <w:sz w:val="28"/>
              </w:rPr>
              <w:br/>
              <w:t>➔</w:t>
            </w:r>
          </w:p>
        </w:tc>
        <w:tc>
          <w:tcPr>
            <w:tcW w:type="dxa" w:w="2592"/>
            <w:shd w:fill="F2F2F2" w:val="clear"/>
            <w:tcBorders>
              <w:top w:sz="8" w:val="single" w:color="595959"/>
              <w:left w:sz="8" w:val="single" w:color="595959"/>
              <w:bottom w:sz="8" w:val="single" w:color="595959"/>
              <w:right w:sz="8" w:val="single" w:color="595959"/>
            </w:tcBorders>
            <w:tcMar>
              <w:top w:w="140" w:type="dxa"/>
              <w:bottom w:w="140" w:type="dxa"/>
              <w:left w:w="100" w:type="dxa"/>
              <w:right w:w="100" w:type="dxa"/>
            </w:tcMar>
            <w:vAlign w:val="center"/>
          </w:tcPr>
          <w:p>
            <w:pPr>
              <w:jc w:val="center"/>
            </w:pPr>
            <w:r>
              <w:rPr>
                <w:rFonts w:ascii="Times New Roman" w:hAnsi="Times New Roman"/>
                <w:b/>
                <w:color w:val="003366"/>
                <w:sz w:val="20"/>
              </w:rPr>
              <w:t>BƯỚC 3: CAN THIỆP</w:t>
              <w:br/>
            </w:r>
            <w:r>
              <w:rPr>
                <w:rFonts w:ascii="Times New Roman" w:hAnsi="Times New Roman"/>
                <w:sz w:val="19"/>
              </w:rPr>
              <w:t>(Cơ quan Nhà nước</w:t>
              <w:br/>
              <w:t>Xử lý liên ngành)</w:t>
            </w:r>
          </w:p>
        </w:tc>
      </w:tr>
      <w:tr>
        <w:tc>
          <w:tcPr>
            <w:tcW w:type="dxa" w:w="2592"/>
            <w:tcMar>
              <w:top w:w="40" w:type="dxa"/>
              <w:bottom w:w="40" w:type="dxa"/>
              <w:left w:w="150" w:type="dxa"/>
              <w:right w:w="150" w:type="dxa"/>
            </w:tcMar>
            <w:vAlign w:val="center"/>
          </w:tcPr>
          <w:p>
            <w:pPr>
              <w:jc w:val="center"/>
            </w:pPr>
            <w:r>
              <w:rPr>
                <w:rFonts w:ascii="Times New Roman" w:hAnsi="Times New Roman"/>
                <w:b/>
                <w:color w:val="787878"/>
                <w:sz w:val="28"/>
              </w:rPr>
              <w:t>↕</w:t>
            </w:r>
          </w:p>
        </w:tc>
        <w:tc>
          <w:tcPr>
            <w:tcW w:type="dxa" w:w="792"/>
            <w:vAlign w:val="center"/>
          </w:tcPr>
          <w:p/>
        </w:tc>
        <w:tc>
          <w:tcPr>
            <w:tcW w:type="dxa" w:w="2592"/>
            <w:tcMar>
              <w:top w:w="40" w:type="dxa"/>
              <w:bottom w:w="40" w:type="dxa"/>
              <w:left w:w="150" w:type="dxa"/>
              <w:right w:w="150" w:type="dxa"/>
            </w:tcMar>
            <w:vAlign w:val="center"/>
          </w:tcPr>
          <w:p>
            <w:pPr>
              <w:jc w:val="center"/>
            </w:pPr>
            <w:r>
              <w:rPr>
                <w:rFonts w:ascii="Times New Roman" w:hAnsi="Times New Roman"/>
                <w:b/>
                <w:color w:val="787878"/>
                <w:sz w:val="28"/>
              </w:rPr>
              <w:t>↕</w:t>
            </w:r>
          </w:p>
        </w:tc>
        <w:tc>
          <w:tcPr>
            <w:tcW w:type="dxa" w:w="792"/>
            <w:vAlign w:val="center"/>
          </w:tcPr>
          <w:p/>
        </w:tc>
        <w:tc>
          <w:tcPr>
            <w:tcW w:type="dxa" w:w="2592"/>
            <w:tcMar>
              <w:top w:w="40" w:type="dxa"/>
              <w:bottom w:w="40" w:type="dxa"/>
              <w:left w:w="150" w:type="dxa"/>
              <w:right w:w="150" w:type="dxa"/>
            </w:tcMar>
            <w:vAlign w:val="center"/>
          </w:tcPr>
          <w:p>
            <w:pPr>
              <w:jc w:val="center"/>
            </w:pPr>
            <w:r>
              <w:rPr>
                <w:rFonts w:ascii="Times New Roman" w:hAnsi="Times New Roman"/>
                <w:b/>
                <w:color w:val="787878"/>
                <w:sz w:val="28"/>
              </w:rPr>
              <w:t>↕</w:t>
            </w:r>
          </w:p>
        </w:tc>
      </w:tr>
      <w:tr>
        <w:tc>
          <w:tcPr>
            <w:tcW w:type="dxa" w:w="2592"/>
            <w:gridSpan w:val="5"/>
            <w:shd w:fill="E9EEF4" w:val="clear"/>
            <w:tcBorders>
              <w:top w:sz="8" w:val="single" w:color="595959"/>
              <w:left w:sz="8" w:val="single" w:color="595959"/>
              <w:bottom w:sz="8" w:val="single" w:color="595959"/>
              <w:right w:sz="8" w:val="single" w:color="595959"/>
            </w:tcBorders>
            <w:tcMar>
              <w:top w:w="160" w:type="dxa"/>
              <w:bottom w:w="160" w:type="dxa"/>
              <w:left w:w="150" w:type="dxa"/>
              <w:right w:w="150" w:type="dxa"/>
            </w:tcMar>
            <w:vAlign w:val="center"/>
          </w:tcPr>
          <w:p>
            <w:pPr>
              <w:jc w:val="center"/>
            </w:pPr>
            <w:r>
              <w:rPr>
                <w:rFonts w:ascii="Times New Roman" w:hAnsi="Times New Roman"/>
                <w:b/>
                <w:color w:val="003366"/>
                <w:sz w:val="20"/>
              </w:rPr>
              <w:t>HẠ TẦNG LIÊN THÔNG QUỐC GIA (Nghị định 100/2026/NĐ-CP)</w:t>
              <w:br/>
            </w:r>
            <w:r>
              <w:rPr>
                <w:rFonts w:ascii="Times New Roman" w:hAnsi="Times New Roman"/>
                <w:b/>
                <w:color w:val="003366"/>
                <w:sz w:val="20"/>
              </w:rPr>
              <w:t>CƠ SỞ DỮ LIỆU QUỐC GIA VỀ BẢO VỆ QUYỀN SHTT &amp; GIÁ GIAO DỊCH QUYỀN SHTT</w:t>
              <w:br/>
            </w:r>
            <w:r>
              <w:rPr>
                <w:rFonts w:ascii="Times New Roman" w:hAnsi="Times New Roman"/>
                <w:i/>
                <w:sz w:val="19"/>
              </w:rPr>
              <w:t>(Bộ Khoa học và Công nghệ chủ trì, kết nối liên thông trực tuyến hai chiều để đồng bộ dữ liệu vi phạm)</w:t>
            </w:r>
          </w:p>
        </w:tc>
      </w:tr>
    </w:tbl>
    <w:p>
      <w:pPr>
        <w:jc w:val="center"/>
      </w:pPr>
      <w:r>
        <w:rPr>
          <w:rFonts w:ascii="Times New Roman" w:hAnsi="Times New Roman"/>
          <w:b/>
          <w:sz w:val="20"/>
        </w:rPr>
        <w:t>Hình 1: Quy trình phối hợp đa chủ thể và hạ tầng liên thông dữ liệu thực thi SHTT trên nền tảng số</w:t>
        <w:br/>
      </w:r>
      <w:r>
        <w:rPr>
          <w:rFonts w:ascii="Times New Roman" w:hAnsi="Times New Roman"/>
          <w:i/>
          <w:color w:val="646464"/>
          <w:sz w:val="19"/>
        </w:rPr>
        <w:t>(Nguồn: Tác giả tự tổng hợp và đề xuất dựa trên Luật SHTT sửa đổi năm 2025 và Nghị định 100/2026/NĐ-CP)</w:t>
      </w:r>
    </w:p>
    <w:p/>
    <w:p>
      <w:pPr>
        <w:pStyle w:val="Heading2"/>
      </w:pPr>
      <w:r>
        <w:t>Thuyết minh mô hình phối hợp đa chủ thể</w:t>
      </w:r>
    </w:p>
    <w:p>
      <w:pPr>
        <w:spacing w:line="276" w:lineRule="auto"/>
        <w:ind w:firstLine="432"/>
        <w:jc w:val="both"/>
      </w:pPr>
      <w:r>
        <w:rPr>
          <w:rFonts w:ascii="Times New Roman" w:hAnsi="Times New Roman"/>
          <w:sz w:val="22"/>
        </w:rPr>
        <w:t>Mô hình phối hợp thực thi quyền sở hữu trí tuệ (SHTT) trên không gian mạng hiện nay được cấu trúc hóa theo nguyên tắc phẳng và đồng bộ hóa thông tin, khắc phục triệt để tình trạng cát cứ thông tin của các cơ quan quản lý trước đây. Sơ đồ Hình 1 minh họa quy trình phản ứng và liên thông dữ liệu khép kín bao gồm ba bước tác nghiệp và một hạ tầng cơ sở dữ liệu làm nền tảng cốt lõi:</w:t>
        <w:br/>
        <w:br/>
        <w:t>1. Bước 1 (Cảnh báo - Chủ thể quyền): Khi phát hiện hành vi xâm phạm, chủ thể quyền SHTT chủ động áp dụng các biện pháp kỹ thuật và gửi thông báo yêu cầu gỡ bỏ trực tiếp cho nền tảng số hoặc nộp đơn yêu cầu cơ quan nhà nước xử lý.</w:t>
        <w:br/>
        <w:t>2. Bước 2 (Chặn lọc - Doanh nghiệp trung gian &amp; Chủ quản nền tảng số): Sàn TMĐT và mạng xã hội là chốt chặn kỹ thuật, có trách nhiệm áp dụng quy trình gỡ bỏ nhanh (Notice &amp; Takedown) trong vòng 24 giờ và ngăn chặn tái phạm thông qua các bộ lọc tự động bằng AI.</w:t>
        <w:br/>
        <w:t>3. Bước 3 (Can thiệp - Lực lượng thực thi pháp lý): Các cơ quan liên ngành (Công an, Quản lý thị trường, Hải quan...) tiến hành áp dụng các chế tài hành chính, tư pháp hoặc hình sự nghiêm minh đối với các hành vi cố ý vi phạm quy mô lớn.</w:t>
        <w:br/>
        <w:br/>
        <w:t>Mạch máu kết nối toàn bộ quy trình là Cơ sở dữ liệu quốc gia về bảo vệ quyền SHTT do Bộ Khoa học và Công nghệ chủ trì vận hành trực tuyến theo Nghị định 100/2026/NĐ-CP. Hạ tầng này đảm bảo việc chia sẻ dữ liệu hai chiều tức thời giữa các bên, giúp đồng bộ hóa danh sách tài khoản, website vi phạm để các nền tảng số (Bước 2) chủ động ngăn chặn và chủ thể quyền (Bước 1) tra cứu dễ dàng.</w:t>
      </w:r>
    </w:p>
    <w:sectPr w:rsidR="00FC693F" w:rsidRPr="0006063C" w:rsidSect="00034616">
      <w:pgSz w:w="11909" w:h="16834"/>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