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000000"/>
          <w:sz w:val="28"/>
        </w:rPr>
        <w:t>MÔ HÌNH PHỐI HỢP ĐA CHỦ THỂ TRONG THỰC THI QUYỀN SỞ HỮU TRÍ TUỆ</w:t>
        <w:br/>
        <w:t>TÊN NỀN TẢNG SỐ TẠI VIỆT NAM</w:t>
      </w:r>
    </w:p>
    <w:p>
      <w:pPr>
        <w:spacing w:line="276" w:lineRule="auto" w:after="240"/>
      </w:pPr>
      <w:r>
        <w:t xml:space="preserve">Dưới đây là sơ đồ quy trình phối hợp đa chủ thể được thiết kế trực tiếp bằng tính năng bảng (Table) của Microsoft Word. </w:t>
      </w:r>
      <w:r>
        <w:t>Mô hình này được xây dựng dưới dạng các khối hộp văn bản phẳng và tối giản, chuẩn học thuật để tác giả dễ dàng chỉnh sửa văn bản, thay đổi màu sắc, font chữ và kích thước trực tiếp trong file Word khi viết bài báo.</w:t>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1F4E78"/>
            <w:tcMar>
              <w:top w:w="120" w:type="dxa"/>
              <w:bottom w:w="120" w:type="dxa"/>
              <w:left w:w="150" w:type="dxa"/>
              <w:right w:w="150" w:type="dxa"/>
            </w:tcMar>
            <w:tcBorders>
              <w:top w:val="single" w:sz="4" w:space="0" w:color="000000"/>
              <w:bottom w:val="single" w:sz="4" w:space="0" w:color="000000"/>
              <w:left w:val="single" w:sz="4" w:space="0" w:color="000000"/>
              <w:right w:val="single" w:sz="4" w:space="0" w:color="000000"/>
            </w:tcBorders>
            <w:vAlign w:val="center"/>
          </w:tcPr>
          <w:p>
            <w:pPr>
              <w:spacing w:before="0" w:after="0"/>
              <w:jc w:val="center"/>
            </w:pPr>
            <w:r>
              <w:rPr>
                <w:b/>
                <w:color w:val="FFFFFF"/>
                <w:sz w:val="22"/>
              </w:rPr>
              <w:t>BƯỚC 1: CẢNH BÁO</w:t>
            </w:r>
          </w:p>
        </w:tc>
        <w:tc>
          <w:tcPr>
            <w:tcW w:type="dxa" w:w="3010"/>
            <w:shd w:fill="2F5597"/>
            <w:tcMar>
              <w:top w:w="120" w:type="dxa"/>
              <w:bottom w:w="120" w:type="dxa"/>
              <w:left w:w="150" w:type="dxa"/>
              <w:right w:w="150" w:type="dxa"/>
            </w:tcMar>
            <w:tcBorders>
              <w:top w:val="single" w:sz="4" w:space="0" w:color="000000"/>
              <w:bottom w:val="single" w:sz="4" w:space="0" w:color="000000"/>
              <w:left w:val="single" w:sz="4" w:space="0" w:color="000000"/>
              <w:right w:val="single" w:sz="4" w:space="0" w:color="000000"/>
            </w:tcBorders>
            <w:vAlign w:val="center"/>
          </w:tcPr>
          <w:p>
            <w:pPr>
              <w:spacing w:before="0" w:after="0"/>
              <w:jc w:val="center"/>
            </w:pPr>
            <w:r>
              <w:rPr>
                <w:b/>
                <w:color w:val="FFFFFF"/>
                <w:sz w:val="22"/>
              </w:rPr>
              <w:t>BƯỚC 2: CHẶN LỌC</w:t>
            </w:r>
          </w:p>
        </w:tc>
        <w:tc>
          <w:tcPr>
            <w:tcW w:type="dxa" w:w="3010"/>
            <w:shd w:fill="833C0C"/>
            <w:tcMar>
              <w:top w:w="120" w:type="dxa"/>
              <w:bottom w:w="120" w:type="dxa"/>
              <w:left w:w="150" w:type="dxa"/>
              <w:right w:w="150" w:type="dxa"/>
            </w:tcMar>
            <w:tcBorders>
              <w:top w:val="single" w:sz="4" w:space="0" w:color="000000"/>
              <w:bottom w:val="single" w:sz="4" w:space="0" w:color="000000"/>
              <w:left w:val="single" w:sz="4" w:space="0" w:color="000000"/>
              <w:right w:val="single" w:sz="4" w:space="0" w:color="000000"/>
            </w:tcBorders>
            <w:vAlign w:val="center"/>
          </w:tcPr>
          <w:p>
            <w:pPr>
              <w:spacing w:before="0" w:after="0"/>
              <w:jc w:val="center"/>
            </w:pPr>
            <w:r>
              <w:rPr>
                <w:b/>
                <w:color w:val="FFFFFF"/>
                <w:sz w:val="22"/>
              </w:rPr>
              <w:t>BƯỚC 3: XỬ LÝ PHÁP LÝ</w:t>
            </w:r>
          </w:p>
        </w:tc>
      </w:tr>
      <w:tr>
        <w:tc>
          <w:tcPr>
            <w:tcW w:type="dxa" w:w="3010"/>
            <w:shd w:fill="F2F2F2"/>
            <w:tcMar>
              <w:top w:w="100" w:type="dxa"/>
              <w:bottom w:w="100" w:type="dxa"/>
              <w:left w:w="150" w:type="dxa"/>
              <w:right w:w="150" w:type="dxa"/>
            </w:tcMar>
            <w:tcBorders>
              <w:top w:val="none"/>
              <w:bottom w:val="single" w:sz="4" w:space="0" w:color="000000"/>
              <w:left w:val="single" w:sz="4" w:space="0" w:color="000000"/>
              <w:right w:val="single" w:sz="4" w:space="0" w:color="000000"/>
            </w:tcBorders>
            <w:vAlign w:val="center"/>
          </w:tcPr>
          <w:p>
            <w:pPr>
              <w:spacing w:before="0" w:after="0"/>
              <w:jc w:val="center"/>
            </w:pPr>
            <w:r>
              <w:rPr>
                <w:b/>
                <w:color w:val="000000"/>
                <w:sz w:val="21"/>
              </w:rPr>
              <w:t>Chủ thể quyền SHTT</w:t>
              <w:br/>
              <w:t>&amp; Tổ chức đại diện tập thể</w:t>
            </w:r>
          </w:p>
        </w:tc>
        <w:tc>
          <w:tcPr>
            <w:tcW w:type="dxa" w:w="3010"/>
            <w:shd w:fill="F2F2F2"/>
            <w:tcMar>
              <w:top w:w="100" w:type="dxa"/>
              <w:bottom w:w="100" w:type="dxa"/>
              <w:left w:w="150" w:type="dxa"/>
              <w:right w:w="150" w:type="dxa"/>
            </w:tcMar>
            <w:tcBorders>
              <w:top w:val="none"/>
              <w:bottom w:val="single" w:sz="4" w:space="0" w:color="000000"/>
              <w:left w:val="single" w:sz="4" w:space="0" w:color="000000"/>
              <w:right w:val="single" w:sz="4" w:space="0" w:color="000000"/>
            </w:tcBorders>
            <w:vAlign w:val="center"/>
          </w:tcPr>
          <w:p>
            <w:pPr>
              <w:spacing w:before="0" w:after="0"/>
              <w:jc w:val="center"/>
            </w:pPr>
            <w:r>
              <w:rPr>
                <w:b/>
                <w:color w:val="000000"/>
                <w:sz w:val="21"/>
              </w:rPr>
              <w:t>Chủ quản nền tảng số</w:t>
              <w:br/>
              <w:t>&amp; Doanh nghiệp trung gian (ISP)</w:t>
            </w:r>
          </w:p>
        </w:tc>
        <w:tc>
          <w:tcPr>
            <w:tcW w:type="dxa" w:w="3010"/>
            <w:shd w:fill="F2F2F2"/>
            <w:tcMar>
              <w:top w:w="100" w:type="dxa"/>
              <w:bottom w:w="100" w:type="dxa"/>
              <w:left w:w="150" w:type="dxa"/>
              <w:right w:w="150" w:type="dxa"/>
            </w:tcMar>
            <w:tcBorders>
              <w:top w:val="none"/>
              <w:bottom w:val="single" w:sz="4" w:space="0" w:color="000000"/>
              <w:left w:val="single" w:sz="4" w:space="0" w:color="000000"/>
              <w:right w:val="single" w:sz="4" w:space="0" w:color="000000"/>
            </w:tcBorders>
            <w:vAlign w:val="center"/>
          </w:tcPr>
          <w:p>
            <w:pPr>
              <w:spacing w:before="0" w:after="0"/>
              <w:jc w:val="center"/>
            </w:pPr>
            <w:r>
              <w:rPr>
                <w:b/>
                <w:color w:val="000000"/>
                <w:sz w:val="21"/>
              </w:rPr>
              <w:t>Cơ quan quản lý Nhà nước</w:t>
              <w:br/>
              <w:t>&amp; Lực lượng thực thi liên ngành</w:t>
            </w:r>
          </w:p>
        </w:tc>
      </w:tr>
      <w:tr>
        <w:tc>
          <w:tcPr>
            <w:tcW w:type="dxa" w:w="3010"/>
            <w:shd w:fill="FFFFFF"/>
            <w:tcMar>
              <w:top w:w="140" w:type="dxa"/>
              <w:bottom w:w="140" w:type="dxa"/>
              <w:left w:w="150" w:type="dxa"/>
              <w:right w:w="150" w:type="dxa"/>
            </w:tcMar>
            <w:tcBorders>
              <w:top w:val="none"/>
              <w:bottom w:val="single" w:sz="4" w:space="0" w:color="000000"/>
              <w:left w:val="single" w:sz="4" w:space="0" w:color="000000"/>
              <w:right w:val="single" w:sz="4" w:space="0" w:color="000000"/>
            </w:tcBorders>
          </w:tcPr>
          <w:p>
            <w:pPr>
              <w:spacing w:before="40" w:after="80" w:line="276" w:lineRule="auto"/>
              <w:jc w:val="left"/>
            </w:pPr>
            <w:r>
              <w:rPr>
                <w:sz w:val="19"/>
              </w:rPr>
              <w:t>• Phát hiện hành vi xâm phạm quyền SHTT trên nền tảng số.</w:t>
            </w:r>
          </w:p>
          <w:p>
            <w:pPr>
              <w:spacing w:before="40" w:after="80" w:line="276" w:lineRule="auto"/>
              <w:jc w:val="left"/>
            </w:pPr>
            <w:r>
              <w:rPr>
                <w:sz w:val="19"/>
              </w:rPr>
              <w:t>• Thu thập chứng cứ pháp lý (ảnh chụp, video, lịch sử giao dịch).</w:t>
            </w:r>
          </w:p>
          <w:p>
            <w:pPr>
              <w:spacing w:before="40" w:after="80" w:line="276" w:lineRule="auto"/>
              <w:jc w:val="left"/>
            </w:pPr>
            <w:r>
              <w:rPr>
                <w:sz w:val="19"/>
              </w:rPr>
              <w:t>• Chủ động gửi yêu cầu gỡ bỏ trực tiếp cho nền tảng số hoặc nộp đơn yêu cầu cơ quan có thẩm quyền xử lý hành chính.</w:t>
            </w:r>
          </w:p>
        </w:tc>
        <w:tc>
          <w:tcPr>
            <w:tcW w:type="dxa" w:w="3010"/>
            <w:shd w:fill="FFFFFF"/>
            <w:tcMar>
              <w:top w:w="140" w:type="dxa"/>
              <w:bottom w:w="140" w:type="dxa"/>
              <w:left w:w="150" w:type="dxa"/>
              <w:right w:w="150" w:type="dxa"/>
            </w:tcMar>
            <w:tcBorders>
              <w:top w:val="none"/>
              <w:bottom w:val="single" w:sz="4" w:space="0" w:color="000000"/>
              <w:left w:val="single" w:sz="4" w:space="0" w:color="000000"/>
              <w:right w:val="single" w:sz="4" w:space="0" w:color="000000"/>
            </w:tcBorders>
          </w:tcPr>
          <w:p>
            <w:pPr>
              <w:spacing w:before="40" w:after="80" w:line="276" w:lineRule="auto"/>
              <w:jc w:val="left"/>
            </w:pPr>
            <w:r>
              <w:rPr>
                <w:sz w:val="19"/>
              </w:rPr>
              <w:t>• Áp dụng quy trình 'Notice &amp; Takedown' để tiếp nhận và xử lý yêu cầu gỡ bỏ.</w:t>
            </w:r>
          </w:p>
          <w:p>
            <w:pPr>
              <w:spacing w:before="40" w:after="80" w:line="276" w:lineRule="auto"/>
              <w:jc w:val="left"/>
            </w:pPr>
            <w:r>
              <w:rPr>
                <w:sz w:val="19"/>
              </w:rPr>
              <w:t>• Triển khai các bộ lọc công nghệ và AI để tự động quét, ngăn chặn nội dung giả mạo.</w:t>
            </w:r>
          </w:p>
          <w:p>
            <w:pPr>
              <w:spacing w:before="40" w:after="80" w:line="276" w:lineRule="auto"/>
              <w:jc w:val="left"/>
            </w:pPr>
            <w:r>
              <w:rPr>
                <w:sz w:val="19"/>
              </w:rPr>
              <w:t>• Thực hiện yêu cầu gỡ bỏ của Bộ Công An trong vòng 24 giờ và cung cấp dữ liệu định danh tài khoản số.</w:t>
            </w:r>
          </w:p>
        </w:tc>
        <w:tc>
          <w:tcPr>
            <w:tcW w:type="dxa" w:w="3010"/>
            <w:shd w:fill="FFFFFF"/>
            <w:tcMar>
              <w:top w:w="140" w:type="dxa"/>
              <w:bottom w:w="140" w:type="dxa"/>
              <w:left w:w="150" w:type="dxa"/>
              <w:right w:w="150" w:type="dxa"/>
            </w:tcMar>
            <w:tcBorders>
              <w:top w:val="none"/>
              <w:bottom w:val="single" w:sz="4" w:space="0" w:color="000000"/>
              <w:left w:val="single" w:sz="4" w:space="0" w:color="000000"/>
              <w:right w:val="single" w:sz="4" w:space="0" w:color="000000"/>
            </w:tcBorders>
          </w:tcPr>
          <w:p>
            <w:pPr>
              <w:spacing w:before="40" w:after="80" w:line="276" w:lineRule="auto"/>
              <w:jc w:val="left"/>
            </w:pPr>
            <w:r>
              <w:rPr>
                <w:sz w:val="19"/>
              </w:rPr>
              <w:t>• Bộ KH&amp;CN chủ trì điều phối liên ngành thực thi quyền SHTT.</w:t>
            </w:r>
          </w:p>
          <w:p>
            <w:pPr>
              <w:spacing w:before="40" w:after="80" w:line="276" w:lineRule="auto"/>
              <w:jc w:val="left"/>
            </w:pPr>
            <w:r>
              <w:rPr>
                <w:sz w:val="19"/>
              </w:rPr>
              <w:t>• Bộ Công Thương (Quản lý thị trường) dẹp hàng giả trên sàn TMĐT.</w:t>
            </w:r>
          </w:p>
          <w:p>
            <w:pPr>
              <w:spacing w:before="40" w:after="80" w:line="276" w:lineRule="auto"/>
              <w:jc w:val="left"/>
            </w:pPr>
            <w:r>
              <w:rPr>
                <w:sz w:val="19"/>
              </w:rPr>
              <w:t>• Bộ Công An (An ninh mạng) triệt phá các tổ chức website lậu quy mô lớn.</w:t>
            </w:r>
          </w:p>
          <w:p>
            <w:pPr>
              <w:spacing w:before="40" w:after="80" w:line="276" w:lineRule="auto"/>
              <w:jc w:val="left"/>
            </w:pPr>
            <w:r>
              <w:rPr>
                <w:sz w:val="19"/>
              </w:rPr>
              <w:t>• Hải quan kiểm soát biên giới, tạm dừng thông quan hàng giả.</w:t>
            </w:r>
          </w:p>
        </w:tc>
      </w:tr>
      <w:tr>
        <w:tc>
          <w:tcPr>
            <w:tcW w:type="dxa" w:w="3010"/>
            <w:shd w:fill="FFFFFF"/>
            <w:tcMar>
              <w:top w:w="40" w:type="dxa"/>
              <w:bottom w:w="40" w:type="dxa"/>
              <w:left w:w="100" w:type="dxa"/>
              <w:right w:w="100" w:type="dxa"/>
            </w:tcMar>
            <w:tcBorders>
              <w:top w:val="none"/>
              <w:bottom w:val="none"/>
              <w:left w:val="none"/>
              <w:right w:val="none"/>
            </w:tcBorders>
          </w:tcPr>
          <w:p>
            <w:pPr>
              <w:spacing w:before="0" w:after="0"/>
              <w:jc w:val="center"/>
            </w:pPr>
            <w:r>
              <w:rPr>
                <w:b/>
                <w:color w:val="787878"/>
                <w:sz w:val="28"/>
              </w:rPr>
              <w:t>↕</w:t>
            </w:r>
          </w:p>
        </w:tc>
        <w:tc>
          <w:tcPr>
            <w:tcW w:type="dxa" w:w="3010"/>
            <w:shd w:fill="FFFFFF"/>
            <w:tcMar>
              <w:top w:w="40" w:type="dxa"/>
              <w:bottom w:w="40" w:type="dxa"/>
              <w:left w:w="100" w:type="dxa"/>
              <w:right w:w="100" w:type="dxa"/>
            </w:tcMar>
            <w:tcBorders>
              <w:top w:val="none"/>
              <w:bottom w:val="none"/>
              <w:left w:val="none"/>
              <w:right w:val="none"/>
            </w:tcBorders>
          </w:tcPr>
          <w:p>
            <w:pPr>
              <w:spacing w:before="0" w:after="0"/>
              <w:jc w:val="center"/>
            </w:pPr>
            <w:r>
              <w:rPr>
                <w:b/>
                <w:color w:val="787878"/>
                <w:sz w:val="28"/>
              </w:rPr>
              <w:t>↕</w:t>
            </w:r>
          </w:p>
        </w:tc>
        <w:tc>
          <w:tcPr>
            <w:tcW w:type="dxa" w:w="3010"/>
            <w:shd w:fill="FFFFFF"/>
            <w:tcMar>
              <w:top w:w="40" w:type="dxa"/>
              <w:bottom w:w="40" w:type="dxa"/>
              <w:left w:w="100" w:type="dxa"/>
              <w:right w:w="100" w:type="dxa"/>
            </w:tcMar>
            <w:tcBorders>
              <w:top w:val="none"/>
              <w:bottom w:val="none"/>
              <w:left w:val="none"/>
              <w:right w:val="none"/>
            </w:tcBorders>
          </w:tcPr>
          <w:p>
            <w:pPr>
              <w:spacing w:before="0" w:after="0"/>
              <w:jc w:val="center"/>
            </w:pPr>
            <w:r>
              <w:rPr>
                <w:b/>
                <w:color w:val="787878"/>
                <w:sz w:val="28"/>
              </w:rPr>
              <w:t>↕</w:t>
            </w:r>
          </w:p>
        </w:tc>
      </w:tr>
      <w:tr>
        <w:tc>
          <w:tcPr>
            <w:tcW w:type="dxa" w:w="9030"/>
            <w:gridSpan w:val="3"/>
            <w:shd w:fill="F2F5F8"/>
            <w:tcMar>
              <w:top w:w="140" w:type="dxa"/>
              <w:bottom w:w="140" w:type="dxa"/>
              <w:left w:w="180" w:type="dxa"/>
              <w:right w:w="180" w:type="dxa"/>
            </w:tcMar>
            <w:tcBorders>
              <w:top w:val="single" w:sz="4" w:space="0" w:color="000000"/>
              <w:bottom w:val="single" w:sz="4" w:space="0" w:color="000000"/>
              <w:left w:val="single" w:sz="4" w:space="0" w:color="000000"/>
              <w:right w:val="single" w:sz="4" w:space="0" w:color="000000"/>
            </w:tcBorders>
          </w:tcPr>
          <w:p>
            <w:pPr>
              <w:spacing w:before="0" w:after="120"/>
              <w:jc w:val="center"/>
            </w:pPr>
            <w:r>
              <w:rPr>
                <w:b/>
                <w:color w:val="1F4E78"/>
                <w:sz w:val="22"/>
              </w:rPr>
              <w:t>HẠ TẦNG LIÊN THÔNG: CƠ SỞ DỮ LIỆU QUỐC GIA VỀ BẢO VỆ QUYỀN SHTT</w:t>
              <w:br/>
              <w:t>(Vận hành trực tuyến theo quy định tại Nghị định 100/2026/NĐ-CP)</w:t>
            </w:r>
          </w:p>
          <w:p>
            <w:pPr>
              <w:spacing w:before="40" w:after="80" w:line="276" w:lineRule="auto"/>
              <w:jc w:val="left"/>
            </w:pPr>
            <w:r>
              <w:rPr>
                <w:color w:val="333333"/>
                <w:sz w:val="20"/>
              </w:rPr>
              <w:t>• Cơ sở dữ liệu dùng chung: Do Bộ Khoa học và Công nghệ chủ trì xây dựng, kết nối liên thông hai chiều tự động giữa các lực lượng Hải quan, Tòa án, Công an nhân dân, Quản lý thị trường và UBND các cấp.</w:t>
            </w:r>
          </w:p>
          <w:p>
            <w:pPr>
              <w:spacing w:before="40" w:after="80" w:line="276" w:lineRule="auto"/>
              <w:jc w:val="left"/>
            </w:pPr>
            <w:r>
              <w:rPr>
                <w:color w:val="333333"/>
                <w:sz w:val="20"/>
              </w:rPr>
              <w:t>• Cơ chế đồng bộ đồng thời: Khi một vụ việc vi phạm hoặc tài khoản vi phạm bị xử lý ở Bước 3, thông tin lập tức cập nhật lên CSDL quốc gia để hỗ trợ các Sàn TMĐT chủ động chặn lọc (Bước 2) và hỗ trợ chủ thể tra cứu (Bước 1).</w:t>
            </w:r>
          </w:p>
          <w:p>
            <w:pPr>
              <w:spacing w:before="40" w:after="80" w:line="276" w:lineRule="auto"/>
              <w:jc w:val="left"/>
            </w:pPr>
            <w:r>
              <w:rPr>
                <w:color w:val="333333"/>
                <w:sz w:val="20"/>
              </w:rPr>
              <w:t>• Công nghệ số hiện đại: Tích hợp công nghệ phân tích dữ liệu lớn (Big Data) để tự động quét, giám sát và cảnh báo sớm các hành vi xâm phạm quyền SHTT trên môi trường số; sử dụng Blockchain bảo mật, xác thực nguồn gốc và dán nhãn dữ liệu.</w:t>
            </w:r>
          </w:p>
        </w:tc>
      </w:tr>
    </w:tbl>
    <w:p>
      <w:pPr>
        <w:spacing w:before="240" w:after="120"/>
        <w:jc w:val="center"/>
      </w:pPr>
      <w:r>
        <w:rPr>
          <w:b/>
          <w:sz w:val="22"/>
        </w:rPr>
        <w:t>Hình 1: Quy trình phối hợp đa chủ thể và hạ tầng liên thông dữ liệu thực thi SHTT trên nền tảng số</w:t>
        <w:br/>
      </w:r>
      <w:r>
        <w:rPr>
          <w:i/>
          <w:sz w:val="20"/>
        </w:rPr>
        <w:t>(Nguồn: Tác giả tự tổng hợp và xây dựng dựa trên Luật SHTT sửa đổi năm 2025 và Nghị định 100/2026/NĐ-CP)</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