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B5101" w14:textId="77777777" w:rsidR="00F60F67" w:rsidRDefault="00000000">
      <w:pPr>
        <w:widowControl w:val="0"/>
        <w:pBdr>
          <w:top w:val="nil"/>
          <w:left w:val="nil"/>
          <w:bottom w:val="nil"/>
          <w:right w:val="nil"/>
          <w:between w:val="nil"/>
        </w:pBdr>
        <w:spacing w:line="214" w:lineRule="auto"/>
        <w:ind w:right="-5"/>
        <w:jc w:val="center"/>
        <w:rPr>
          <w:rFonts w:ascii="Times New Roman" w:eastAsia="Times New Roman" w:hAnsi="Times New Roman" w:cs="Times New Roman"/>
          <w:b/>
          <w:bCs/>
          <w:color w:val="000000"/>
          <w:sz w:val="32"/>
          <w:szCs w:val="32"/>
        </w:rPr>
      </w:pPr>
      <w:r>
        <w:rPr>
          <w:noProof/>
          <w:color w:val="000000"/>
        </w:rPr>
        <w:drawing>
          <wp:inline distT="19050" distB="19050" distL="19050" distR="19050" wp14:anchorId="5E6E4940" wp14:editId="47FD0274">
            <wp:extent cx="228600" cy="228600"/>
            <wp:effectExtent l="0" t="0" r="0" b="0"/>
            <wp:docPr id="261" name="image247.png"/>
            <wp:cNvGraphicFramePr/>
            <a:graphic xmlns:a="http://schemas.openxmlformats.org/drawingml/2006/main">
              <a:graphicData uri="http://schemas.openxmlformats.org/drawingml/2006/picture">
                <pic:pic xmlns:pic="http://schemas.openxmlformats.org/drawingml/2006/picture">
                  <pic:nvPicPr>
                    <pic:cNvPr id="0" name="image247.png"/>
                    <pic:cNvPicPr preferRelativeResize="0"/>
                  </pic:nvPicPr>
                  <pic:blipFill>
                    <a:blip r:embed="rId4"/>
                    <a:srcRect/>
                    <a:stretch>
                      <a:fillRect/>
                    </a:stretch>
                  </pic:blipFill>
                  <pic:spPr>
                    <a:xfrm>
                      <a:off x="0" y="0"/>
                      <a:ext cx="228600" cy="228600"/>
                    </a:xfrm>
                    <a:prstGeom prst="rect">
                      <a:avLst/>
                    </a:prstGeom>
                    <a:ln/>
                  </pic:spPr>
                </pic:pic>
              </a:graphicData>
            </a:graphic>
          </wp:inline>
        </w:drawing>
      </w:r>
      <w:r>
        <w:rPr>
          <w:noProof/>
          <w:color w:val="000000"/>
        </w:rPr>
        <w:drawing>
          <wp:inline distT="19050" distB="19050" distL="19050" distR="19050" wp14:anchorId="5053ECB0" wp14:editId="3EABFFE4">
            <wp:extent cx="234696" cy="228600"/>
            <wp:effectExtent l="0" t="0" r="0" b="0"/>
            <wp:docPr id="246" name="image246.png"/>
            <wp:cNvGraphicFramePr/>
            <a:graphic xmlns:a="http://schemas.openxmlformats.org/drawingml/2006/main">
              <a:graphicData uri="http://schemas.openxmlformats.org/drawingml/2006/picture">
                <pic:pic xmlns:pic="http://schemas.openxmlformats.org/drawingml/2006/picture">
                  <pic:nvPicPr>
                    <pic:cNvPr id="0" name="image246.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noProof/>
          <w:color w:val="000000"/>
        </w:rPr>
        <w:drawing>
          <wp:inline distT="19050" distB="19050" distL="19050" distR="19050" wp14:anchorId="6784B381" wp14:editId="68E7485B">
            <wp:extent cx="234696" cy="228600"/>
            <wp:effectExtent l="0" t="0" r="0" b="0"/>
            <wp:docPr id="245" name="image245.png"/>
            <wp:cNvGraphicFramePr/>
            <a:graphic xmlns:a="http://schemas.openxmlformats.org/drawingml/2006/main">
              <a:graphicData uri="http://schemas.openxmlformats.org/drawingml/2006/picture">
                <pic:pic xmlns:pic="http://schemas.openxmlformats.org/drawingml/2006/picture">
                  <pic:nvPicPr>
                    <pic:cNvPr id="0" name="image245.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noProof/>
          <w:color w:val="000000"/>
        </w:rPr>
        <w:drawing>
          <wp:inline distT="19050" distB="19050" distL="19050" distR="19050" wp14:anchorId="0BCFCBDD" wp14:editId="3DCC99FA">
            <wp:extent cx="234696" cy="228600"/>
            <wp:effectExtent l="0" t="0" r="0" b="0"/>
            <wp:docPr id="242" name="image242.png"/>
            <wp:cNvGraphicFramePr/>
            <a:graphic xmlns:a="http://schemas.openxmlformats.org/drawingml/2006/main">
              <a:graphicData uri="http://schemas.openxmlformats.org/drawingml/2006/picture">
                <pic:pic xmlns:pic="http://schemas.openxmlformats.org/drawingml/2006/picture">
                  <pic:nvPicPr>
                    <pic:cNvPr id="0" name="image242.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noProof/>
          <w:color w:val="000000"/>
        </w:rPr>
        <w:drawing>
          <wp:inline distT="19050" distB="19050" distL="19050" distR="19050" wp14:anchorId="6D3BEA9A" wp14:editId="2EA40D88">
            <wp:extent cx="234696" cy="228600"/>
            <wp:effectExtent l="0" t="0" r="0" b="0"/>
            <wp:docPr id="241" name="image241.png"/>
            <wp:cNvGraphicFramePr/>
            <a:graphic xmlns:a="http://schemas.openxmlformats.org/drawingml/2006/main">
              <a:graphicData uri="http://schemas.openxmlformats.org/drawingml/2006/picture">
                <pic:pic xmlns:pic="http://schemas.openxmlformats.org/drawingml/2006/picture">
                  <pic:nvPicPr>
                    <pic:cNvPr id="0" name="image241.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noProof/>
          <w:color w:val="000000"/>
        </w:rPr>
        <w:drawing>
          <wp:inline distT="19050" distB="19050" distL="19050" distR="19050" wp14:anchorId="66A7F059" wp14:editId="53BC6D48">
            <wp:extent cx="234696" cy="228600"/>
            <wp:effectExtent l="0" t="0" r="0" b="0"/>
            <wp:docPr id="244" name="image244.png"/>
            <wp:cNvGraphicFramePr/>
            <a:graphic xmlns:a="http://schemas.openxmlformats.org/drawingml/2006/main">
              <a:graphicData uri="http://schemas.openxmlformats.org/drawingml/2006/picture">
                <pic:pic xmlns:pic="http://schemas.openxmlformats.org/drawingml/2006/picture">
                  <pic:nvPicPr>
                    <pic:cNvPr id="0" name="image244.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noProof/>
          <w:color w:val="000000"/>
        </w:rPr>
        <w:drawing>
          <wp:inline distT="19050" distB="19050" distL="19050" distR="19050" wp14:anchorId="7EB95305" wp14:editId="26B2EE4A">
            <wp:extent cx="234696" cy="228600"/>
            <wp:effectExtent l="0" t="0" r="0" b="0"/>
            <wp:docPr id="243" name="image243.png"/>
            <wp:cNvGraphicFramePr/>
            <a:graphic xmlns:a="http://schemas.openxmlformats.org/drawingml/2006/main">
              <a:graphicData uri="http://schemas.openxmlformats.org/drawingml/2006/picture">
                <pic:pic xmlns:pic="http://schemas.openxmlformats.org/drawingml/2006/picture">
                  <pic:nvPicPr>
                    <pic:cNvPr id="0" name="image243.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noProof/>
          <w:color w:val="000000"/>
        </w:rPr>
        <w:drawing>
          <wp:inline distT="19050" distB="19050" distL="19050" distR="19050" wp14:anchorId="396C4FF2" wp14:editId="0B43C033">
            <wp:extent cx="234696" cy="228600"/>
            <wp:effectExtent l="0" t="0" r="0" b="0"/>
            <wp:docPr id="239" name="image239.png"/>
            <wp:cNvGraphicFramePr/>
            <a:graphic xmlns:a="http://schemas.openxmlformats.org/drawingml/2006/main">
              <a:graphicData uri="http://schemas.openxmlformats.org/drawingml/2006/picture">
                <pic:pic xmlns:pic="http://schemas.openxmlformats.org/drawingml/2006/picture">
                  <pic:nvPicPr>
                    <pic:cNvPr id="0" name="image239.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noProof/>
          <w:color w:val="000000"/>
        </w:rPr>
        <w:drawing>
          <wp:inline distT="19050" distB="19050" distL="19050" distR="19050" wp14:anchorId="41310A5E" wp14:editId="11678793">
            <wp:extent cx="234696" cy="228600"/>
            <wp:effectExtent l="0" t="0" r="0" b="0"/>
            <wp:docPr id="238" name="image238.png"/>
            <wp:cNvGraphicFramePr/>
            <a:graphic xmlns:a="http://schemas.openxmlformats.org/drawingml/2006/main">
              <a:graphicData uri="http://schemas.openxmlformats.org/drawingml/2006/picture">
                <pic:pic xmlns:pic="http://schemas.openxmlformats.org/drawingml/2006/picture">
                  <pic:nvPicPr>
                    <pic:cNvPr id="0" name="image238.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noProof/>
          <w:color w:val="000000"/>
        </w:rPr>
        <w:drawing>
          <wp:inline distT="19050" distB="19050" distL="19050" distR="19050" wp14:anchorId="4BC8DA8F" wp14:editId="737576B7">
            <wp:extent cx="237744" cy="228600"/>
            <wp:effectExtent l="0" t="0" r="0" b="0"/>
            <wp:docPr id="240" name="image240.png"/>
            <wp:cNvGraphicFramePr/>
            <a:graphic xmlns:a="http://schemas.openxmlformats.org/drawingml/2006/main">
              <a:graphicData uri="http://schemas.openxmlformats.org/drawingml/2006/picture">
                <pic:pic xmlns:pic="http://schemas.openxmlformats.org/drawingml/2006/picture">
                  <pic:nvPicPr>
                    <pic:cNvPr id="0" name="image240.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noProof/>
          <w:color w:val="000000"/>
        </w:rPr>
        <w:drawing>
          <wp:inline distT="19050" distB="19050" distL="19050" distR="19050" wp14:anchorId="7C58315B" wp14:editId="5E6A5908">
            <wp:extent cx="237744" cy="228600"/>
            <wp:effectExtent l="0" t="0" r="0" b="0"/>
            <wp:docPr id="199" name="image199.png"/>
            <wp:cNvGraphicFramePr/>
            <a:graphic xmlns:a="http://schemas.openxmlformats.org/drawingml/2006/main">
              <a:graphicData uri="http://schemas.openxmlformats.org/drawingml/2006/picture">
                <pic:pic xmlns:pic="http://schemas.openxmlformats.org/drawingml/2006/picture">
                  <pic:nvPicPr>
                    <pic:cNvPr id="0" name="image199.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noProof/>
          <w:color w:val="000000"/>
        </w:rPr>
        <w:drawing>
          <wp:inline distT="19050" distB="19050" distL="19050" distR="19050" wp14:anchorId="30E6742E" wp14:editId="1403CE3F">
            <wp:extent cx="237744" cy="228600"/>
            <wp:effectExtent l="0" t="0" r="0" b="0"/>
            <wp:docPr id="201" name="image201.png"/>
            <wp:cNvGraphicFramePr/>
            <a:graphic xmlns:a="http://schemas.openxmlformats.org/drawingml/2006/main">
              <a:graphicData uri="http://schemas.openxmlformats.org/drawingml/2006/picture">
                <pic:pic xmlns:pic="http://schemas.openxmlformats.org/drawingml/2006/picture">
                  <pic:nvPicPr>
                    <pic:cNvPr id="0" name="image201.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noProof/>
          <w:color w:val="000000"/>
        </w:rPr>
        <w:drawing>
          <wp:inline distT="19050" distB="19050" distL="19050" distR="19050" wp14:anchorId="710C0FF0" wp14:editId="76CC6E35">
            <wp:extent cx="237744" cy="228600"/>
            <wp:effectExtent l="0" t="0" r="0" b="0"/>
            <wp:docPr id="209" name="image209.png"/>
            <wp:cNvGraphicFramePr/>
            <a:graphic xmlns:a="http://schemas.openxmlformats.org/drawingml/2006/main">
              <a:graphicData uri="http://schemas.openxmlformats.org/drawingml/2006/picture">
                <pic:pic xmlns:pic="http://schemas.openxmlformats.org/drawingml/2006/picture">
                  <pic:nvPicPr>
                    <pic:cNvPr id="0" name="image209.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noProof/>
          <w:color w:val="000000"/>
        </w:rPr>
        <w:drawing>
          <wp:inline distT="19050" distB="19050" distL="19050" distR="19050" wp14:anchorId="1BACE98F" wp14:editId="5388C1A1">
            <wp:extent cx="237744" cy="228600"/>
            <wp:effectExtent l="0" t="0" r="0" b="0"/>
            <wp:docPr id="211" name="image211.png"/>
            <wp:cNvGraphicFramePr/>
            <a:graphic xmlns:a="http://schemas.openxmlformats.org/drawingml/2006/main">
              <a:graphicData uri="http://schemas.openxmlformats.org/drawingml/2006/picture">
                <pic:pic xmlns:pic="http://schemas.openxmlformats.org/drawingml/2006/picture">
                  <pic:nvPicPr>
                    <pic:cNvPr id="0" name="image211.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noProof/>
          <w:color w:val="000000"/>
        </w:rPr>
        <w:drawing>
          <wp:inline distT="19050" distB="19050" distL="19050" distR="19050" wp14:anchorId="40791D8C" wp14:editId="016F5875">
            <wp:extent cx="237744" cy="228600"/>
            <wp:effectExtent l="0" t="0" r="0" b="0"/>
            <wp:docPr id="205" name="image205.png"/>
            <wp:cNvGraphicFramePr/>
            <a:graphic xmlns:a="http://schemas.openxmlformats.org/drawingml/2006/main">
              <a:graphicData uri="http://schemas.openxmlformats.org/drawingml/2006/picture">
                <pic:pic xmlns:pic="http://schemas.openxmlformats.org/drawingml/2006/picture">
                  <pic:nvPicPr>
                    <pic:cNvPr id="0" name="image205.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noProof/>
          <w:color w:val="000000"/>
        </w:rPr>
        <w:drawing>
          <wp:inline distT="19050" distB="19050" distL="19050" distR="19050" wp14:anchorId="27A136C1" wp14:editId="6EBE5112">
            <wp:extent cx="237744" cy="228600"/>
            <wp:effectExtent l="0" t="0" r="0" b="0"/>
            <wp:docPr id="207" name="image207.png"/>
            <wp:cNvGraphicFramePr/>
            <a:graphic xmlns:a="http://schemas.openxmlformats.org/drawingml/2006/main">
              <a:graphicData uri="http://schemas.openxmlformats.org/drawingml/2006/picture">
                <pic:pic xmlns:pic="http://schemas.openxmlformats.org/drawingml/2006/picture">
                  <pic:nvPicPr>
                    <pic:cNvPr id="0" name="image207.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noProof/>
          <w:color w:val="000000"/>
        </w:rPr>
        <w:drawing>
          <wp:inline distT="19050" distB="19050" distL="19050" distR="19050" wp14:anchorId="16390568" wp14:editId="24912B31">
            <wp:extent cx="237744" cy="228600"/>
            <wp:effectExtent l="0" t="0" r="0" b="0"/>
            <wp:docPr id="215" name="image215.png"/>
            <wp:cNvGraphicFramePr/>
            <a:graphic xmlns:a="http://schemas.openxmlformats.org/drawingml/2006/main">
              <a:graphicData uri="http://schemas.openxmlformats.org/drawingml/2006/picture">
                <pic:pic xmlns:pic="http://schemas.openxmlformats.org/drawingml/2006/picture">
                  <pic:nvPicPr>
                    <pic:cNvPr id="0" name="image215.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noProof/>
          <w:color w:val="000000"/>
        </w:rPr>
        <w:drawing>
          <wp:inline distT="19050" distB="19050" distL="19050" distR="19050" wp14:anchorId="7032CA6B" wp14:editId="678C5FFB">
            <wp:extent cx="237744" cy="228600"/>
            <wp:effectExtent l="0" t="0" r="0" b="0"/>
            <wp:docPr id="216" name="image216.png"/>
            <wp:cNvGraphicFramePr/>
            <a:graphic xmlns:a="http://schemas.openxmlformats.org/drawingml/2006/main">
              <a:graphicData uri="http://schemas.openxmlformats.org/drawingml/2006/picture">
                <pic:pic xmlns:pic="http://schemas.openxmlformats.org/drawingml/2006/picture">
                  <pic:nvPicPr>
                    <pic:cNvPr id="0" name="image216.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noProof/>
          <w:color w:val="000000"/>
        </w:rPr>
        <w:drawing>
          <wp:inline distT="19050" distB="19050" distL="19050" distR="19050" wp14:anchorId="0F4B1CCB" wp14:editId="4F9C4DD8">
            <wp:extent cx="237744" cy="228600"/>
            <wp:effectExtent l="0" t="0" r="0" b="0"/>
            <wp:docPr id="213" name="image213.png"/>
            <wp:cNvGraphicFramePr/>
            <a:graphic xmlns:a="http://schemas.openxmlformats.org/drawingml/2006/main">
              <a:graphicData uri="http://schemas.openxmlformats.org/drawingml/2006/picture">
                <pic:pic xmlns:pic="http://schemas.openxmlformats.org/drawingml/2006/picture">
                  <pic:nvPicPr>
                    <pic:cNvPr id="0" name="image213.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noProof/>
          <w:color w:val="000000"/>
        </w:rPr>
        <w:drawing>
          <wp:inline distT="19050" distB="19050" distL="19050" distR="19050" wp14:anchorId="3A6336DA" wp14:editId="0B3C2BCE">
            <wp:extent cx="237744" cy="228600"/>
            <wp:effectExtent l="0" t="0" r="0" b="0"/>
            <wp:docPr id="214" name="image214.png"/>
            <wp:cNvGraphicFramePr/>
            <a:graphic xmlns:a="http://schemas.openxmlformats.org/drawingml/2006/main">
              <a:graphicData uri="http://schemas.openxmlformats.org/drawingml/2006/picture">
                <pic:pic xmlns:pic="http://schemas.openxmlformats.org/drawingml/2006/picture">
                  <pic:nvPicPr>
                    <pic:cNvPr id="0" name="image214.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noProof/>
          <w:color w:val="000000"/>
        </w:rPr>
        <w:drawing>
          <wp:inline distT="19050" distB="19050" distL="19050" distR="19050" wp14:anchorId="1E6932D0" wp14:editId="44CF1926">
            <wp:extent cx="237744" cy="228600"/>
            <wp:effectExtent l="0" t="0" r="0" b="0"/>
            <wp:docPr id="225" name="image225.png"/>
            <wp:cNvGraphicFramePr/>
            <a:graphic xmlns:a="http://schemas.openxmlformats.org/drawingml/2006/main">
              <a:graphicData uri="http://schemas.openxmlformats.org/drawingml/2006/picture">
                <pic:pic xmlns:pic="http://schemas.openxmlformats.org/drawingml/2006/picture">
                  <pic:nvPicPr>
                    <pic:cNvPr id="0" name="image225.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noProof/>
          <w:color w:val="000000"/>
        </w:rPr>
        <w:drawing>
          <wp:inline distT="19050" distB="19050" distL="19050" distR="19050" wp14:anchorId="58049A80" wp14:editId="43A7F638">
            <wp:extent cx="237744" cy="228600"/>
            <wp:effectExtent l="0" t="0" r="0" b="0"/>
            <wp:docPr id="221" name="image221.png"/>
            <wp:cNvGraphicFramePr/>
            <a:graphic xmlns:a="http://schemas.openxmlformats.org/drawingml/2006/main">
              <a:graphicData uri="http://schemas.openxmlformats.org/drawingml/2006/picture">
                <pic:pic xmlns:pic="http://schemas.openxmlformats.org/drawingml/2006/picture">
                  <pic:nvPicPr>
                    <pic:cNvPr id="0" name="image221.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noProof/>
          <w:color w:val="000000"/>
        </w:rPr>
        <w:drawing>
          <wp:inline distT="19050" distB="19050" distL="19050" distR="19050" wp14:anchorId="1D9D9465" wp14:editId="41529632">
            <wp:extent cx="237744" cy="228600"/>
            <wp:effectExtent l="0" t="0" r="0" b="0"/>
            <wp:docPr id="223" name="image223.png"/>
            <wp:cNvGraphicFramePr/>
            <a:graphic xmlns:a="http://schemas.openxmlformats.org/drawingml/2006/main">
              <a:graphicData uri="http://schemas.openxmlformats.org/drawingml/2006/picture">
                <pic:pic xmlns:pic="http://schemas.openxmlformats.org/drawingml/2006/picture">
                  <pic:nvPicPr>
                    <pic:cNvPr id="0" name="image223.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noProof/>
          <w:color w:val="000000"/>
        </w:rPr>
        <w:drawing>
          <wp:inline distT="19050" distB="19050" distL="19050" distR="19050" wp14:anchorId="1858DC26" wp14:editId="24026B6F">
            <wp:extent cx="237744" cy="228600"/>
            <wp:effectExtent l="0" t="0" r="0" b="0"/>
            <wp:docPr id="232" name="image232.png"/>
            <wp:cNvGraphicFramePr/>
            <a:graphic xmlns:a="http://schemas.openxmlformats.org/drawingml/2006/main">
              <a:graphicData uri="http://schemas.openxmlformats.org/drawingml/2006/picture">
                <pic:pic xmlns:pic="http://schemas.openxmlformats.org/drawingml/2006/picture">
                  <pic:nvPicPr>
                    <pic:cNvPr id="0" name="image232.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noProof/>
          <w:color w:val="000000"/>
        </w:rPr>
        <w:drawing>
          <wp:inline distT="19050" distB="19050" distL="19050" distR="19050" wp14:anchorId="0BE03BB2" wp14:editId="345EE23F">
            <wp:extent cx="237744" cy="228600"/>
            <wp:effectExtent l="0" t="0" r="0" b="0"/>
            <wp:docPr id="234" name="image234.png"/>
            <wp:cNvGraphicFramePr/>
            <a:graphic xmlns:a="http://schemas.openxmlformats.org/drawingml/2006/main">
              <a:graphicData uri="http://schemas.openxmlformats.org/drawingml/2006/picture">
                <pic:pic xmlns:pic="http://schemas.openxmlformats.org/drawingml/2006/picture">
                  <pic:nvPicPr>
                    <pic:cNvPr id="0" name="image234.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noProof/>
          <w:color w:val="000000"/>
        </w:rPr>
        <w:drawing>
          <wp:inline distT="19050" distB="19050" distL="19050" distR="19050" wp14:anchorId="371A68C6" wp14:editId="0B323E43">
            <wp:extent cx="228600" cy="228600"/>
            <wp:effectExtent l="0" t="0" r="0" b="0"/>
            <wp:docPr id="228" name="image228.png"/>
            <wp:cNvGraphicFramePr/>
            <a:graphic xmlns:a="http://schemas.openxmlformats.org/drawingml/2006/main">
              <a:graphicData uri="http://schemas.openxmlformats.org/drawingml/2006/picture">
                <pic:pic xmlns:pic="http://schemas.openxmlformats.org/drawingml/2006/picture">
                  <pic:nvPicPr>
                    <pic:cNvPr id="0" name="image228.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color w:val="000000"/>
          <w:sz w:val="27"/>
          <w:szCs w:val="27"/>
        </w:rPr>
        <w:t xml:space="preserve">BỘ GIÁO DỤC VÀ ĐÀO TẠO BỘ CÔNG THƯƠNG </w:t>
      </w:r>
      <w:r>
        <w:rPr>
          <w:rFonts w:ascii="Times New Roman" w:eastAsia="Times New Roman" w:hAnsi="Times New Roman" w:cs="Times New Roman"/>
          <w:noProof/>
          <w:color w:val="000000"/>
          <w:sz w:val="27"/>
          <w:szCs w:val="27"/>
        </w:rPr>
        <w:drawing>
          <wp:inline distT="19050" distB="19050" distL="19050" distR="19050" wp14:anchorId="218B4B03" wp14:editId="77C96E2E">
            <wp:extent cx="228600" cy="231648"/>
            <wp:effectExtent l="0" t="0" r="0" b="0"/>
            <wp:docPr id="230" name="image230.png"/>
            <wp:cNvGraphicFramePr/>
            <a:graphic xmlns:a="http://schemas.openxmlformats.org/drawingml/2006/main">
              <a:graphicData uri="http://schemas.openxmlformats.org/drawingml/2006/picture">
                <pic:pic xmlns:pic="http://schemas.openxmlformats.org/drawingml/2006/picture">
                  <pic:nvPicPr>
                    <pic:cNvPr id="0" name="image230.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noProof/>
          <w:color w:val="000000"/>
          <w:sz w:val="27"/>
          <w:szCs w:val="27"/>
        </w:rPr>
        <w:drawing>
          <wp:inline distT="19050" distB="19050" distL="19050" distR="19050" wp14:anchorId="0594CE7B" wp14:editId="38C1EA39">
            <wp:extent cx="228600" cy="231648"/>
            <wp:effectExtent l="0" t="0" r="0" b="0"/>
            <wp:docPr id="236" name="image236.png"/>
            <wp:cNvGraphicFramePr/>
            <a:graphic xmlns:a="http://schemas.openxmlformats.org/drawingml/2006/main">
              <a:graphicData uri="http://schemas.openxmlformats.org/drawingml/2006/picture">
                <pic:pic xmlns:pic="http://schemas.openxmlformats.org/drawingml/2006/picture">
                  <pic:nvPicPr>
                    <pic:cNvPr id="0" name="image236.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color w:val="000000"/>
          <w:sz w:val="27"/>
          <w:szCs w:val="27"/>
        </w:rPr>
        <w:t xml:space="preserve">VIỆN NGHIÊN CỨU CHIẾN LƯỢC, CHÍNH SÁCH CÔNG THƯƠNG </w:t>
      </w:r>
      <w:r>
        <w:rPr>
          <w:rFonts w:ascii="Times New Roman" w:eastAsia="Times New Roman" w:hAnsi="Times New Roman" w:cs="Times New Roman"/>
          <w:b/>
          <w:bCs/>
          <w:noProof/>
          <w:color w:val="000000"/>
          <w:sz w:val="27"/>
          <w:szCs w:val="27"/>
        </w:rPr>
        <w:drawing>
          <wp:inline distT="19050" distB="19050" distL="19050" distR="19050" wp14:anchorId="024366A0" wp14:editId="6EC4BA66">
            <wp:extent cx="228600" cy="231648"/>
            <wp:effectExtent l="0" t="0" r="0" b="0"/>
            <wp:docPr id="237" name="image237.png"/>
            <wp:cNvGraphicFramePr/>
            <a:graphic xmlns:a="http://schemas.openxmlformats.org/drawingml/2006/main">
              <a:graphicData uri="http://schemas.openxmlformats.org/drawingml/2006/picture">
                <pic:pic xmlns:pic="http://schemas.openxmlformats.org/drawingml/2006/picture">
                  <pic:nvPicPr>
                    <pic:cNvPr id="0" name="image237.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0C2FD6B1" wp14:editId="224C039E">
            <wp:extent cx="228600" cy="231648"/>
            <wp:effectExtent l="0" t="0" r="0" b="0"/>
            <wp:docPr id="235" name="image235.png"/>
            <wp:cNvGraphicFramePr/>
            <a:graphic xmlns:a="http://schemas.openxmlformats.org/drawingml/2006/main">
              <a:graphicData uri="http://schemas.openxmlformats.org/drawingml/2006/picture">
                <pic:pic xmlns:pic="http://schemas.openxmlformats.org/drawingml/2006/picture">
                  <pic:nvPicPr>
                    <pic:cNvPr id="0" name="image235.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59338A88" wp14:editId="29565DD9">
            <wp:extent cx="228600" cy="231648"/>
            <wp:effectExtent l="0" t="0" r="0" b="0"/>
            <wp:docPr id="165"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715B0A85" wp14:editId="4CAF9577">
            <wp:extent cx="228600" cy="231648"/>
            <wp:effectExtent l="0" t="0" r="0" b="0"/>
            <wp:docPr id="166"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0705C788" wp14:editId="03C462F5">
            <wp:extent cx="228600" cy="231648"/>
            <wp:effectExtent l="0" t="0" r="0" b="0"/>
            <wp:docPr id="163"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20150D79" wp14:editId="62B2A4D6">
            <wp:extent cx="228600" cy="231648"/>
            <wp:effectExtent l="0" t="0" r="0" b="0"/>
            <wp:docPr id="164"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7A6A8353" wp14:editId="633D0255">
            <wp:extent cx="228600" cy="231648"/>
            <wp:effectExtent l="0" t="0" r="0" b="0"/>
            <wp:docPr id="169"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68F6865" wp14:editId="36A4CBA6">
            <wp:extent cx="228600" cy="231648"/>
            <wp:effectExtent l="0" t="0" r="0" b="0"/>
            <wp:docPr id="170"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6B257ACA" wp14:editId="17E48F45">
            <wp:extent cx="228600" cy="231648"/>
            <wp:effectExtent l="0" t="0" r="0" b="0"/>
            <wp:docPr id="167"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6591585" wp14:editId="129B65C9">
            <wp:extent cx="228600" cy="231648"/>
            <wp:effectExtent l="0" t="0" r="0" b="0"/>
            <wp:docPr id="168"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6E9C9B05" wp14:editId="08F40834">
            <wp:extent cx="228600" cy="231648"/>
            <wp:effectExtent l="0" t="0" r="0" b="0"/>
            <wp:docPr id="171"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4EB7043" wp14:editId="273E64C0">
            <wp:extent cx="228600" cy="231648"/>
            <wp:effectExtent l="0" t="0" r="0" b="0"/>
            <wp:docPr id="172"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FABEC40" wp14:editId="21930634">
            <wp:extent cx="228600" cy="231648"/>
            <wp:effectExtent l="0" t="0" r="0" b="0"/>
            <wp:docPr id="175"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2061C026" wp14:editId="611541AD">
            <wp:extent cx="228600" cy="231648"/>
            <wp:effectExtent l="0" t="0" r="0" b="0"/>
            <wp:docPr id="181"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color w:val="000000"/>
          <w:sz w:val="32"/>
          <w:szCs w:val="32"/>
        </w:rPr>
        <w:t xml:space="preserve">BÙI NGUYỄN ANH TUẤN </w:t>
      </w:r>
      <w:r>
        <w:rPr>
          <w:noProof/>
        </w:rPr>
        <w:drawing>
          <wp:anchor distT="19050" distB="19050" distL="19050" distR="19050" simplePos="0" relativeHeight="251658240" behindDoc="0" locked="0" layoutInCell="1" hidden="0" allowOverlap="1" wp14:anchorId="07857BD1" wp14:editId="26EBBEF8">
            <wp:simplePos x="0" y="0"/>
            <wp:positionH relativeFrom="column">
              <wp:posOffset>19050</wp:posOffset>
            </wp:positionH>
            <wp:positionV relativeFrom="paragraph">
              <wp:posOffset>247650</wp:posOffset>
            </wp:positionV>
            <wp:extent cx="228600" cy="231648"/>
            <wp:effectExtent l="0" t="0" r="0" b="0"/>
            <wp:wrapSquare wrapText="right" distT="19050" distB="19050" distL="19050" distR="19050"/>
            <wp:docPr id="183" name="image183.png"/>
            <wp:cNvGraphicFramePr/>
            <a:graphic xmlns:a="http://schemas.openxmlformats.org/drawingml/2006/main">
              <a:graphicData uri="http://schemas.openxmlformats.org/drawingml/2006/picture">
                <pic:pic xmlns:pic="http://schemas.openxmlformats.org/drawingml/2006/picture">
                  <pic:nvPicPr>
                    <pic:cNvPr id="0" name="image183.png"/>
                    <pic:cNvPicPr preferRelativeResize="0"/>
                  </pic:nvPicPr>
                  <pic:blipFill>
                    <a:blip r:embed="rId5"/>
                    <a:srcRect/>
                    <a:stretch>
                      <a:fillRect/>
                    </a:stretch>
                  </pic:blipFill>
                  <pic:spPr>
                    <a:xfrm>
                      <a:off x="0" y="0"/>
                      <a:ext cx="228600" cy="231648"/>
                    </a:xfrm>
                    <a:prstGeom prst="rect">
                      <a:avLst/>
                    </a:prstGeom>
                    <a:ln/>
                  </pic:spPr>
                </pic:pic>
              </a:graphicData>
            </a:graphic>
          </wp:anchor>
        </w:drawing>
      </w:r>
      <w:r>
        <w:rPr>
          <w:noProof/>
        </w:rPr>
        <w:drawing>
          <wp:anchor distT="19050" distB="19050" distL="19050" distR="19050" simplePos="0" relativeHeight="251659264" behindDoc="0" locked="0" layoutInCell="1" hidden="0" allowOverlap="1" wp14:anchorId="3D09F2DB" wp14:editId="41B68F54">
            <wp:simplePos x="0" y="0"/>
            <wp:positionH relativeFrom="column">
              <wp:posOffset>5929122</wp:posOffset>
            </wp:positionH>
            <wp:positionV relativeFrom="paragraph">
              <wp:posOffset>247650</wp:posOffset>
            </wp:positionV>
            <wp:extent cx="228600" cy="231648"/>
            <wp:effectExtent l="0" t="0" r="0" b="0"/>
            <wp:wrapSquare wrapText="left" distT="19050" distB="19050" distL="19050" distR="19050"/>
            <wp:docPr id="177"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5"/>
                    <a:srcRect/>
                    <a:stretch>
                      <a:fillRect/>
                    </a:stretch>
                  </pic:blipFill>
                  <pic:spPr>
                    <a:xfrm>
                      <a:off x="0" y="0"/>
                      <a:ext cx="228600" cy="231648"/>
                    </a:xfrm>
                    <a:prstGeom prst="rect">
                      <a:avLst/>
                    </a:prstGeom>
                    <a:ln/>
                  </pic:spPr>
                </pic:pic>
              </a:graphicData>
            </a:graphic>
          </wp:anchor>
        </w:drawing>
      </w:r>
      <w:r>
        <w:rPr>
          <w:noProof/>
        </w:rPr>
        <w:drawing>
          <wp:anchor distT="19050" distB="19050" distL="19050" distR="19050" simplePos="0" relativeHeight="251660288" behindDoc="0" locked="0" layoutInCell="1" hidden="0" allowOverlap="1" wp14:anchorId="13A56634" wp14:editId="4B4EA6D1">
            <wp:simplePos x="0" y="0"/>
            <wp:positionH relativeFrom="column">
              <wp:posOffset>19050</wp:posOffset>
            </wp:positionH>
            <wp:positionV relativeFrom="paragraph">
              <wp:posOffset>710946</wp:posOffset>
            </wp:positionV>
            <wp:extent cx="228600" cy="231648"/>
            <wp:effectExtent l="0" t="0" r="0" b="0"/>
            <wp:wrapSquare wrapText="right" distT="19050" distB="19050" distL="19050" distR="19050"/>
            <wp:docPr id="179" name="image179.png"/>
            <wp:cNvGraphicFramePr/>
            <a:graphic xmlns:a="http://schemas.openxmlformats.org/drawingml/2006/main">
              <a:graphicData uri="http://schemas.openxmlformats.org/drawingml/2006/picture">
                <pic:pic xmlns:pic="http://schemas.openxmlformats.org/drawingml/2006/picture">
                  <pic:nvPicPr>
                    <pic:cNvPr id="0" name="image179.png"/>
                    <pic:cNvPicPr preferRelativeResize="0"/>
                  </pic:nvPicPr>
                  <pic:blipFill>
                    <a:blip r:embed="rId5"/>
                    <a:srcRect/>
                    <a:stretch>
                      <a:fillRect/>
                    </a:stretch>
                  </pic:blipFill>
                  <pic:spPr>
                    <a:xfrm>
                      <a:off x="0" y="0"/>
                      <a:ext cx="228600" cy="231648"/>
                    </a:xfrm>
                    <a:prstGeom prst="rect">
                      <a:avLst/>
                    </a:prstGeom>
                    <a:ln/>
                  </pic:spPr>
                </pic:pic>
              </a:graphicData>
            </a:graphic>
          </wp:anchor>
        </w:drawing>
      </w:r>
      <w:r>
        <w:rPr>
          <w:noProof/>
        </w:rPr>
        <w:drawing>
          <wp:anchor distT="19050" distB="19050" distL="19050" distR="19050" simplePos="0" relativeHeight="251661312" behindDoc="0" locked="0" layoutInCell="1" hidden="0" allowOverlap="1" wp14:anchorId="2362762C" wp14:editId="135C2C16">
            <wp:simplePos x="0" y="0"/>
            <wp:positionH relativeFrom="column">
              <wp:posOffset>5929122</wp:posOffset>
            </wp:positionH>
            <wp:positionV relativeFrom="paragraph">
              <wp:posOffset>710946</wp:posOffset>
            </wp:positionV>
            <wp:extent cx="228600" cy="231648"/>
            <wp:effectExtent l="0" t="0" r="0" b="0"/>
            <wp:wrapSquare wrapText="bothSides" distT="19050" distB="19050" distL="19050" distR="19050"/>
            <wp:docPr id="189" name="image189.png"/>
            <wp:cNvGraphicFramePr/>
            <a:graphic xmlns:a="http://schemas.openxmlformats.org/drawingml/2006/main">
              <a:graphicData uri="http://schemas.openxmlformats.org/drawingml/2006/picture">
                <pic:pic xmlns:pic="http://schemas.openxmlformats.org/drawingml/2006/picture">
                  <pic:nvPicPr>
                    <pic:cNvPr id="0" name="image189.png"/>
                    <pic:cNvPicPr preferRelativeResize="0"/>
                  </pic:nvPicPr>
                  <pic:blipFill>
                    <a:blip r:embed="rId5"/>
                    <a:srcRect/>
                    <a:stretch>
                      <a:fillRect/>
                    </a:stretch>
                  </pic:blipFill>
                  <pic:spPr>
                    <a:xfrm>
                      <a:off x="0" y="0"/>
                      <a:ext cx="228600" cy="231648"/>
                    </a:xfrm>
                    <a:prstGeom prst="rect">
                      <a:avLst/>
                    </a:prstGeom>
                    <a:ln/>
                  </pic:spPr>
                </pic:pic>
              </a:graphicData>
            </a:graphic>
          </wp:anchor>
        </w:drawing>
      </w:r>
      <w:r>
        <w:rPr>
          <w:noProof/>
        </w:rPr>
        <w:drawing>
          <wp:anchor distT="19050" distB="19050" distL="19050" distR="19050" simplePos="0" relativeHeight="251662336" behindDoc="0" locked="0" layoutInCell="1" hidden="0" allowOverlap="1" wp14:anchorId="52140103" wp14:editId="6477B2B2">
            <wp:simplePos x="0" y="0"/>
            <wp:positionH relativeFrom="column">
              <wp:posOffset>19050</wp:posOffset>
            </wp:positionH>
            <wp:positionV relativeFrom="paragraph">
              <wp:posOffset>2564130</wp:posOffset>
            </wp:positionV>
            <wp:extent cx="228600" cy="231648"/>
            <wp:effectExtent l="0" t="0" r="0" b="0"/>
            <wp:wrapSquare wrapText="right" distT="19050" distB="19050" distL="19050" distR="19050"/>
            <wp:docPr id="191" name="image191.png"/>
            <wp:cNvGraphicFramePr/>
            <a:graphic xmlns:a="http://schemas.openxmlformats.org/drawingml/2006/main">
              <a:graphicData uri="http://schemas.openxmlformats.org/drawingml/2006/picture">
                <pic:pic xmlns:pic="http://schemas.openxmlformats.org/drawingml/2006/picture">
                  <pic:nvPicPr>
                    <pic:cNvPr id="0" name="image191.png"/>
                    <pic:cNvPicPr preferRelativeResize="0"/>
                  </pic:nvPicPr>
                  <pic:blipFill>
                    <a:blip r:embed="rId5"/>
                    <a:srcRect/>
                    <a:stretch>
                      <a:fillRect/>
                    </a:stretch>
                  </pic:blipFill>
                  <pic:spPr>
                    <a:xfrm>
                      <a:off x="0" y="0"/>
                      <a:ext cx="228600" cy="231648"/>
                    </a:xfrm>
                    <a:prstGeom prst="rect">
                      <a:avLst/>
                    </a:prstGeom>
                    <a:ln/>
                  </pic:spPr>
                </pic:pic>
              </a:graphicData>
            </a:graphic>
          </wp:anchor>
        </w:drawing>
      </w:r>
      <w:r>
        <w:rPr>
          <w:noProof/>
        </w:rPr>
        <w:drawing>
          <wp:anchor distT="19050" distB="19050" distL="19050" distR="19050" simplePos="0" relativeHeight="251663360" behindDoc="0" locked="0" layoutInCell="1" hidden="0" allowOverlap="1" wp14:anchorId="5F0F3200" wp14:editId="64FE13F2">
            <wp:simplePos x="0" y="0"/>
            <wp:positionH relativeFrom="column">
              <wp:posOffset>5929122</wp:posOffset>
            </wp:positionH>
            <wp:positionV relativeFrom="paragraph">
              <wp:posOffset>2564130</wp:posOffset>
            </wp:positionV>
            <wp:extent cx="228600" cy="231648"/>
            <wp:effectExtent l="0" t="0" r="0" b="0"/>
            <wp:wrapSquare wrapText="left" distT="19050" distB="19050" distL="19050" distR="19050"/>
            <wp:docPr id="185"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a:blip r:embed="rId5"/>
                    <a:srcRect/>
                    <a:stretch>
                      <a:fillRect/>
                    </a:stretch>
                  </pic:blipFill>
                  <pic:spPr>
                    <a:xfrm>
                      <a:off x="0" y="0"/>
                      <a:ext cx="228600" cy="231648"/>
                    </a:xfrm>
                    <a:prstGeom prst="rect">
                      <a:avLst/>
                    </a:prstGeom>
                    <a:ln/>
                  </pic:spPr>
                </pic:pic>
              </a:graphicData>
            </a:graphic>
          </wp:anchor>
        </w:drawing>
      </w:r>
    </w:p>
    <w:p w14:paraId="598F5C6B" w14:textId="77777777" w:rsidR="00F60F67" w:rsidRDefault="00000000">
      <w:pPr>
        <w:widowControl w:val="0"/>
        <w:pBdr>
          <w:top w:val="nil"/>
          <w:left w:val="nil"/>
          <w:bottom w:val="nil"/>
          <w:right w:val="nil"/>
          <w:between w:val="nil"/>
        </w:pBdr>
        <w:spacing w:before="29" w:line="209" w:lineRule="auto"/>
        <w:ind w:right="-5"/>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noProof/>
          <w:color w:val="000000"/>
          <w:sz w:val="32"/>
          <w:szCs w:val="32"/>
        </w:rPr>
        <w:drawing>
          <wp:inline distT="19050" distB="19050" distL="19050" distR="19050" wp14:anchorId="025024FA" wp14:editId="57A73A2D">
            <wp:extent cx="228600" cy="231648"/>
            <wp:effectExtent l="0" t="0" r="0" b="0"/>
            <wp:docPr id="187"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2"/>
          <w:szCs w:val="32"/>
        </w:rPr>
        <w:drawing>
          <wp:inline distT="19050" distB="19050" distL="19050" distR="19050" wp14:anchorId="456FA265" wp14:editId="66B5E98F">
            <wp:extent cx="228600" cy="231648"/>
            <wp:effectExtent l="0" t="0" r="0" b="0"/>
            <wp:docPr id="192" name="image192.png"/>
            <wp:cNvGraphicFramePr/>
            <a:graphic xmlns:a="http://schemas.openxmlformats.org/drawingml/2006/main">
              <a:graphicData uri="http://schemas.openxmlformats.org/drawingml/2006/picture">
                <pic:pic xmlns:pic="http://schemas.openxmlformats.org/drawingml/2006/picture">
                  <pic:nvPicPr>
                    <pic:cNvPr id="0" name="image192.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2"/>
          <w:szCs w:val="32"/>
        </w:rPr>
        <w:drawing>
          <wp:inline distT="19050" distB="19050" distL="19050" distR="19050" wp14:anchorId="6BCE103A" wp14:editId="5B5175E2">
            <wp:extent cx="228600" cy="231648"/>
            <wp:effectExtent l="0" t="0" r="0" b="0"/>
            <wp:docPr id="120"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2"/>
          <w:szCs w:val="32"/>
        </w:rPr>
        <w:drawing>
          <wp:inline distT="19050" distB="19050" distL="19050" distR="19050" wp14:anchorId="5F243FD5" wp14:editId="0CB1BB54">
            <wp:extent cx="228600" cy="231648"/>
            <wp:effectExtent l="0" t="0" r="0" b="0"/>
            <wp:docPr id="122"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2"/>
          <w:szCs w:val="32"/>
        </w:rPr>
        <w:drawing>
          <wp:inline distT="19050" distB="19050" distL="19050" distR="19050" wp14:anchorId="196C3D0A" wp14:editId="686E72F6">
            <wp:extent cx="228600" cy="231648"/>
            <wp:effectExtent l="0" t="0" r="0" b="0"/>
            <wp:docPr id="127"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2"/>
          <w:szCs w:val="32"/>
        </w:rPr>
        <w:drawing>
          <wp:inline distT="19050" distB="19050" distL="19050" distR="19050" wp14:anchorId="703D2866" wp14:editId="7543B382">
            <wp:extent cx="228600" cy="231648"/>
            <wp:effectExtent l="0" t="0" r="0" b="0"/>
            <wp:docPr id="128"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2"/>
          <w:szCs w:val="32"/>
        </w:rPr>
        <w:drawing>
          <wp:inline distT="19050" distB="19050" distL="19050" distR="19050" wp14:anchorId="414A7624" wp14:editId="60A31CEA">
            <wp:extent cx="228600" cy="231648"/>
            <wp:effectExtent l="0" t="0" r="0" b="0"/>
            <wp:docPr id="124"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2"/>
          <w:szCs w:val="32"/>
        </w:rPr>
        <w:drawing>
          <wp:inline distT="19050" distB="19050" distL="19050" distR="19050" wp14:anchorId="6C99350A" wp14:editId="4C94C063">
            <wp:extent cx="228600" cy="231648"/>
            <wp:effectExtent l="0" t="0" r="0" b="0"/>
            <wp:docPr id="125"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2"/>
          <w:szCs w:val="32"/>
        </w:rPr>
        <w:drawing>
          <wp:inline distT="19050" distB="19050" distL="19050" distR="19050" wp14:anchorId="01A56445" wp14:editId="4104576D">
            <wp:extent cx="228600" cy="231648"/>
            <wp:effectExtent l="0" t="0" r="0" b="0"/>
            <wp:docPr id="137"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2"/>
          <w:szCs w:val="32"/>
        </w:rPr>
        <w:drawing>
          <wp:inline distT="19050" distB="19050" distL="19050" distR="19050" wp14:anchorId="5E9AB874" wp14:editId="70A326DC">
            <wp:extent cx="228600" cy="231648"/>
            <wp:effectExtent l="0" t="0" r="0" b="0"/>
            <wp:docPr id="140"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2"/>
          <w:szCs w:val="32"/>
        </w:rPr>
        <w:drawing>
          <wp:inline distT="19050" distB="19050" distL="19050" distR="19050" wp14:anchorId="3E16B544" wp14:editId="0834C88C">
            <wp:extent cx="228600" cy="231648"/>
            <wp:effectExtent l="0" t="0" r="0" b="0"/>
            <wp:docPr id="131"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2"/>
          <w:szCs w:val="32"/>
        </w:rPr>
        <w:drawing>
          <wp:inline distT="19050" distB="19050" distL="19050" distR="19050" wp14:anchorId="6BFE6A57" wp14:editId="1A427063">
            <wp:extent cx="228600" cy="231648"/>
            <wp:effectExtent l="0" t="0" r="0" b="0"/>
            <wp:docPr id="134"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color w:val="000000"/>
          <w:sz w:val="36"/>
          <w:szCs w:val="36"/>
        </w:rPr>
        <w:t xml:space="preserve">QUẢN LÝ NHÀ NƯỚC VỀ TẬP TRUNG KINH TẾ </w:t>
      </w:r>
      <w:r>
        <w:rPr>
          <w:noProof/>
        </w:rPr>
        <w:drawing>
          <wp:anchor distT="19050" distB="19050" distL="19050" distR="19050" simplePos="0" relativeHeight="251664384" behindDoc="0" locked="0" layoutInCell="1" hidden="0" allowOverlap="1" wp14:anchorId="01DE4549" wp14:editId="4714A14A">
            <wp:simplePos x="0" y="0"/>
            <wp:positionH relativeFrom="column">
              <wp:posOffset>19050</wp:posOffset>
            </wp:positionH>
            <wp:positionV relativeFrom="paragraph">
              <wp:posOffset>1408938</wp:posOffset>
            </wp:positionV>
            <wp:extent cx="228600" cy="231648"/>
            <wp:effectExtent l="0" t="0" r="0" b="0"/>
            <wp:wrapSquare wrapText="bothSides" distT="19050" distB="19050" distL="19050" distR="19050"/>
            <wp:docPr id="150"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5"/>
                    <a:srcRect/>
                    <a:stretch>
                      <a:fillRect/>
                    </a:stretch>
                  </pic:blipFill>
                  <pic:spPr>
                    <a:xfrm>
                      <a:off x="0" y="0"/>
                      <a:ext cx="228600" cy="231648"/>
                    </a:xfrm>
                    <a:prstGeom prst="rect">
                      <a:avLst/>
                    </a:prstGeom>
                    <a:ln/>
                  </pic:spPr>
                </pic:pic>
              </a:graphicData>
            </a:graphic>
          </wp:anchor>
        </w:drawing>
      </w:r>
      <w:r>
        <w:rPr>
          <w:noProof/>
        </w:rPr>
        <w:drawing>
          <wp:anchor distT="19050" distB="19050" distL="19050" distR="19050" simplePos="0" relativeHeight="251665408" behindDoc="0" locked="0" layoutInCell="1" hidden="0" allowOverlap="1" wp14:anchorId="7D7C6E52" wp14:editId="29A139D9">
            <wp:simplePos x="0" y="0"/>
            <wp:positionH relativeFrom="column">
              <wp:posOffset>5929122</wp:posOffset>
            </wp:positionH>
            <wp:positionV relativeFrom="paragraph">
              <wp:posOffset>1408938</wp:posOffset>
            </wp:positionV>
            <wp:extent cx="228600" cy="231648"/>
            <wp:effectExtent l="0" t="0" r="0" b="0"/>
            <wp:wrapSquare wrapText="bothSides" distT="19050" distB="19050" distL="19050" distR="19050"/>
            <wp:docPr id="146"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5"/>
                    <a:srcRect/>
                    <a:stretch>
                      <a:fillRect/>
                    </a:stretch>
                  </pic:blipFill>
                  <pic:spPr>
                    <a:xfrm>
                      <a:off x="0" y="0"/>
                      <a:ext cx="228600" cy="231648"/>
                    </a:xfrm>
                    <a:prstGeom prst="rect">
                      <a:avLst/>
                    </a:prstGeom>
                    <a:ln/>
                  </pic:spPr>
                </pic:pic>
              </a:graphicData>
            </a:graphic>
          </wp:anchor>
        </w:drawing>
      </w:r>
    </w:p>
    <w:p w14:paraId="6BD95287" w14:textId="77777777" w:rsidR="00F60F67" w:rsidRDefault="00000000">
      <w:pPr>
        <w:widowControl w:val="0"/>
        <w:pBdr>
          <w:top w:val="nil"/>
          <w:left w:val="nil"/>
          <w:bottom w:val="nil"/>
          <w:right w:val="nil"/>
          <w:between w:val="nil"/>
        </w:pBdr>
        <w:spacing w:before="222" w:line="215" w:lineRule="auto"/>
        <w:ind w:right="-5"/>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TRONG LĨNH VỰC BÁN LẺ TẠI VIỆT NAM </w:t>
      </w:r>
      <w:r>
        <w:rPr>
          <w:rFonts w:ascii="Times New Roman" w:eastAsia="Times New Roman" w:hAnsi="Times New Roman" w:cs="Times New Roman"/>
          <w:b/>
          <w:bCs/>
          <w:noProof/>
          <w:color w:val="000000"/>
          <w:sz w:val="36"/>
          <w:szCs w:val="36"/>
        </w:rPr>
        <w:drawing>
          <wp:inline distT="19050" distB="19050" distL="19050" distR="19050" wp14:anchorId="29350FA0" wp14:editId="73A54623">
            <wp:extent cx="228600" cy="231648"/>
            <wp:effectExtent l="0" t="0" r="0" b="0"/>
            <wp:docPr id="148"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2680A4D4" wp14:editId="30401316">
            <wp:extent cx="228600" cy="231648"/>
            <wp:effectExtent l="0" t="0" r="0" b="0"/>
            <wp:docPr id="153"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25290411" wp14:editId="318DC82F">
            <wp:extent cx="228600" cy="231648"/>
            <wp:effectExtent l="0" t="0" r="0" b="0"/>
            <wp:docPr id="154"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27457BE8" wp14:editId="2FAF3C0A">
            <wp:extent cx="228600" cy="231648"/>
            <wp:effectExtent l="0" t="0" r="0" b="0"/>
            <wp:docPr id="151"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709F0D6B" wp14:editId="20D2AE25">
            <wp:extent cx="228600" cy="231648"/>
            <wp:effectExtent l="0" t="0" r="0" b="0"/>
            <wp:docPr id="152"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4D6F870D" wp14:editId="4A9CCDBF">
            <wp:extent cx="228600" cy="231648"/>
            <wp:effectExtent l="0" t="0" r="0" b="0"/>
            <wp:docPr id="159"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7C8DF1EC" wp14:editId="6C86ED42">
            <wp:extent cx="228600" cy="231648"/>
            <wp:effectExtent l="0" t="0" r="0" b="0"/>
            <wp:docPr id="161"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0F48E701" wp14:editId="7AD2C5BC">
            <wp:extent cx="228600" cy="231648"/>
            <wp:effectExtent l="0" t="0" r="0" b="0"/>
            <wp:docPr id="156"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02F8BC3B" wp14:editId="1B59CB86">
            <wp:extent cx="228600" cy="234696"/>
            <wp:effectExtent l="0" t="0" r="0" b="0"/>
            <wp:docPr id="65"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5EE18DFA" wp14:editId="0E108671">
            <wp:extent cx="228600" cy="234696"/>
            <wp:effectExtent l="0" t="0" r="0" b="0"/>
            <wp:docPr id="6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2B024FA1" wp14:editId="12B59E45">
            <wp:extent cx="228600" cy="234696"/>
            <wp:effectExtent l="0" t="0" r="0" b="0"/>
            <wp:docPr id="62"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5C857B2E" wp14:editId="07D383CF">
            <wp:extent cx="228600" cy="234696"/>
            <wp:effectExtent l="0" t="0" r="0" b="0"/>
            <wp:docPr id="6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5874457C" wp14:editId="7F9A831B">
            <wp:extent cx="228600" cy="234696"/>
            <wp:effectExtent l="0" t="0" r="0" b="0"/>
            <wp:docPr id="72"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65A49393" wp14:editId="75BE567A">
            <wp:extent cx="228600" cy="234696"/>
            <wp:effectExtent l="0" t="0" r="0" b="0"/>
            <wp:docPr id="75"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22086BA0" wp14:editId="3815A2C8">
            <wp:extent cx="228600" cy="234696"/>
            <wp:effectExtent l="0" t="0" r="0" b="0"/>
            <wp:docPr id="6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31129B57" wp14:editId="31DE136D">
            <wp:extent cx="228600" cy="234696"/>
            <wp:effectExtent l="0" t="0" r="0" b="0"/>
            <wp:docPr id="6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color w:val="000000"/>
          <w:sz w:val="36"/>
          <w:szCs w:val="36"/>
        </w:rPr>
        <w:t xml:space="preserve">LUẬN ÁN TIẾN SĨ KINH TẾ </w:t>
      </w:r>
      <w:r>
        <w:rPr>
          <w:noProof/>
        </w:rPr>
        <w:drawing>
          <wp:anchor distT="19050" distB="19050" distL="19050" distR="19050" simplePos="0" relativeHeight="251666432" behindDoc="0" locked="0" layoutInCell="1" hidden="0" allowOverlap="1" wp14:anchorId="2F9C06A1" wp14:editId="0FB713A6">
            <wp:simplePos x="0" y="0"/>
            <wp:positionH relativeFrom="column">
              <wp:posOffset>19050</wp:posOffset>
            </wp:positionH>
            <wp:positionV relativeFrom="paragraph">
              <wp:posOffset>-81533</wp:posOffset>
            </wp:positionV>
            <wp:extent cx="228600" cy="231648"/>
            <wp:effectExtent l="0" t="0" r="0" b="0"/>
            <wp:wrapSquare wrapText="right" distT="19050" distB="19050" distL="19050" distR="19050"/>
            <wp:docPr id="80"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5"/>
                    <a:srcRect/>
                    <a:stretch>
                      <a:fillRect/>
                    </a:stretch>
                  </pic:blipFill>
                  <pic:spPr>
                    <a:xfrm>
                      <a:off x="0" y="0"/>
                      <a:ext cx="228600" cy="231648"/>
                    </a:xfrm>
                    <a:prstGeom prst="rect">
                      <a:avLst/>
                    </a:prstGeom>
                    <a:ln/>
                  </pic:spPr>
                </pic:pic>
              </a:graphicData>
            </a:graphic>
          </wp:anchor>
        </w:drawing>
      </w:r>
      <w:r>
        <w:rPr>
          <w:noProof/>
        </w:rPr>
        <w:drawing>
          <wp:anchor distT="19050" distB="19050" distL="19050" distR="19050" simplePos="0" relativeHeight="251667456" behindDoc="0" locked="0" layoutInCell="1" hidden="0" allowOverlap="1" wp14:anchorId="7D7993E1" wp14:editId="3C2B1101">
            <wp:simplePos x="0" y="0"/>
            <wp:positionH relativeFrom="column">
              <wp:posOffset>5929122</wp:posOffset>
            </wp:positionH>
            <wp:positionV relativeFrom="paragraph">
              <wp:posOffset>-81533</wp:posOffset>
            </wp:positionV>
            <wp:extent cx="228600" cy="231648"/>
            <wp:effectExtent l="0" t="0" r="0" b="0"/>
            <wp:wrapSquare wrapText="left" distT="19050" distB="19050" distL="19050" distR="19050"/>
            <wp:docPr id="82"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5"/>
                    <a:srcRect/>
                    <a:stretch>
                      <a:fillRect/>
                    </a:stretch>
                  </pic:blipFill>
                  <pic:spPr>
                    <a:xfrm>
                      <a:off x="0" y="0"/>
                      <a:ext cx="228600" cy="231648"/>
                    </a:xfrm>
                    <a:prstGeom prst="rect">
                      <a:avLst/>
                    </a:prstGeom>
                    <a:ln/>
                  </pic:spPr>
                </pic:pic>
              </a:graphicData>
            </a:graphic>
          </wp:anchor>
        </w:drawing>
      </w:r>
      <w:r>
        <w:rPr>
          <w:noProof/>
        </w:rPr>
        <w:drawing>
          <wp:anchor distT="19050" distB="19050" distL="19050" distR="19050" simplePos="0" relativeHeight="251668480" behindDoc="0" locked="0" layoutInCell="1" hidden="0" allowOverlap="1" wp14:anchorId="5B382D5A" wp14:editId="1530B54F">
            <wp:simplePos x="0" y="0"/>
            <wp:positionH relativeFrom="column">
              <wp:posOffset>19050</wp:posOffset>
            </wp:positionH>
            <wp:positionV relativeFrom="paragraph">
              <wp:posOffset>2015490</wp:posOffset>
            </wp:positionV>
            <wp:extent cx="228600" cy="234696"/>
            <wp:effectExtent l="0" t="0" r="0" b="0"/>
            <wp:wrapSquare wrapText="bothSides" distT="19050" distB="19050" distL="19050" distR="19050"/>
            <wp:docPr id="87"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5"/>
                    <a:srcRect/>
                    <a:stretch>
                      <a:fillRect/>
                    </a:stretch>
                  </pic:blipFill>
                  <pic:spPr>
                    <a:xfrm>
                      <a:off x="0" y="0"/>
                      <a:ext cx="228600" cy="234696"/>
                    </a:xfrm>
                    <a:prstGeom prst="rect">
                      <a:avLst/>
                    </a:prstGeom>
                    <a:ln/>
                  </pic:spPr>
                </pic:pic>
              </a:graphicData>
            </a:graphic>
          </wp:anchor>
        </w:drawing>
      </w:r>
      <w:r>
        <w:rPr>
          <w:noProof/>
        </w:rPr>
        <w:drawing>
          <wp:anchor distT="19050" distB="19050" distL="19050" distR="19050" simplePos="0" relativeHeight="251669504" behindDoc="0" locked="0" layoutInCell="1" hidden="0" allowOverlap="1" wp14:anchorId="08A8427D" wp14:editId="3A0B5E06">
            <wp:simplePos x="0" y="0"/>
            <wp:positionH relativeFrom="column">
              <wp:posOffset>5929122</wp:posOffset>
            </wp:positionH>
            <wp:positionV relativeFrom="paragraph">
              <wp:posOffset>2015490</wp:posOffset>
            </wp:positionV>
            <wp:extent cx="228600" cy="234696"/>
            <wp:effectExtent l="0" t="0" r="0" b="0"/>
            <wp:wrapSquare wrapText="bothSides" distT="19050" distB="19050" distL="19050" distR="19050"/>
            <wp:docPr id="97"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5"/>
                    <a:srcRect/>
                    <a:stretch>
                      <a:fillRect/>
                    </a:stretch>
                  </pic:blipFill>
                  <pic:spPr>
                    <a:xfrm>
                      <a:off x="0" y="0"/>
                      <a:ext cx="228600" cy="234696"/>
                    </a:xfrm>
                    <a:prstGeom prst="rect">
                      <a:avLst/>
                    </a:prstGeom>
                    <a:ln/>
                  </pic:spPr>
                </pic:pic>
              </a:graphicData>
            </a:graphic>
          </wp:anchor>
        </w:drawing>
      </w:r>
    </w:p>
    <w:p w14:paraId="0B400732" w14:textId="77777777" w:rsidR="00F60F67" w:rsidRDefault="00000000">
      <w:pPr>
        <w:widowControl w:val="0"/>
        <w:pBdr>
          <w:top w:val="nil"/>
          <w:left w:val="nil"/>
          <w:bottom w:val="nil"/>
          <w:right w:val="nil"/>
          <w:between w:val="nil"/>
        </w:pBdr>
        <w:spacing w:before="46" w:line="205" w:lineRule="auto"/>
        <w:ind w:right="-5"/>
        <w:jc w:val="center"/>
        <w:rPr>
          <w:rFonts w:ascii="Times New Roman" w:eastAsia="Times New Roman" w:hAnsi="Times New Roman" w:cs="Times New Roman"/>
          <w:b/>
          <w:bCs/>
          <w:color w:val="000000"/>
          <w:sz w:val="27"/>
          <w:szCs w:val="27"/>
        </w:rPr>
      </w:pPr>
      <w:r>
        <w:rPr>
          <w:rFonts w:ascii="Times New Roman" w:eastAsia="Times New Roman" w:hAnsi="Times New Roman" w:cs="Times New Roman"/>
          <w:b/>
          <w:bCs/>
          <w:noProof/>
          <w:color w:val="000000"/>
          <w:sz w:val="36"/>
          <w:szCs w:val="36"/>
        </w:rPr>
        <w:drawing>
          <wp:inline distT="19050" distB="19050" distL="19050" distR="19050" wp14:anchorId="6122D0E3" wp14:editId="0FB483F6">
            <wp:extent cx="228600" cy="234696"/>
            <wp:effectExtent l="0" t="0" r="0" b="0"/>
            <wp:docPr id="98"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1B3732A3" wp14:editId="2F9E4885">
            <wp:extent cx="228600" cy="234696"/>
            <wp:effectExtent l="0" t="0" r="0" b="0"/>
            <wp:docPr id="93"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6650DDB9" wp14:editId="4756E004">
            <wp:extent cx="228600" cy="234696"/>
            <wp:effectExtent l="0" t="0" r="0" b="0"/>
            <wp:docPr id="96"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6ADCE32D" wp14:editId="37041A80">
            <wp:extent cx="228600" cy="234696"/>
            <wp:effectExtent l="0" t="0" r="0" b="0"/>
            <wp:docPr id="103"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337982BB" wp14:editId="57991ECB">
            <wp:extent cx="228600" cy="234696"/>
            <wp:effectExtent l="0" t="0" r="0" b="0"/>
            <wp:docPr id="105"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283F29F0" wp14:editId="1A38AE03">
            <wp:extent cx="228600" cy="234696"/>
            <wp:effectExtent l="0" t="0" r="0" b="0"/>
            <wp:docPr id="99"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0B786A0E" wp14:editId="25896112">
            <wp:extent cx="228600" cy="234696"/>
            <wp:effectExtent l="0" t="0" r="0" b="0"/>
            <wp:docPr id="100"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225DBC0B" wp14:editId="0103B6EF">
            <wp:extent cx="228600" cy="234696"/>
            <wp:effectExtent l="0" t="0" r="0" b="0"/>
            <wp:docPr id="112"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068DA680" wp14:editId="03392E68">
            <wp:extent cx="228600" cy="234696"/>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43B609B4" wp14:editId="399F289E">
            <wp:extent cx="228600" cy="234696"/>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29E615D5" wp14:editId="7AE05D73">
            <wp:extent cx="228600" cy="234696"/>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0C6DF326" wp14:editId="7115C1B5">
            <wp:extent cx="228600" cy="234696"/>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6AB532D7" wp14:editId="446C4623">
            <wp:extent cx="228600" cy="234696"/>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08CB7300" wp14:editId="00078904">
            <wp:extent cx="228600" cy="234696"/>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3C2012E7" wp14:editId="35820774">
            <wp:extent cx="228600" cy="234696"/>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5864C4F5" wp14:editId="2CE4C059">
            <wp:extent cx="228600" cy="234696"/>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color w:val="000000"/>
          <w:sz w:val="27"/>
          <w:szCs w:val="27"/>
        </w:rPr>
        <w:t>HÀ NỘI, 2025</w:t>
      </w:r>
      <w:r>
        <w:rPr>
          <w:noProof/>
        </w:rPr>
        <w:drawing>
          <wp:anchor distT="19050" distB="19050" distL="19050" distR="19050" simplePos="0" relativeHeight="251670528" behindDoc="0" locked="0" layoutInCell="1" hidden="0" allowOverlap="1" wp14:anchorId="5EB3EBE6" wp14:editId="376DC107">
            <wp:simplePos x="0" y="0"/>
            <wp:positionH relativeFrom="column">
              <wp:posOffset>19050</wp:posOffset>
            </wp:positionH>
            <wp:positionV relativeFrom="paragraph">
              <wp:posOffset>1896618</wp:posOffset>
            </wp:positionV>
            <wp:extent cx="228600" cy="234696"/>
            <wp:effectExtent l="0" t="0" r="0" b="0"/>
            <wp:wrapSquare wrapText="right" distT="19050" distB="19050" distL="19050" distR="1905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
                    <a:srcRect/>
                    <a:stretch>
                      <a:fillRect/>
                    </a:stretch>
                  </pic:blipFill>
                  <pic:spPr>
                    <a:xfrm>
                      <a:off x="0" y="0"/>
                      <a:ext cx="228600" cy="234696"/>
                    </a:xfrm>
                    <a:prstGeom prst="rect">
                      <a:avLst/>
                    </a:prstGeom>
                    <a:ln/>
                  </pic:spPr>
                </pic:pic>
              </a:graphicData>
            </a:graphic>
          </wp:anchor>
        </w:drawing>
      </w:r>
      <w:r>
        <w:rPr>
          <w:noProof/>
        </w:rPr>
        <w:drawing>
          <wp:anchor distT="19050" distB="19050" distL="19050" distR="19050" simplePos="0" relativeHeight="251671552" behindDoc="0" locked="0" layoutInCell="1" hidden="0" allowOverlap="1" wp14:anchorId="089307A8" wp14:editId="0B9970E8">
            <wp:simplePos x="0" y="0"/>
            <wp:positionH relativeFrom="column">
              <wp:posOffset>5929122</wp:posOffset>
            </wp:positionH>
            <wp:positionV relativeFrom="paragraph">
              <wp:posOffset>1896618</wp:posOffset>
            </wp:positionV>
            <wp:extent cx="228600" cy="234696"/>
            <wp:effectExtent l="0" t="0" r="0" b="0"/>
            <wp:wrapSquare wrapText="left" distT="19050" distB="19050" distL="19050" distR="19050"/>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
                    <a:srcRect/>
                    <a:stretch>
                      <a:fillRect/>
                    </a:stretch>
                  </pic:blipFill>
                  <pic:spPr>
                    <a:xfrm>
                      <a:off x="0" y="0"/>
                      <a:ext cx="228600" cy="234696"/>
                    </a:xfrm>
                    <a:prstGeom prst="rect">
                      <a:avLst/>
                    </a:prstGeom>
                    <a:ln/>
                  </pic:spPr>
                </pic:pic>
              </a:graphicData>
            </a:graphic>
          </wp:anchor>
        </w:drawing>
      </w:r>
    </w:p>
    <w:p w14:paraId="3260D046"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7"/>
          <w:szCs w:val="27"/>
        </w:rPr>
      </w:pPr>
      <w:r>
        <w:rPr>
          <w:rFonts w:ascii="Times New Roman" w:eastAsia="Times New Roman" w:hAnsi="Times New Roman" w:cs="Times New Roman"/>
          <w:b/>
          <w:bCs/>
          <w:noProof/>
          <w:color w:val="000000"/>
          <w:sz w:val="27"/>
          <w:szCs w:val="27"/>
        </w:rPr>
        <w:drawing>
          <wp:inline distT="19050" distB="19050" distL="19050" distR="19050" wp14:anchorId="188D2297" wp14:editId="7974B812">
            <wp:extent cx="228600" cy="234696"/>
            <wp:effectExtent l="0" t="0" r="0" b="0"/>
            <wp:docPr id="194" name="image194.png"/>
            <wp:cNvGraphicFramePr/>
            <a:graphic xmlns:a="http://schemas.openxmlformats.org/drawingml/2006/main">
              <a:graphicData uri="http://schemas.openxmlformats.org/drawingml/2006/picture">
                <pic:pic xmlns:pic="http://schemas.openxmlformats.org/drawingml/2006/picture">
                  <pic:nvPicPr>
                    <pic:cNvPr id="0" name="image194.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0DC673BE" wp14:editId="1152F467">
            <wp:extent cx="228600" cy="234696"/>
            <wp:effectExtent l="0" t="0" r="0" b="0"/>
            <wp:docPr id="196" name="image196.png"/>
            <wp:cNvGraphicFramePr/>
            <a:graphic xmlns:a="http://schemas.openxmlformats.org/drawingml/2006/main">
              <a:graphicData uri="http://schemas.openxmlformats.org/drawingml/2006/picture">
                <pic:pic xmlns:pic="http://schemas.openxmlformats.org/drawingml/2006/picture">
                  <pic:nvPicPr>
                    <pic:cNvPr id="0" name="image196.png"/>
                    <pic:cNvPicPr preferRelativeResize="0"/>
                  </pic:nvPicPr>
                  <pic:blipFill>
                    <a:blip r:embed="rId5"/>
                    <a:srcRect/>
                    <a:stretch>
                      <a:fillRect/>
                    </a:stretch>
                  </pic:blipFill>
                  <pic:spPr>
                    <a:xfrm>
                      <a:off x="0" y="0"/>
                      <a:ext cx="228600" cy="234696"/>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676C59F" wp14:editId="05883311">
            <wp:extent cx="228600" cy="228600"/>
            <wp:effectExtent l="0" t="0" r="0" b="0"/>
            <wp:docPr id="259" name="image248.png"/>
            <wp:cNvGraphicFramePr/>
            <a:graphic xmlns:a="http://schemas.openxmlformats.org/drawingml/2006/main">
              <a:graphicData uri="http://schemas.openxmlformats.org/drawingml/2006/picture">
                <pic:pic xmlns:pic="http://schemas.openxmlformats.org/drawingml/2006/picture">
                  <pic:nvPicPr>
                    <pic:cNvPr id="0" name="image248.png"/>
                    <pic:cNvPicPr preferRelativeResize="0"/>
                  </pic:nvPicPr>
                  <pic:blipFill>
                    <a:blip r:embed="rId6"/>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551BBF88" wp14:editId="248FB2A1">
            <wp:extent cx="234696" cy="228600"/>
            <wp:effectExtent l="0" t="0" r="0" b="0"/>
            <wp:docPr id="260" name="image256.png"/>
            <wp:cNvGraphicFramePr/>
            <a:graphic xmlns:a="http://schemas.openxmlformats.org/drawingml/2006/main">
              <a:graphicData uri="http://schemas.openxmlformats.org/drawingml/2006/picture">
                <pic:pic xmlns:pic="http://schemas.openxmlformats.org/drawingml/2006/picture">
                  <pic:nvPicPr>
                    <pic:cNvPr id="0" name="image256.png"/>
                    <pic:cNvPicPr preferRelativeResize="0"/>
                  </pic:nvPicPr>
                  <pic:blipFill>
                    <a:blip r:embed="rId7"/>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7C48562" wp14:editId="093DD19A">
            <wp:extent cx="234696" cy="228600"/>
            <wp:effectExtent l="0" t="0" r="0" b="0"/>
            <wp:docPr id="257" name="image254.png"/>
            <wp:cNvGraphicFramePr/>
            <a:graphic xmlns:a="http://schemas.openxmlformats.org/drawingml/2006/main">
              <a:graphicData uri="http://schemas.openxmlformats.org/drawingml/2006/picture">
                <pic:pic xmlns:pic="http://schemas.openxmlformats.org/drawingml/2006/picture">
                  <pic:nvPicPr>
                    <pic:cNvPr id="0" name="image254.png"/>
                    <pic:cNvPicPr preferRelativeResize="0"/>
                  </pic:nvPicPr>
                  <pic:blipFill>
                    <a:blip r:embed="rId7"/>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239EC1FC" wp14:editId="1C84AD80">
            <wp:extent cx="234696" cy="228600"/>
            <wp:effectExtent l="0" t="0" r="0" b="0"/>
            <wp:docPr id="258" name="image252.png"/>
            <wp:cNvGraphicFramePr/>
            <a:graphic xmlns:a="http://schemas.openxmlformats.org/drawingml/2006/main">
              <a:graphicData uri="http://schemas.openxmlformats.org/drawingml/2006/picture">
                <pic:pic xmlns:pic="http://schemas.openxmlformats.org/drawingml/2006/picture">
                  <pic:nvPicPr>
                    <pic:cNvPr id="0" name="image252.png"/>
                    <pic:cNvPicPr preferRelativeResize="0"/>
                  </pic:nvPicPr>
                  <pic:blipFill>
                    <a:blip r:embed="rId7"/>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2900CFE2" wp14:editId="1F33D66A">
            <wp:extent cx="234696" cy="228600"/>
            <wp:effectExtent l="0" t="0" r="0" b="0"/>
            <wp:docPr id="255" name="image249.png"/>
            <wp:cNvGraphicFramePr/>
            <a:graphic xmlns:a="http://schemas.openxmlformats.org/drawingml/2006/main">
              <a:graphicData uri="http://schemas.openxmlformats.org/drawingml/2006/picture">
                <pic:pic xmlns:pic="http://schemas.openxmlformats.org/drawingml/2006/picture">
                  <pic:nvPicPr>
                    <pic:cNvPr id="0" name="image249.png"/>
                    <pic:cNvPicPr preferRelativeResize="0"/>
                  </pic:nvPicPr>
                  <pic:blipFill>
                    <a:blip r:embed="rId7"/>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22B554A9" wp14:editId="217D9B0F">
            <wp:extent cx="234696" cy="228600"/>
            <wp:effectExtent l="0" t="0" r="0" b="0"/>
            <wp:docPr id="256" name="image255.png"/>
            <wp:cNvGraphicFramePr/>
            <a:graphic xmlns:a="http://schemas.openxmlformats.org/drawingml/2006/main">
              <a:graphicData uri="http://schemas.openxmlformats.org/drawingml/2006/picture">
                <pic:pic xmlns:pic="http://schemas.openxmlformats.org/drawingml/2006/picture">
                  <pic:nvPicPr>
                    <pic:cNvPr id="0" name="image255.png"/>
                    <pic:cNvPicPr preferRelativeResize="0"/>
                  </pic:nvPicPr>
                  <pic:blipFill>
                    <a:blip r:embed="rId7"/>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6AB242BF" wp14:editId="53B79159">
            <wp:extent cx="234696" cy="228600"/>
            <wp:effectExtent l="0" t="0" r="0" b="0"/>
            <wp:docPr id="253" name="image251.png"/>
            <wp:cNvGraphicFramePr/>
            <a:graphic xmlns:a="http://schemas.openxmlformats.org/drawingml/2006/main">
              <a:graphicData uri="http://schemas.openxmlformats.org/drawingml/2006/picture">
                <pic:pic xmlns:pic="http://schemas.openxmlformats.org/drawingml/2006/picture">
                  <pic:nvPicPr>
                    <pic:cNvPr id="0" name="image251.png"/>
                    <pic:cNvPicPr preferRelativeResize="0"/>
                  </pic:nvPicPr>
                  <pic:blipFill>
                    <a:blip r:embed="rId7"/>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444FD5C1" wp14:editId="45C81F76">
            <wp:extent cx="234696" cy="228600"/>
            <wp:effectExtent l="0" t="0" r="0" b="0"/>
            <wp:docPr id="254" name="image253.png"/>
            <wp:cNvGraphicFramePr/>
            <a:graphic xmlns:a="http://schemas.openxmlformats.org/drawingml/2006/main">
              <a:graphicData uri="http://schemas.openxmlformats.org/drawingml/2006/picture">
                <pic:pic xmlns:pic="http://schemas.openxmlformats.org/drawingml/2006/picture">
                  <pic:nvPicPr>
                    <pic:cNvPr id="0" name="image253.png"/>
                    <pic:cNvPicPr preferRelativeResize="0"/>
                  </pic:nvPicPr>
                  <pic:blipFill>
                    <a:blip r:embed="rId7"/>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296BBD3F" wp14:editId="2547E963">
            <wp:extent cx="234696" cy="228600"/>
            <wp:effectExtent l="0" t="0" r="0" b="0"/>
            <wp:docPr id="252" name="image250.png"/>
            <wp:cNvGraphicFramePr/>
            <a:graphic xmlns:a="http://schemas.openxmlformats.org/drawingml/2006/main">
              <a:graphicData uri="http://schemas.openxmlformats.org/drawingml/2006/picture">
                <pic:pic xmlns:pic="http://schemas.openxmlformats.org/drawingml/2006/picture">
                  <pic:nvPicPr>
                    <pic:cNvPr id="0" name="image250.png"/>
                    <pic:cNvPicPr preferRelativeResize="0"/>
                  </pic:nvPicPr>
                  <pic:blipFill>
                    <a:blip r:embed="rId7"/>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52D14A17" wp14:editId="42142700">
            <wp:extent cx="237744" cy="228600"/>
            <wp:effectExtent l="0" t="0" r="0" b="0"/>
            <wp:docPr id="250" name="image260.png"/>
            <wp:cNvGraphicFramePr/>
            <a:graphic xmlns:a="http://schemas.openxmlformats.org/drawingml/2006/main">
              <a:graphicData uri="http://schemas.openxmlformats.org/drawingml/2006/picture">
                <pic:pic xmlns:pic="http://schemas.openxmlformats.org/drawingml/2006/picture">
                  <pic:nvPicPr>
                    <pic:cNvPr id="0" name="image260.png"/>
                    <pic:cNvPicPr preferRelativeResize="0"/>
                  </pic:nvPicPr>
                  <pic:blipFill>
                    <a:blip r:embed="rId8"/>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A291241" wp14:editId="34AE06A1">
            <wp:extent cx="237744" cy="228600"/>
            <wp:effectExtent l="0" t="0" r="0" b="0"/>
            <wp:docPr id="251" name="image257.png"/>
            <wp:cNvGraphicFramePr/>
            <a:graphic xmlns:a="http://schemas.openxmlformats.org/drawingml/2006/main">
              <a:graphicData uri="http://schemas.openxmlformats.org/drawingml/2006/picture">
                <pic:pic xmlns:pic="http://schemas.openxmlformats.org/drawingml/2006/picture">
                  <pic:nvPicPr>
                    <pic:cNvPr id="0" name="image257.png"/>
                    <pic:cNvPicPr preferRelativeResize="0"/>
                  </pic:nvPicPr>
                  <pic:blipFill>
                    <a:blip r:embed="rId8"/>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3411F1D" wp14:editId="44536018">
            <wp:extent cx="237744" cy="228600"/>
            <wp:effectExtent l="0" t="0" r="0" b="0"/>
            <wp:docPr id="248" name="image259.png"/>
            <wp:cNvGraphicFramePr/>
            <a:graphic xmlns:a="http://schemas.openxmlformats.org/drawingml/2006/main">
              <a:graphicData uri="http://schemas.openxmlformats.org/drawingml/2006/picture">
                <pic:pic xmlns:pic="http://schemas.openxmlformats.org/drawingml/2006/picture">
                  <pic:nvPicPr>
                    <pic:cNvPr id="0" name="image259.png"/>
                    <pic:cNvPicPr preferRelativeResize="0"/>
                  </pic:nvPicPr>
                  <pic:blipFill>
                    <a:blip r:embed="rId8"/>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4D9A5A46" wp14:editId="35861C4D">
            <wp:extent cx="237744" cy="228600"/>
            <wp:effectExtent l="0" t="0" r="0" b="0"/>
            <wp:docPr id="249" name="image261.png"/>
            <wp:cNvGraphicFramePr/>
            <a:graphic xmlns:a="http://schemas.openxmlformats.org/drawingml/2006/main">
              <a:graphicData uri="http://schemas.openxmlformats.org/drawingml/2006/picture">
                <pic:pic xmlns:pic="http://schemas.openxmlformats.org/drawingml/2006/picture">
                  <pic:nvPicPr>
                    <pic:cNvPr id="0" name="image261.png"/>
                    <pic:cNvPicPr preferRelativeResize="0"/>
                  </pic:nvPicPr>
                  <pic:blipFill>
                    <a:blip r:embed="rId8"/>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74F88CE3" wp14:editId="7E41D546">
            <wp:extent cx="237744" cy="228600"/>
            <wp:effectExtent l="0" t="0" r="0" b="0"/>
            <wp:docPr id="247" name="image258.png"/>
            <wp:cNvGraphicFramePr/>
            <a:graphic xmlns:a="http://schemas.openxmlformats.org/drawingml/2006/main">
              <a:graphicData uri="http://schemas.openxmlformats.org/drawingml/2006/picture">
                <pic:pic xmlns:pic="http://schemas.openxmlformats.org/drawingml/2006/picture">
                  <pic:nvPicPr>
                    <pic:cNvPr id="0" name="image258.png"/>
                    <pic:cNvPicPr preferRelativeResize="0"/>
                  </pic:nvPicPr>
                  <pic:blipFill>
                    <a:blip r:embed="rId8"/>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E9FE587" wp14:editId="173532B4">
            <wp:extent cx="237744" cy="228600"/>
            <wp:effectExtent l="0" t="0" r="0" b="0"/>
            <wp:docPr id="77"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6EE6E1E1" wp14:editId="2A746150">
            <wp:extent cx="237744" cy="228600"/>
            <wp:effectExtent l="0" t="0" r="0" b="0"/>
            <wp:docPr id="7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4DC5F52E" wp14:editId="3E5BCB9D">
            <wp:extent cx="237744" cy="228600"/>
            <wp:effectExtent l="0" t="0" r="0" b="0"/>
            <wp:docPr id="73"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629F2112" wp14:editId="0DC4A3FB">
            <wp:extent cx="237744" cy="228600"/>
            <wp:effectExtent l="0" t="0" r="0" b="0"/>
            <wp:docPr id="6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4BD39200" wp14:editId="0E94DE39">
            <wp:extent cx="237744" cy="228600"/>
            <wp:effectExtent l="0" t="0" r="0" b="0"/>
            <wp:docPr id="5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001DEA7B" wp14:editId="16B925E3">
            <wp:extent cx="237744" cy="228600"/>
            <wp:effectExtent l="0" t="0" r="0" b="0"/>
            <wp:docPr id="60"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57EF2798" wp14:editId="0CCEC7EC">
            <wp:extent cx="237744" cy="228600"/>
            <wp:effectExtent l="0" t="0" r="0" b="0"/>
            <wp:docPr id="5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73D85C48" wp14:editId="4E593529">
            <wp:extent cx="237744" cy="228600"/>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4F593B3D" wp14:editId="2D4268BB">
            <wp:extent cx="237744" cy="228600"/>
            <wp:effectExtent l="0" t="0" r="0" b="0"/>
            <wp:docPr id="110"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67B8920B" wp14:editId="2EC78E1B">
            <wp:extent cx="237744" cy="228600"/>
            <wp:effectExtent l="0" t="0" r="0" b="0"/>
            <wp:docPr id="113"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8A3810B" wp14:editId="739A57AA">
            <wp:extent cx="237744" cy="228600"/>
            <wp:effectExtent l="0" t="0" r="0" b="0"/>
            <wp:docPr id="106"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0321F857" wp14:editId="4940E484">
            <wp:extent cx="228600" cy="228600"/>
            <wp:effectExtent l="0" t="0" r="0" b="0"/>
            <wp:docPr id="108"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p>
    <w:p w14:paraId="4722CF5E" w14:textId="77777777" w:rsidR="00F60F67" w:rsidRDefault="00000000">
      <w:pPr>
        <w:widowControl w:val="0"/>
        <w:pBdr>
          <w:top w:val="nil"/>
          <w:left w:val="nil"/>
          <w:bottom w:val="nil"/>
          <w:right w:val="nil"/>
          <w:between w:val="nil"/>
        </w:pBdr>
        <w:spacing w:line="210" w:lineRule="auto"/>
        <w:ind w:right="-5"/>
        <w:jc w:val="center"/>
        <w:rPr>
          <w:rFonts w:ascii="Times New Roman" w:eastAsia="Times New Roman" w:hAnsi="Times New Roman" w:cs="Times New Roman"/>
          <w:color w:val="000000"/>
          <w:sz w:val="27"/>
          <w:szCs w:val="27"/>
        </w:rPr>
      </w:pPr>
      <w:r>
        <w:rPr>
          <w:rFonts w:ascii="Times New Roman" w:eastAsia="Times New Roman" w:hAnsi="Times New Roman" w:cs="Times New Roman"/>
          <w:b/>
          <w:bCs/>
          <w:noProof/>
          <w:color w:val="000000"/>
          <w:sz w:val="27"/>
          <w:szCs w:val="27"/>
        </w:rPr>
        <w:drawing>
          <wp:inline distT="19050" distB="19050" distL="19050" distR="19050" wp14:anchorId="598B7DA9" wp14:editId="5760A7D7">
            <wp:extent cx="228600" cy="228600"/>
            <wp:effectExtent l="0" t="0" r="0" b="0"/>
            <wp:docPr id="101"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213CF14" wp14:editId="3CFC024A">
            <wp:extent cx="234696" cy="228600"/>
            <wp:effectExtent l="0" t="0" r="0" b="0"/>
            <wp:docPr id="104"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2AF0AA6C" wp14:editId="6DC6CD65">
            <wp:extent cx="234696" cy="228600"/>
            <wp:effectExtent l="0" t="0" r="0" b="0"/>
            <wp:docPr id="94"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7EC28590" wp14:editId="078AD87B">
            <wp:extent cx="234696" cy="228600"/>
            <wp:effectExtent l="0" t="0" r="0" b="0"/>
            <wp:docPr id="88"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749FA133" wp14:editId="2AF81C69">
            <wp:extent cx="234696" cy="228600"/>
            <wp:effectExtent l="0" t="0" r="0" b="0"/>
            <wp:docPr id="90"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0B66BDCB" wp14:editId="7F8BB975">
            <wp:extent cx="234696" cy="228600"/>
            <wp:effectExtent l="0" t="0" r="0" b="0"/>
            <wp:docPr id="83"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2E56BDDC" wp14:editId="50BE5A3E">
            <wp:extent cx="234696" cy="228600"/>
            <wp:effectExtent l="0" t="0" r="0" b="0"/>
            <wp:docPr id="85"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198D4A4" wp14:editId="4F22626E">
            <wp:extent cx="234696" cy="228600"/>
            <wp:effectExtent l="0" t="0" r="0" b="0"/>
            <wp:docPr id="135"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75270168" wp14:editId="746DDEC0">
            <wp:extent cx="234696" cy="228600"/>
            <wp:effectExtent l="0" t="0" r="0" b="0"/>
            <wp:docPr id="138"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6076236" wp14:editId="544F9233">
            <wp:extent cx="237744" cy="228600"/>
            <wp:effectExtent l="0" t="0" r="0" b="0"/>
            <wp:docPr id="129"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0BA88D8A" wp14:editId="5C4AA6E5">
            <wp:extent cx="237744" cy="228600"/>
            <wp:effectExtent l="0" t="0" r="0" b="0"/>
            <wp:docPr id="132"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6F18F23" wp14:editId="6C0CF36D">
            <wp:extent cx="237744" cy="228600"/>
            <wp:effectExtent l="0" t="0" r="0" b="0"/>
            <wp:docPr id="126"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47E381E7" wp14:editId="7DFB4492">
            <wp:extent cx="237744" cy="228600"/>
            <wp:effectExtent l="0" t="0" r="0" b="0"/>
            <wp:docPr id="119"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2B828416" wp14:editId="4911FAF6">
            <wp:extent cx="237744" cy="228600"/>
            <wp:effectExtent l="0" t="0" r="0" b="0"/>
            <wp:docPr id="121"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51D58755" wp14:editId="07B5AB2A">
            <wp:extent cx="237744" cy="228600"/>
            <wp:effectExtent l="0" t="0" r="0" b="0"/>
            <wp:docPr id="117"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5F741138" wp14:editId="02C57C92">
            <wp:extent cx="237744" cy="228600"/>
            <wp:effectExtent l="0" t="0" r="0" b="0"/>
            <wp:docPr id="118"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6D489DBD" wp14:editId="15D85E6A">
            <wp:extent cx="237744" cy="228600"/>
            <wp:effectExtent l="0" t="0" r="0" b="0"/>
            <wp:docPr id="115"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28AAD191" wp14:editId="3C365EF9">
            <wp:extent cx="237744" cy="228600"/>
            <wp:effectExtent l="0" t="0" r="0" b="0"/>
            <wp:docPr id="116"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0CE6523F" wp14:editId="7AEE01EA">
            <wp:extent cx="237744" cy="228600"/>
            <wp:effectExtent l="0" t="0" r="0" b="0"/>
            <wp:docPr id="158"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7CC75B5" wp14:editId="19CC526F">
            <wp:extent cx="237744" cy="228600"/>
            <wp:effectExtent l="0" t="0" r="0" b="0"/>
            <wp:docPr id="160"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4E833035" wp14:editId="19DD50D3">
            <wp:extent cx="237744" cy="228600"/>
            <wp:effectExtent l="0" t="0" r="0" b="0"/>
            <wp:docPr id="155"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5A7273E3" wp14:editId="73D49F02">
            <wp:extent cx="237744" cy="228600"/>
            <wp:effectExtent l="0" t="0" r="0" b="0"/>
            <wp:docPr id="157"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EE4FDDF" wp14:editId="71EC2E73">
            <wp:extent cx="237744" cy="228600"/>
            <wp:effectExtent l="0" t="0" r="0" b="0"/>
            <wp:docPr id="149"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0CBED4D6" wp14:editId="0FF7CE51">
            <wp:extent cx="237744" cy="228600"/>
            <wp:effectExtent l="0" t="0" r="0" b="0"/>
            <wp:docPr id="145"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0B2B239" wp14:editId="526C0268">
            <wp:extent cx="237744" cy="228600"/>
            <wp:effectExtent l="0" t="0" r="0" b="0"/>
            <wp:docPr id="147" name="image147.png"/>
            <wp:cNvGraphicFramePr/>
            <a:graphic xmlns:a="http://schemas.openxmlformats.org/drawingml/2006/main">
              <a:graphicData uri="http://schemas.openxmlformats.org/drawingml/2006/picture">
                <pic:pic xmlns:pic="http://schemas.openxmlformats.org/drawingml/2006/picture">
                  <pic:nvPicPr>
                    <pic:cNvPr id="0" name="image147.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4A5377C" wp14:editId="214E5283">
            <wp:extent cx="228600" cy="228600"/>
            <wp:effectExtent l="0" t="0" r="0" b="0"/>
            <wp:docPr id="143"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color w:val="000000"/>
          <w:sz w:val="27"/>
          <w:szCs w:val="27"/>
        </w:rPr>
        <w:t xml:space="preserve">BỘ GIÁO DỤC VÀ ĐÀO TẠO BỘ CÔNG THƯƠNG </w:t>
      </w:r>
      <w:r>
        <w:rPr>
          <w:noProof/>
        </w:rPr>
        <w:drawing>
          <wp:anchor distT="19050" distB="19050" distL="19050" distR="19050" simplePos="0" relativeHeight="251672576" behindDoc="0" locked="0" layoutInCell="1" hidden="0" allowOverlap="1" wp14:anchorId="54C0237C" wp14:editId="6A1E3937">
            <wp:simplePos x="0" y="0"/>
            <wp:positionH relativeFrom="column">
              <wp:posOffset>19050</wp:posOffset>
            </wp:positionH>
            <wp:positionV relativeFrom="paragraph">
              <wp:posOffset>247650</wp:posOffset>
            </wp:positionV>
            <wp:extent cx="228600" cy="228600"/>
            <wp:effectExtent l="0" t="0" r="0" b="0"/>
            <wp:wrapSquare wrapText="bothSides" distT="19050" distB="19050" distL="19050" distR="19050"/>
            <wp:docPr id="144"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r>
        <w:rPr>
          <w:noProof/>
        </w:rPr>
        <w:drawing>
          <wp:anchor distT="19050" distB="19050" distL="19050" distR="19050" simplePos="0" relativeHeight="251673600" behindDoc="0" locked="0" layoutInCell="1" hidden="0" allowOverlap="1" wp14:anchorId="2485E5C6" wp14:editId="3FCC9AE5">
            <wp:simplePos x="0" y="0"/>
            <wp:positionH relativeFrom="column">
              <wp:posOffset>5929122</wp:posOffset>
            </wp:positionH>
            <wp:positionV relativeFrom="paragraph">
              <wp:posOffset>247650</wp:posOffset>
            </wp:positionV>
            <wp:extent cx="228600" cy="228600"/>
            <wp:effectExtent l="0" t="0" r="0" b="0"/>
            <wp:wrapSquare wrapText="bothSides" distT="19050" distB="19050" distL="19050" distR="19050"/>
            <wp:docPr id="141"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p>
    <w:p w14:paraId="1D7A1CFF" w14:textId="77777777" w:rsidR="00F60F67" w:rsidRDefault="00000000">
      <w:pPr>
        <w:widowControl w:val="0"/>
        <w:pBdr>
          <w:top w:val="nil"/>
          <w:left w:val="nil"/>
          <w:bottom w:val="nil"/>
          <w:right w:val="nil"/>
          <w:between w:val="nil"/>
        </w:pBdr>
        <w:spacing w:before="204" w:line="214" w:lineRule="auto"/>
        <w:ind w:right="-5"/>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27"/>
          <w:szCs w:val="27"/>
        </w:rPr>
        <w:t xml:space="preserve">VIỆN NGHIÊN CỨU CHIẾN LƯỢC, CHÍNH SÁCH CÔNG THƯƠNG </w:t>
      </w:r>
      <w:r>
        <w:rPr>
          <w:rFonts w:ascii="Times New Roman" w:eastAsia="Times New Roman" w:hAnsi="Times New Roman" w:cs="Times New Roman"/>
          <w:b/>
          <w:bCs/>
          <w:noProof/>
          <w:color w:val="000000"/>
          <w:sz w:val="27"/>
          <w:szCs w:val="27"/>
        </w:rPr>
        <w:drawing>
          <wp:inline distT="19050" distB="19050" distL="19050" distR="19050" wp14:anchorId="275F2559" wp14:editId="08289F3A">
            <wp:extent cx="228600" cy="228600"/>
            <wp:effectExtent l="0" t="0" r="0" b="0"/>
            <wp:docPr id="142"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9712A05" wp14:editId="2565D344">
            <wp:extent cx="228600" cy="2286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4E669C30" wp14:editId="5182B806">
            <wp:extent cx="228600" cy="2286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EDAAF2D" wp14:editId="467F0187">
            <wp:extent cx="228600" cy="2286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16A6A05" wp14:editId="3A71EA5A">
            <wp:extent cx="228600" cy="2286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F3862CD" wp14:editId="71331FB9">
            <wp:extent cx="228600" cy="2286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5154E076" wp14:editId="4033EA35">
            <wp:extent cx="228600" cy="2286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22ACB6D7" wp14:editId="56EF29CD">
            <wp:extent cx="228600" cy="2286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0237331" wp14:editId="5B06F0D9">
            <wp:extent cx="228600" cy="228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4528AB3" wp14:editId="5D9FD502">
            <wp:extent cx="228600" cy="228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color w:val="000000"/>
          <w:sz w:val="32"/>
          <w:szCs w:val="32"/>
        </w:rPr>
        <w:t xml:space="preserve">BÙI NGUYỄN ANH TUẤN </w:t>
      </w:r>
      <w:r>
        <w:rPr>
          <w:noProof/>
        </w:rPr>
        <w:drawing>
          <wp:anchor distT="19050" distB="19050" distL="19050" distR="19050" simplePos="0" relativeHeight="251674624" behindDoc="0" locked="0" layoutInCell="1" hidden="0" allowOverlap="1" wp14:anchorId="57BBA1B7" wp14:editId="5437CA36">
            <wp:simplePos x="0" y="0"/>
            <wp:positionH relativeFrom="column">
              <wp:posOffset>19050</wp:posOffset>
            </wp:positionH>
            <wp:positionV relativeFrom="paragraph">
              <wp:posOffset>-81534</wp:posOffset>
            </wp:positionV>
            <wp:extent cx="228600" cy="228600"/>
            <wp:effectExtent l="0" t="0" r="0" b="0"/>
            <wp:wrapSquare wrapText="right"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r>
        <w:rPr>
          <w:noProof/>
        </w:rPr>
        <w:drawing>
          <wp:anchor distT="19050" distB="19050" distL="19050" distR="19050" simplePos="0" relativeHeight="251675648" behindDoc="0" locked="0" layoutInCell="1" hidden="0" allowOverlap="1" wp14:anchorId="7B55668F" wp14:editId="164C8033">
            <wp:simplePos x="0" y="0"/>
            <wp:positionH relativeFrom="column">
              <wp:posOffset>5929122</wp:posOffset>
            </wp:positionH>
            <wp:positionV relativeFrom="paragraph">
              <wp:posOffset>-81534</wp:posOffset>
            </wp:positionV>
            <wp:extent cx="228600" cy="228600"/>
            <wp:effectExtent l="0" t="0" r="0" b="0"/>
            <wp:wrapSquare wrapText="left" distT="19050" distB="19050" distL="19050" distR="190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r>
        <w:rPr>
          <w:noProof/>
        </w:rPr>
        <w:drawing>
          <wp:anchor distT="19050" distB="19050" distL="19050" distR="19050" simplePos="0" relativeHeight="251676672" behindDoc="0" locked="0" layoutInCell="1" hidden="0" allowOverlap="1" wp14:anchorId="0FDEEEEF" wp14:editId="76810875">
            <wp:simplePos x="0" y="0"/>
            <wp:positionH relativeFrom="column">
              <wp:posOffset>19050</wp:posOffset>
            </wp:positionH>
            <wp:positionV relativeFrom="paragraph">
              <wp:posOffset>1290065</wp:posOffset>
            </wp:positionV>
            <wp:extent cx="228600" cy="228600"/>
            <wp:effectExtent l="0" t="0" r="0" b="0"/>
            <wp:wrapSquare wrapText="right" distT="19050" distB="19050" distL="19050" distR="1905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r>
        <w:rPr>
          <w:noProof/>
        </w:rPr>
        <w:drawing>
          <wp:anchor distT="19050" distB="19050" distL="19050" distR="19050" simplePos="0" relativeHeight="251677696" behindDoc="0" locked="0" layoutInCell="1" hidden="0" allowOverlap="1" wp14:anchorId="4F2E7534" wp14:editId="445319BE">
            <wp:simplePos x="0" y="0"/>
            <wp:positionH relativeFrom="column">
              <wp:posOffset>5929122</wp:posOffset>
            </wp:positionH>
            <wp:positionV relativeFrom="paragraph">
              <wp:posOffset>1290065</wp:posOffset>
            </wp:positionV>
            <wp:extent cx="228600" cy="228600"/>
            <wp:effectExtent l="0" t="0" r="0" b="0"/>
            <wp:wrapSquare wrapText="left" distT="19050" distB="19050" distL="19050" distR="1905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p>
    <w:p w14:paraId="70B71FED" w14:textId="77777777" w:rsidR="00F60F67" w:rsidRDefault="00000000">
      <w:pPr>
        <w:widowControl w:val="0"/>
        <w:pBdr>
          <w:top w:val="nil"/>
          <w:left w:val="nil"/>
          <w:bottom w:val="nil"/>
          <w:right w:val="nil"/>
          <w:between w:val="nil"/>
        </w:pBdr>
        <w:spacing w:before="48" w:line="213" w:lineRule="auto"/>
        <w:ind w:right="-5"/>
        <w:jc w:val="center"/>
        <w:rPr>
          <w:rFonts w:ascii="Times New Roman" w:eastAsia="Times New Roman" w:hAnsi="Times New Roman" w:cs="Times New Roman"/>
          <w:color w:val="000000"/>
          <w:sz w:val="27"/>
          <w:szCs w:val="27"/>
        </w:rPr>
      </w:pPr>
      <w:r>
        <w:rPr>
          <w:rFonts w:ascii="Times New Roman" w:eastAsia="Times New Roman" w:hAnsi="Times New Roman" w:cs="Times New Roman"/>
          <w:b/>
          <w:bCs/>
          <w:noProof/>
          <w:color w:val="000000"/>
          <w:sz w:val="32"/>
          <w:szCs w:val="32"/>
        </w:rPr>
        <w:drawing>
          <wp:inline distT="19050" distB="19050" distL="19050" distR="19050" wp14:anchorId="430F5D4C" wp14:editId="3F7B0D31">
            <wp:extent cx="228600" cy="2286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32"/>
          <w:szCs w:val="32"/>
        </w:rPr>
        <w:drawing>
          <wp:inline distT="19050" distB="19050" distL="19050" distR="19050" wp14:anchorId="6EB5EFCF" wp14:editId="54BDBE53">
            <wp:extent cx="228600" cy="2286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32"/>
          <w:szCs w:val="32"/>
        </w:rPr>
        <w:drawing>
          <wp:inline distT="19050" distB="19050" distL="19050" distR="19050" wp14:anchorId="0E3B662C" wp14:editId="17CB6EAB">
            <wp:extent cx="228600" cy="22860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32"/>
          <w:szCs w:val="32"/>
        </w:rPr>
        <w:drawing>
          <wp:inline distT="19050" distB="19050" distL="19050" distR="19050" wp14:anchorId="726150F0" wp14:editId="1A6AF795">
            <wp:extent cx="228600" cy="2286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32"/>
          <w:szCs w:val="32"/>
        </w:rPr>
        <w:drawing>
          <wp:inline distT="19050" distB="19050" distL="19050" distR="19050" wp14:anchorId="14A8D44A" wp14:editId="2BE4E776">
            <wp:extent cx="228600" cy="2286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32"/>
          <w:szCs w:val="32"/>
        </w:rPr>
        <w:drawing>
          <wp:inline distT="19050" distB="19050" distL="19050" distR="19050" wp14:anchorId="079065C6" wp14:editId="499D107B">
            <wp:extent cx="228600" cy="2286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color w:val="000000"/>
          <w:sz w:val="36"/>
          <w:szCs w:val="36"/>
        </w:rPr>
        <w:t xml:space="preserve">QUẢN LÝ NHÀ NƯỚC VỀ TẬP TRUNG KINH TẾ </w:t>
      </w:r>
      <w:r>
        <w:rPr>
          <w:rFonts w:ascii="Times New Roman" w:eastAsia="Times New Roman" w:hAnsi="Times New Roman" w:cs="Times New Roman"/>
          <w:b/>
          <w:bCs/>
          <w:noProof/>
          <w:color w:val="000000"/>
          <w:sz w:val="36"/>
          <w:szCs w:val="36"/>
        </w:rPr>
        <w:drawing>
          <wp:inline distT="19050" distB="19050" distL="19050" distR="19050" wp14:anchorId="298E1753" wp14:editId="4B21A06C">
            <wp:extent cx="228600" cy="2286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64141DD5" wp14:editId="72C962F8">
            <wp:extent cx="228600" cy="2286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color w:val="000000"/>
          <w:sz w:val="36"/>
          <w:szCs w:val="36"/>
        </w:rPr>
        <w:t xml:space="preserve">TRONG LĨNH VỰC BÁN LẺ TẠI VIỆT NAM </w:t>
      </w:r>
      <w:r>
        <w:rPr>
          <w:rFonts w:ascii="Times New Roman" w:eastAsia="Times New Roman" w:hAnsi="Times New Roman" w:cs="Times New Roman"/>
          <w:b/>
          <w:bCs/>
          <w:noProof/>
          <w:color w:val="000000"/>
          <w:sz w:val="36"/>
          <w:szCs w:val="36"/>
        </w:rPr>
        <w:drawing>
          <wp:inline distT="19050" distB="19050" distL="19050" distR="19050" wp14:anchorId="32E6C832" wp14:editId="5A9AE2A1">
            <wp:extent cx="228600" cy="2286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02F52ABC" wp14:editId="12752586">
            <wp:extent cx="228600" cy="228600"/>
            <wp:effectExtent l="0" t="0" r="0" b="0"/>
            <wp:docPr id="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332D3424" wp14:editId="683604DE">
            <wp:extent cx="228600" cy="2286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7B65B6E6" wp14:editId="0826983C">
            <wp:extent cx="228600" cy="2286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color w:val="000000"/>
          <w:sz w:val="27"/>
          <w:szCs w:val="27"/>
        </w:rPr>
        <w:t xml:space="preserve">Ngành: Kinh doanh thương mại </w:t>
      </w:r>
      <w:r>
        <w:rPr>
          <w:noProof/>
        </w:rPr>
        <w:drawing>
          <wp:anchor distT="19050" distB="19050" distL="19050" distR="19050" simplePos="0" relativeHeight="251678720" behindDoc="0" locked="0" layoutInCell="1" hidden="0" allowOverlap="1" wp14:anchorId="4BAAE0E1" wp14:editId="75820295">
            <wp:simplePos x="0" y="0"/>
            <wp:positionH relativeFrom="column">
              <wp:posOffset>19050</wp:posOffset>
            </wp:positionH>
            <wp:positionV relativeFrom="paragraph">
              <wp:posOffset>704850</wp:posOffset>
            </wp:positionV>
            <wp:extent cx="228600" cy="228600"/>
            <wp:effectExtent l="0" t="0" r="0" b="0"/>
            <wp:wrapSquare wrapText="right" distT="19050" distB="19050" distL="19050" distR="1905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r>
        <w:rPr>
          <w:noProof/>
        </w:rPr>
        <w:drawing>
          <wp:anchor distT="19050" distB="19050" distL="19050" distR="19050" simplePos="0" relativeHeight="251679744" behindDoc="0" locked="0" layoutInCell="1" hidden="0" allowOverlap="1" wp14:anchorId="17AA0F15" wp14:editId="72116354">
            <wp:simplePos x="0" y="0"/>
            <wp:positionH relativeFrom="column">
              <wp:posOffset>5929122</wp:posOffset>
            </wp:positionH>
            <wp:positionV relativeFrom="paragraph">
              <wp:posOffset>704850</wp:posOffset>
            </wp:positionV>
            <wp:extent cx="228600" cy="228600"/>
            <wp:effectExtent l="0" t="0" r="0" b="0"/>
            <wp:wrapSquare wrapText="left" distT="19050" distB="19050" distL="19050" distR="1905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r>
        <w:rPr>
          <w:noProof/>
        </w:rPr>
        <w:drawing>
          <wp:anchor distT="19050" distB="19050" distL="19050" distR="19050" simplePos="0" relativeHeight="251680768" behindDoc="0" locked="0" layoutInCell="1" hidden="0" allowOverlap="1" wp14:anchorId="201C9164" wp14:editId="0302772F">
            <wp:simplePos x="0" y="0"/>
            <wp:positionH relativeFrom="column">
              <wp:posOffset>19050</wp:posOffset>
            </wp:positionH>
            <wp:positionV relativeFrom="paragraph">
              <wp:posOffset>1162050</wp:posOffset>
            </wp:positionV>
            <wp:extent cx="228600" cy="228600"/>
            <wp:effectExtent l="0" t="0" r="0" b="0"/>
            <wp:wrapSquare wrapText="right" distT="19050" distB="19050" distL="19050" distR="1905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r>
        <w:rPr>
          <w:noProof/>
        </w:rPr>
        <w:drawing>
          <wp:anchor distT="19050" distB="19050" distL="19050" distR="19050" simplePos="0" relativeHeight="251681792" behindDoc="0" locked="0" layoutInCell="1" hidden="0" allowOverlap="1" wp14:anchorId="10A2EEFD" wp14:editId="55B71A21">
            <wp:simplePos x="0" y="0"/>
            <wp:positionH relativeFrom="column">
              <wp:posOffset>5929122</wp:posOffset>
            </wp:positionH>
            <wp:positionV relativeFrom="paragraph">
              <wp:posOffset>1162050</wp:posOffset>
            </wp:positionV>
            <wp:extent cx="228600" cy="228600"/>
            <wp:effectExtent l="0" t="0" r="0" b="0"/>
            <wp:wrapSquare wrapText="left" distT="19050" distB="19050" distL="19050" distR="1905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r>
        <w:rPr>
          <w:noProof/>
        </w:rPr>
        <w:drawing>
          <wp:anchor distT="19050" distB="19050" distL="19050" distR="19050" simplePos="0" relativeHeight="251682816" behindDoc="0" locked="0" layoutInCell="1" hidden="0" allowOverlap="1" wp14:anchorId="6C7259FF" wp14:editId="79F38F0F">
            <wp:simplePos x="0" y="0"/>
            <wp:positionH relativeFrom="column">
              <wp:posOffset>19050</wp:posOffset>
            </wp:positionH>
            <wp:positionV relativeFrom="paragraph">
              <wp:posOffset>1847850</wp:posOffset>
            </wp:positionV>
            <wp:extent cx="228600" cy="228600"/>
            <wp:effectExtent l="0" t="0" r="0" b="0"/>
            <wp:wrapSquare wrapText="bothSides" distT="19050" distB="19050" distL="19050" distR="1905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r>
        <w:rPr>
          <w:noProof/>
        </w:rPr>
        <w:drawing>
          <wp:anchor distT="19050" distB="19050" distL="19050" distR="19050" simplePos="0" relativeHeight="251683840" behindDoc="0" locked="0" layoutInCell="1" hidden="0" allowOverlap="1" wp14:anchorId="0FC4235F" wp14:editId="728D9CCB">
            <wp:simplePos x="0" y="0"/>
            <wp:positionH relativeFrom="column">
              <wp:posOffset>5929122</wp:posOffset>
            </wp:positionH>
            <wp:positionV relativeFrom="paragraph">
              <wp:posOffset>1847850</wp:posOffset>
            </wp:positionV>
            <wp:extent cx="228600" cy="228600"/>
            <wp:effectExtent l="0" t="0" r="0" b="0"/>
            <wp:wrapSquare wrapText="bothSides" distT="19050" distB="19050" distL="19050" distR="1905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p>
    <w:p w14:paraId="3C50B744" w14:textId="77777777" w:rsidR="00F60F67" w:rsidRDefault="00000000">
      <w:pPr>
        <w:widowControl w:val="0"/>
        <w:pBdr>
          <w:top w:val="nil"/>
          <w:left w:val="nil"/>
          <w:bottom w:val="nil"/>
          <w:right w:val="nil"/>
          <w:between w:val="nil"/>
        </w:pBdr>
        <w:spacing w:before="172" w:line="240" w:lineRule="auto"/>
        <w:ind w:left="2006"/>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Mã số: 9.34.01.21 </w:t>
      </w:r>
      <w:r>
        <w:rPr>
          <w:noProof/>
        </w:rPr>
        <w:drawing>
          <wp:anchor distT="19050" distB="19050" distL="19050" distR="19050" simplePos="0" relativeHeight="251684864" behindDoc="0" locked="0" layoutInCell="1" hidden="0" allowOverlap="1" wp14:anchorId="3DC51B2C" wp14:editId="4DB0318A">
            <wp:simplePos x="0" y="0"/>
            <wp:positionH relativeFrom="column">
              <wp:posOffset>19050</wp:posOffset>
            </wp:positionH>
            <wp:positionV relativeFrom="paragraph">
              <wp:posOffset>-60197</wp:posOffset>
            </wp:positionV>
            <wp:extent cx="228600" cy="228600"/>
            <wp:effectExtent l="0" t="0" r="0" b="0"/>
            <wp:wrapSquare wrapText="right" distT="19050" distB="19050" distL="19050" distR="1905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r>
        <w:rPr>
          <w:noProof/>
        </w:rPr>
        <w:drawing>
          <wp:anchor distT="19050" distB="19050" distL="19050" distR="19050" simplePos="0" relativeHeight="251685888" behindDoc="0" locked="0" layoutInCell="1" hidden="0" allowOverlap="1" wp14:anchorId="7B694AB4" wp14:editId="1163D7DA">
            <wp:simplePos x="0" y="0"/>
            <wp:positionH relativeFrom="column">
              <wp:posOffset>4655100</wp:posOffset>
            </wp:positionH>
            <wp:positionV relativeFrom="paragraph">
              <wp:posOffset>-60197</wp:posOffset>
            </wp:positionV>
            <wp:extent cx="228600" cy="228600"/>
            <wp:effectExtent l="0" t="0" r="0" b="0"/>
            <wp:wrapSquare wrapText="left" distT="19050" distB="19050" distL="19050" distR="1905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p>
    <w:p w14:paraId="7F938264" w14:textId="77777777" w:rsidR="00F60F67" w:rsidRDefault="00000000">
      <w:pPr>
        <w:widowControl w:val="0"/>
        <w:pBdr>
          <w:top w:val="nil"/>
          <w:left w:val="nil"/>
          <w:bottom w:val="nil"/>
          <w:right w:val="nil"/>
          <w:between w:val="nil"/>
        </w:pBdr>
        <w:spacing w:line="223" w:lineRule="auto"/>
        <w:ind w:right="-5"/>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noProof/>
          <w:color w:val="000000"/>
          <w:sz w:val="27"/>
          <w:szCs w:val="27"/>
        </w:rPr>
        <w:drawing>
          <wp:inline distT="19050" distB="19050" distL="19050" distR="19050" wp14:anchorId="3E5C6E6F" wp14:editId="7B05608D">
            <wp:extent cx="228600" cy="228600"/>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noProof/>
          <w:color w:val="000000"/>
          <w:sz w:val="27"/>
          <w:szCs w:val="27"/>
        </w:rPr>
        <w:drawing>
          <wp:inline distT="19050" distB="19050" distL="19050" distR="19050" wp14:anchorId="18560553" wp14:editId="3716FD9F">
            <wp:extent cx="228600" cy="228600"/>
            <wp:effectExtent l="0" t="0" r="0" b="0"/>
            <wp:docPr id="4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noProof/>
          <w:color w:val="000000"/>
          <w:sz w:val="27"/>
          <w:szCs w:val="27"/>
        </w:rPr>
        <w:drawing>
          <wp:inline distT="19050" distB="19050" distL="19050" distR="19050" wp14:anchorId="080C86A5" wp14:editId="63961F29">
            <wp:extent cx="228600" cy="2286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noProof/>
          <w:color w:val="000000"/>
          <w:sz w:val="27"/>
          <w:szCs w:val="27"/>
        </w:rPr>
        <w:drawing>
          <wp:inline distT="19050" distB="19050" distL="19050" distR="19050" wp14:anchorId="11366314" wp14:editId="6E83C16B">
            <wp:extent cx="228600" cy="228600"/>
            <wp:effectExtent l="0" t="0" r="0" b="0"/>
            <wp:docPr id="5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noProof/>
          <w:color w:val="000000"/>
          <w:sz w:val="27"/>
          <w:szCs w:val="27"/>
        </w:rPr>
        <w:drawing>
          <wp:inline distT="19050" distB="19050" distL="19050" distR="19050" wp14:anchorId="4FA006D4" wp14:editId="4932CEA7">
            <wp:extent cx="228600" cy="228600"/>
            <wp:effectExtent l="0" t="0" r="0" b="0"/>
            <wp:docPr id="5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noProof/>
          <w:color w:val="000000"/>
          <w:sz w:val="27"/>
          <w:szCs w:val="27"/>
        </w:rPr>
        <w:drawing>
          <wp:inline distT="19050" distB="19050" distL="19050" distR="19050" wp14:anchorId="3D2EBC21" wp14:editId="44F40133">
            <wp:extent cx="228600" cy="228600"/>
            <wp:effectExtent l="0" t="0" r="0" b="0"/>
            <wp:docPr id="5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color w:val="000000"/>
          <w:sz w:val="36"/>
          <w:szCs w:val="36"/>
        </w:rPr>
        <w:t xml:space="preserve">LUẬN ÁN TIẾN SĨ KINH TẾ </w:t>
      </w:r>
      <w:r>
        <w:rPr>
          <w:noProof/>
        </w:rPr>
        <w:drawing>
          <wp:anchor distT="19050" distB="19050" distL="19050" distR="19050" simplePos="0" relativeHeight="251686912" behindDoc="0" locked="0" layoutInCell="1" hidden="0" allowOverlap="1" wp14:anchorId="5FDED8BE" wp14:editId="032DDB5A">
            <wp:simplePos x="0" y="0"/>
            <wp:positionH relativeFrom="column">
              <wp:posOffset>19050</wp:posOffset>
            </wp:positionH>
            <wp:positionV relativeFrom="paragraph">
              <wp:posOffset>704850</wp:posOffset>
            </wp:positionV>
            <wp:extent cx="228600" cy="228600"/>
            <wp:effectExtent l="0" t="0" r="0" b="0"/>
            <wp:wrapSquare wrapText="right" distT="19050" distB="19050" distL="19050" distR="1905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r>
        <w:rPr>
          <w:noProof/>
        </w:rPr>
        <w:drawing>
          <wp:anchor distT="19050" distB="19050" distL="19050" distR="19050" simplePos="0" relativeHeight="251687936" behindDoc="0" locked="0" layoutInCell="1" hidden="0" allowOverlap="1" wp14:anchorId="1144B582" wp14:editId="13F3FD58">
            <wp:simplePos x="0" y="0"/>
            <wp:positionH relativeFrom="column">
              <wp:posOffset>5929122</wp:posOffset>
            </wp:positionH>
            <wp:positionV relativeFrom="paragraph">
              <wp:posOffset>704850</wp:posOffset>
            </wp:positionV>
            <wp:extent cx="228600" cy="228600"/>
            <wp:effectExtent l="0" t="0" r="0" b="0"/>
            <wp:wrapSquare wrapText="left" distT="19050" distB="19050" distL="19050" distR="1905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p>
    <w:p w14:paraId="58FE3C99" w14:textId="77777777" w:rsidR="00F60F67" w:rsidRDefault="00000000">
      <w:pPr>
        <w:widowControl w:val="0"/>
        <w:pBdr>
          <w:top w:val="nil"/>
          <w:left w:val="nil"/>
          <w:bottom w:val="nil"/>
          <w:right w:val="nil"/>
          <w:between w:val="nil"/>
        </w:pBdr>
        <w:spacing w:line="211" w:lineRule="auto"/>
        <w:ind w:right="-5"/>
        <w:jc w:val="center"/>
        <w:rPr>
          <w:rFonts w:ascii="Times New Roman" w:eastAsia="Times New Roman" w:hAnsi="Times New Roman" w:cs="Times New Roman"/>
          <w:b/>
          <w:bCs/>
          <w:i/>
          <w:iCs/>
          <w:color w:val="000000"/>
          <w:sz w:val="27"/>
          <w:szCs w:val="27"/>
        </w:rPr>
      </w:pPr>
      <w:r>
        <w:rPr>
          <w:rFonts w:ascii="Times New Roman" w:eastAsia="Times New Roman" w:hAnsi="Times New Roman" w:cs="Times New Roman"/>
          <w:b/>
          <w:bCs/>
          <w:noProof/>
          <w:color w:val="000000"/>
          <w:sz w:val="36"/>
          <w:szCs w:val="36"/>
        </w:rPr>
        <w:drawing>
          <wp:inline distT="19050" distB="19050" distL="19050" distR="19050" wp14:anchorId="124ADD88" wp14:editId="5D216599">
            <wp:extent cx="228600" cy="228600"/>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65438B73" wp14:editId="6B49B80E">
            <wp:extent cx="228600" cy="228600"/>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0626E5E7" wp14:editId="1D4E894A">
            <wp:extent cx="228600" cy="228600"/>
            <wp:effectExtent l="0" t="0" r="0" b="0"/>
            <wp:docPr id="162"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68F5A277" wp14:editId="32668D1E">
            <wp:extent cx="228600" cy="228600"/>
            <wp:effectExtent l="0" t="0" r="0" b="0"/>
            <wp:docPr id="188" name="image188.png"/>
            <wp:cNvGraphicFramePr/>
            <a:graphic xmlns:a="http://schemas.openxmlformats.org/drawingml/2006/main">
              <a:graphicData uri="http://schemas.openxmlformats.org/drawingml/2006/picture">
                <pic:pic xmlns:pic="http://schemas.openxmlformats.org/drawingml/2006/picture">
                  <pic:nvPicPr>
                    <pic:cNvPr id="0" name="image188.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2340823B" wp14:editId="7CD0CC19">
            <wp:extent cx="228600" cy="228600"/>
            <wp:effectExtent l="0" t="0" r="0" b="0"/>
            <wp:docPr id="190"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7132E3E6" wp14:editId="485DE278">
            <wp:extent cx="228600" cy="228600"/>
            <wp:effectExtent l="0" t="0" r="0" b="0"/>
            <wp:docPr id="184"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54C5EF6F" wp14:editId="487F46FF">
            <wp:extent cx="228600" cy="228600"/>
            <wp:effectExtent l="0" t="0" r="0" b="0"/>
            <wp:docPr id="186" name="image186.png"/>
            <wp:cNvGraphicFramePr/>
            <a:graphic xmlns:a="http://schemas.openxmlformats.org/drawingml/2006/main">
              <a:graphicData uri="http://schemas.openxmlformats.org/drawingml/2006/picture">
                <pic:pic xmlns:pic="http://schemas.openxmlformats.org/drawingml/2006/picture">
                  <pic:nvPicPr>
                    <pic:cNvPr id="0" name="image186.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36"/>
          <w:szCs w:val="36"/>
        </w:rPr>
        <w:drawing>
          <wp:inline distT="19050" distB="19050" distL="19050" distR="19050" wp14:anchorId="55D37E06" wp14:editId="2D96A0C5">
            <wp:extent cx="228600" cy="228600"/>
            <wp:effectExtent l="0" t="0" r="0" b="0"/>
            <wp:docPr id="180"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i/>
          <w:iCs/>
          <w:color w:val="000000"/>
          <w:sz w:val="27"/>
          <w:szCs w:val="27"/>
        </w:rPr>
        <w:t xml:space="preserve">Người hướng dẫn khoa học: </w:t>
      </w:r>
      <w:r>
        <w:rPr>
          <w:noProof/>
        </w:rPr>
        <w:drawing>
          <wp:anchor distT="19050" distB="19050" distL="19050" distR="19050" simplePos="0" relativeHeight="251688960" behindDoc="0" locked="0" layoutInCell="1" hidden="0" allowOverlap="1" wp14:anchorId="06A27153" wp14:editId="20E222C5">
            <wp:simplePos x="0" y="0"/>
            <wp:positionH relativeFrom="column">
              <wp:posOffset>19050</wp:posOffset>
            </wp:positionH>
            <wp:positionV relativeFrom="paragraph">
              <wp:posOffset>933450</wp:posOffset>
            </wp:positionV>
            <wp:extent cx="228600" cy="228600"/>
            <wp:effectExtent l="0" t="0" r="0" b="0"/>
            <wp:wrapSquare wrapText="bothSides" distT="19050" distB="19050" distL="19050" distR="19050"/>
            <wp:docPr id="182" name="image182.png"/>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r>
        <w:rPr>
          <w:noProof/>
        </w:rPr>
        <w:drawing>
          <wp:anchor distT="19050" distB="19050" distL="19050" distR="19050" simplePos="0" relativeHeight="251689984" behindDoc="0" locked="0" layoutInCell="1" hidden="0" allowOverlap="1" wp14:anchorId="1E5C9A16" wp14:editId="61901282">
            <wp:simplePos x="0" y="0"/>
            <wp:positionH relativeFrom="column">
              <wp:posOffset>5929122</wp:posOffset>
            </wp:positionH>
            <wp:positionV relativeFrom="paragraph">
              <wp:posOffset>933450</wp:posOffset>
            </wp:positionV>
            <wp:extent cx="228600" cy="228600"/>
            <wp:effectExtent l="0" t="0" r="0" b="0"/>
            <wp:wrapSquare wrapText="bothSides" distT="19050" distB="19050" distL="19050" distR="19050"/>
            <wp:docPr id="176"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p>
    <w:p w14:paraId="2C67A69B" w14:textId="77777777" w:rsidR="00F60F67" w:rsidRDefault="00000000">
      <w:pPr>
        <w:widowControl w:val="0"/>
        <w:pBdr>
          <w:top w:val="nil"/>
          <w:left w:val="nil"/>
          <w:bottom w:val="nil"/>
          <w:right w:val="nil"/>
          <w:between w:val="nil"/>
        </w:pBdr>
        <w:spacing w:before="95" w:line="293" w:lineRule="auto"/>
        <w:ind w:right="-5"/>
        <w:jc w:val="center"/>
        <w:rPr>
          <w:rFonts w:ascii="Times New Roman" w:eastAsia="Times New Roman" w:hAnsi="Times New Roman" w:cs="Times New Roman"/>
          <w:b/>
          <w:bCs/>
          <w:color w:val="000000"/>
          <w:sz w:val="27"/>
          <w:szCs w:val="27"/>
        </w:rPr>
      </w:pPr>
      <w:r>
        <w:rPr>
          <w:rFonts w:ascii="Times New Roman" w:eastAsia="Times New Roman" w:hAnsi="Times New Roman" w:cs="Times New Roman"/>
          <w:b/>
          <w:bCs/>
          <w:i/>
          <w:iCs/>
          <w:noProof/>
          <w:color w:val="000000"/>
          <w:sz w:val="27"/>
          <w:szCs w:val="27"/>
        </w:rPr>
        <w:drawing>
          <wp:inline distT="19050" distB="19050" distL="19050" distR="19050" wp14:anchorId="6F23013B" wp14:editId="2CF325E0">
            <wp:extent cx="228600" cy="228600"/>
            <wp:effectExtent l="0" t="0" r="0" b="0"/>
            <wp:docPr id="178" name="image178.png"/>
            <wp:cNvGraphicFramePr/>
            <a:graphic xmlns:a="http://schemas.openxmlformats.org/drawingml/2006/main">
              <a:graphicData uri="http://schemas.openxmlformats.org/drawingml/2006/picture">
                <pic:pic xmlns:pic="http://schemas.openxmlformats.org/drawingml/2006/picture">
                  <pic:nvPicPr>
                    <pic:cNvPr id="0" name="image178.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color w:val="000000"/>
          <w:sz w:val="27"/>
          <w:szCs w:val="27"/>
        </w:rPr>
        <w:t xml:space="preserve">1. PGS.TS Trần Thị Thu Phương </w:t>
      </w:r>
      <w:r>
        <w:rPr>
          <w:rFonts w:ascii="Times New Roman" w:eastAsia="Times New Roman" w:hAnsi="Times New Roman" w:cs="Times New Roman"/>
          <w:b/>
          <w:bCs/>
          <w:noProof/>
          <w:color w:val="000000"/>
          <w:sz w:val="27"/>
          <w:szCs w:val="27"/>
        </w:rPr>
        <w:drawing>
          <wp:inline distT="19050" distB="19050" distL="19050" distR="19050" wp14:anchorId="0700DC84" wp14:editId="47187B23">
            <wp:extent cx="228600" cy="228600"/>
            <wp:effectExtent l="0" t="0" r="0" b="0"/>
            <wp:docPr id="193" name="image193.png"/>
            <wp:cNvGraphicFramePr/>
            <a:graphic xmlns:a="http://schemas.openxmlformats.org/drawingml/2006/main">
              <a:graphicData uri="http://schemas.openxmlformats.org/drawingml/2006/picture">
                <pic:pic xmlns:pic="http://schemas.openxmlformats.org/drawingml/2006/picture">
                  <pic:nvPicPr>
                    <pic:cNvPr id="0" name="image193.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color w:val="000000"/>
          <w:sz w:val="27"/>
          <w:szCs w:val="27"/>
        </w:rPr>
        <w:t xml:space="preserve">2. TS. Nguyễn Văn Hội </w:t>
      </w:r>
      <w:r>
        <w:rPr>
          <w:noProof/>
        </w:rPr>
        <w:drawing>
          <wp:anchor distT="19050" distB="19050" distL="19050" distR="19050" simplePos="0" relativeHeight="251691008" behindDoc="0" locked="0" layoutInCell="1" hidden="0" allowOverlap="1" wp14:anchorId="1138B6A0" wp14:editId="47C2C17C">
            <wp:simplePos x="0" y="0"/>
            <wp:positionH relativeFrom="column">
              <wp:posOffset>19050</wp:posOffset>
            </wp:positionH>
            <wp:positionV relativeFrom="paragraph">
              <wp:posOffset>247650</wp:posOffset>
            </wp:positionV>
            <wp:extent cx="228600" cy="228600"/>
            <wp:effectExtent l="0" t="0" r="0" b="0"/>
            <wp:wrapSquare wrapText="right" distT="19050" distB="19050" distL="19050" distR="19050"/>
            <wp:docPr id="173"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r>
        <w:rPr>
          <w:noProof/>
        </w:rPr>
        <w:drawing>
          <wp:anchor distT="19050" distB="19050" distL="19050" distR="19050" simplePos="0" relativeHeight="251692032" behindDoc="0" locked="0" layoutInCell="1" hidden="0" allowOverlap="1" wp14:anchorId="15859614" wp14:editId="40DB438C">
            <wp:simplePos x="0" y="0"/>
            <wp:positionH relativeFrom="column">
              <wp:posOffset>5929122</wp:posOffset>
            </wp:positionH>
            <wp:positionV relativeFrom="paragraph">
              <wp:posOffset>247650</wp:posOffset>
            </wp:positionV>
            <wp:extent cx="228600" cy="228600"/>
            <wp:effectExtent l="0" t="0" r="0" b="0"/>
            <wp:wrapSquare wrapText="left" distT="19050" distB="19050" distL="19050" distR="19050"/>
            <wp:docPr id="174"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p>
    <w:p w14:paraId="1F6F46CD" w14:textId="77777777" w:rsidR="00F60F67" w:rsidRDefault="00000000">
      <w:pPr>
        <w:widowControl w:val="0"/>
        <w:pBdr>
          <w:top w:val="nil"/>
          <w:left w:val="nil"/>
          <w:bottom w:val="nil"/>
          <w:right w:val="nil"/>
          <w:between w:val="nil"/>
        </w:pBdr>
        <w:spacing w:line="201" w:lineRule="auto"/>
        <w:ind w:right="-5"/>
        <w:jc w:val="center"/>
        <w:rPr>
          <w:rFonts w:ascii="Times New Roman" w:eastAsia="Times New Roman" w:hAnsi="Times New Roman" w:cs="Times New Roman"/>
          <w:b/>
          <w:bCs/>
          <w:color w:val="000000"/>
          <w:sz w:val="27"/>
          <w:szCs w:val="27"/>
        </w:rPr>
      </w:pPr>
      <w:r>
        <w:rPr>
          <w:rFonts w:ascii="Times New Roman" w:eastAsia="Times New Roman" w:hAnsi="Times New Roman" w:cs="Times New Roman"/>
          <w:b/>
          <w:bCs/>
          <w:noProof/>
          <w:color w:val="000000"/>
          <w:sz w:val="27"/>
          <w:szCs w:val="27"/>
        </w:rPr>
        <w:drawing>
          <wp:inline distT="19050" distB="19050" distL="19050" distR="19050" wp14:anchorId="36BB3A3C" wp14:editId="47B5EA9C">
            <wp:extent cx="228600" cy="228600"/>
            <wp:effectExtent l="0" t="0" r="0" b="0"/>
            <wp:docPr id="210" name="image210.png"/>
            <wp:cNvGraphicFramePr/>
            <a:graphic xmlns:a="http://schemas.openxmlformats.org/drawingml/2006/main">
              <a:graphicData uri="http://schemas.openxmlformats.org/drawingml/2006/picture">
                <pic:pic xmlns:pic="http://schemas.openxmlformats.org/drawingml/2006/picture">
                  <pic:nvPicPr>
                    <pic:cNvPr id="0" name="image210.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28F64235" wp14:editId="0A56B570">
            <wp:extent cx="228600" cy="228600"/>
            <wp:effectExtent l="0" t="0" r="0" b="0"/>
            <wp:docPr id="212" name="image212.png"/>
            <wp:cNvGraphicFramePr/>
            <a:graphic xmlns:a="http://schemas.openxmlformats.org/drawingml/2006/main">
              <a:graphicData uri="http://schemas.openxmlformats.org/drawingml/2006/picture">
                <pic:pic xmlns:pic="http://schemas.openxmlformats.org/drawingml/2006/picture">
                  <pic:nvPicPr>
                    <pic:cNvPr id="0" name="image212.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B7B366C" wp14:editId="00E39193">
            <wp:extent cx="228600" cy="228600"/>
            <wp:effectExtent l="0" t="0" r="0" b="0"/>
            <wp:docPr id="206" name="image206.png"/>
            <wp:cNvGraphicFramePr/>
            <a:graphic xmlns:a="http://schemas.openxmlformats.org/drawingml/2006/main">
              <a:graphicData uri="http://schemas.openxmlformats.org/drawingml/2006/picture">
                <pic:pic xmlns:pic="http://schemas.openxmlformats.org/drawingml/2006/picture">
                  <pic:nvPicPr>
                    <pic:cNvPr id="0" name="image206.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5545AB1" wp14:editId="00280B2D">
            <wp:extent cx="228600" cy="228600"/>
            <wp:effectExtent l="0" t="0" r="0" b="0"/>
            <wp:docPr id="208" name="image208.png"/>
            <wp:cNvGraphicFramePr/>
            <a:graphic xmlns:a="http://schemas.openxmlformats.org/drawingml/2006/main">
              <a:graphicData uri="http://schemas.openxmlformats.org/drawingml/2006/picture">
                <pic:pic xmlns:pic="http://schemas.openxmlformats.org/drawingml/2006/picture">
                  <pic:nvPicPr>
                    <pic:cNvPr id="0" name="image208.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B417848" wp14:editId="39B02375">
            <wp:extent cx="228600" cy="228600"/>
            <wp:effectExtent l="0" t="0" r="0" b="0"/>
            <wp:docPr id="203" name="image203.png"/>
            <wp:cNvGraphicFramePr/>
            <a:graphic xmlns:a="http://schemas.openxmlformats.org/drawingml/2006/main">
              <a:graphicData uri="http://schemas.openxmlformats.org/drawingml/2006/picture">
                <pic:pic xmlns:pic="http://schemas.openxmlformats.org/drawingml/2006/picture">
                  <pic:nvPicPr>
                    <pic:cNvPr id="0" name="image203.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54D200D" wp14:editId="6AD35B1A">
            <wp:extent cx="228600" cy="228600"/>
            <wp:effectExtent l="0" t="0" r="0" b="0"/>
            <wp:docPr id="204" name="image204.png"/>
            <wp:cNvGraphicFramePr/>
            <a:graphic xmlns:a="http://schemas.openxmlformats.org/drawingml/2006/main">
              <a:graphicData uri="http://schemas.openxmlformats.org/drawingml/2006/picture">
                <pic:pic xmlns:pic="http://schemas.openxmlformats.org/drawingml/2006/picture">
                  <pic:nvPicPr>
                    <pic:cNvPr id="0" name="image204.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495AE01E" wp14:editId="3E54B97D">
            <wp:extent cx="228600" cy="228600"/>
            <wp:effectExtent l="0" t="0" r="0" b="0"/>
            <wp:docPr id="200"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535CBB0A" wp14:editId="2780452D">
            <wp:extent cx="228600" cy="228600"/>
            <wp:effectExtent l="0" t="0" r="0" b="0"/>
            <wp:docPr id="202" name="image202.png"/>
            <wp:cNvGraphicFramePr/>
            <a:graphic xmlns:a="http://schemas.openxmlformats.org/drawingml/2006/main">
              <a:graphicData uri="http://schemas.openxmlformats.org/drawingml/2006/picture">
                <pic:pic xmlns:pic="http://schemas.openxmlformats.org/drawingml/2006/picture">
                  <pic:nvPicPr>
                    <pic:cNvPr id="0" name="image202.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7EEAA151" wp14:editId="0A3B95B1">
            <wp:extent cx="228600" cy="228600"/>
            <wp:effectExtent l="0" t="0" r="0" b="0"/>
            <wp:docPr id="198" name="image198.png"/>
            <wp:cNvGraphicFramePr/>
            <a:graphic xmlns:a="http://schemas.openxmlformats.org/drawingml/2006/main">
              <a:graphicData uri="http://schemas.openxmlformats.org/drawingml/2006/picture">
                <pic:pic xmlns:pic="http://schemas.openxmlformats.org/drawingml/2006/picture">
                  <pic:nvPicPr>
                    <pic:cNvPr id="0" name="image198.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2AEA651E" wp14:editId="7D36041D">
            <wp:extent cx="228600" cy="228600"/>
            <wp:effectExtent l="0" t="0" r="0" b="0"/>
            <wp:docPr id="195" name="image195.png"/>
            <wp:cNvGraphicFramePr/>
            <a:graphic xmlns:a="http://schemas.openxmlformats.org/drawingml/2006/main">
              <a:graphicData uri="http://schemas.openxmlformats.org/drawingml/2006/picture">
                <pic:pic xmlns:pic="http://schemas.openxmlformats.org/drawingml/2006/picture">
                  <pic:nvPicPr>
                    <pic:cNvPr id="0" name="image195.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C48D309" wp14:editId="30D4B58B">
            <wp:extent cx="228600" cy="228600"/>
            <wp:effectExtent l="0" t="0" r="0" b="0"/>
            <wp:docPr id="197" name="image197.png"/>
            <wp:cNvGraphicFramePr/>
            <a:graphic xmlns:a="http://schemas.openxmlformats.org/drawingml/2006/main">
              <a:graphicData uri="http://schemas.openxmlformats.org/drawingml/2006/picture">
                <pic:pic xmlns:pic="http://schemas.openxmlformats.org/drawingml/2006/picture">
                  <pic:nvPicPr>
                    <pic:cNvPr id="0" name="image197.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6B4574F4" wp14:editId="62A49E36">
            <wp:extent cx="228600" cy="228600"/>
            <wp:effectExtent l="0" t="0" r="0" b="0"/>
            <wp:docPr id="231" name="image231.png"/>
            <wp:cNvGraphicFramePr/>
            <a:graphic xmlns:a="http://schemas.openxmlformats.org/drawingml/2006/main">
              <a:graphicData uri="http://schemas.openxmlformats.org/drawingml/2006/picture">
                <pic:pic xmlns:pic="http://schemas.openxmlformats.org/drawingml/2006/picture">
                  <pic:nvPicPr>
                    <pic:cNvPr id="0" name="image231.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60567B45" wp14:editId="70C3F75B">
            <wp:extent cx="228600" cy="228600"/>
            <wp:effectExtent l="0" t="0" r="0" b="0"/>
            <wp:docPr id="233" name="image233.png"/>
            <wp:cNvGraphicFramePr/>
            <a:graphic xmlns:a="http://schemas.openxmlformats.org/drawingml/2006/main">
              <a:graphicData uri="http://schemas.openxmlformats.org/drawingml/2006/picture">
                <pic:pic xmlns:pic="http://schemas.openxmlformats.org/drawingml/2006/picture">
                  <pic:nvPicPr>
                    <pic:cNvPr id="0" name="image233.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28F5507A" wp14:editId="661D19E1">
            <wp:extent cx="228600" cy="228600"/>
            <wp:effectExtent l="0" t="0" r="0" b="0"/>
            <wp:docPr id="227" name="image227.png"/>
            <wp:cNvGraphicFramePr/>
            <a:graphic xmlns:a="http://schemas.openxmlformats.org/drawingml/2006/main">
              <a:graphicData uri="http://schemas.openxmlformats.org/drawingml/2006/picture">
                <pic:pic xmlns:pic="http://schemas.openxmlformats.org/drawingml/2006/picture">
                  <pic:nvPicPr>
                    <pic:cNvPr id="0" name="image227.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0576CA79" wp14:editId="39422F7E">
            <wp:extent cx="228600" cy="228600"/>
            <wp:effectExtent l="0" t="0" r="0" b="0"/>
            <wp:docPr id="229" name="image229.png"/>
            <wp:cNvGraphicFramePr/>
            <a:graphic xmlns:a="http://schemas.openxmlformats.org/drawingml/2006/main">
              <a:graphicData uri="http://schemas.openxmlformats.org/drawingml/2006/picture">
                <pic:pic xmlns:pic="http://schemas.openxmlformats.org/drawingml/2006/picture">
                  <pic:nvPicPr>
                    <pic:cNvPr id="0" name="image229.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B24BCB5" wp14:editId="0B682D9F">
            <wp:extent cx="228600" cy="228600"/>
            <wp:effectExtent l="0" t="0" r="0" b="0"/>
            <wp:docPr id="224" name="image224.png"/>
            <wp:cNvGraphicFramePr/>
            <a:graphic xmlns:a="http://schemas.openxmlformats.org/drawingml/2006/main">
              <a:graphicData uri="http://schemas.openxmlformats.org/drawingml/2006/picture">
                <pic:pic xmlns:pic="http://schemas.openxmlformats.org/drawingml/2006/picture">
                  <pic:nvPicPr>
                    <pic:cNvPr id="0" name="image224.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color w:val="000000"/>
          <w:sz w:val="27"/>
          <w:szCs w:val="27"/>
        </w:rPr>
        <w:t>HÀ NỘI, 2025</w:t>
      </w:r>
      <w:r>
        <w:rPr>
          <w:noProof/>
        </w:rPr>
        <w:drawing>
          <wp:anchor distT="19050" distB="19050" distL="19050" distR="19050" simplePos="0" relativeHeight="251693056" behindDoc="0" locked="0" layoutInCell="1" hidden="0" allowOverlap="1" wp14:anchorId="36AAD347" wp14:editId="52780C34">
            <wp:simplePos x="0" y="0"/>
            <wp:positionH relativeFrom="column">
              <wp:posOffset>19050</wp:posOffset>
            </wp:positionH>
            <wp:positionV relativeFrom="paragraph">
              <wp:posOffset>1847850</wp:posOffset>
            </wp:positionV>
            <wp:extent cx="228600" cy="228600"/>
            <wp:effectExtent l="0" t="0" r="0" b="0"/>
            <wp:wrapSquare wrapText="right" distT="19050" distB="19050" distL="19050" distR="19050"/>
            <wp:docPr id="226" name="image226.png"/>
            <wp:cNvGraphicFramePr/>
            <a:graphic xmlns:a="http://schemas.openxmlformats.org/drawingml/2006/main">
              <a:graphicData uri="http://schemas.openxmlformats.org/drawingml/2006/picture">
                <pic:pic xmlns:pic="http://schemas.openxmlformats.org/drawingml/2006/picture">
                  <pic:nvPicPr>
                    <pic:cNvPr id="0" name="image226.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r>
        <w:rPr>
          <w:noProof/>
        </w:rPr>
        <w:drawing>
          <wp:anchor distT="19050" distB="19050" distL="19050" distR="19050" simplePos="0" relativeHeight="251694080" behindDoc="0" locked="0" layoutInCell="1" hidden="0" allowOverlap="1" wp14:anchorId="627916AF" wp14:editId="5A6811B6">
            <wp:simplePos x="0" y="0"/>
            <wp:positionH relativeFrom="column">
              <wp:posOffset>5929122</wp:posOffset>
            </wp:positionH>
            <wp:positionV relativeFrom="paragraph">
              <wp:posOffset>1847850</wp:posOffset>
            </wp:positionV>
            <wp:extent cx="228600" cy="228600"/>
            <wp:effectExtent l="0" t="0" r="0" b="0"/>
            <wp:wrapSquare wrapText="left" distT="19050" distB="19050" distL="19050" distR="19050"/>
            <wp:docPr id="222" name="image222.png"/>
            <wp:cNvGraphicFramePr/>
            <a:graphic xmlns:a="http://schemas.openxmlformats.org/drawingml/2006/main">
              <a:graphicData uri="http://schemas.openxmlformats.org/drawingml/2006/picture">
                <pic:pic xmlns:pic="http://schemas.openxmlformats.org/drawingml/2006/picture">
                  <pic:nvPicPr>
                    <pic:cNvPr id="0" name="image222.png"/>
                    <pic:cNvPicPr preferRelativeResize="0"/>
                  </pic:nvPicPr>
                  <pic:blipFill>
                    <a:blip r:embed="rId5"/>
                    <a:srcRect/>
                    <a:stretch>
                      <a:fillRect/>
                    </a:stretch>
                  </pic:blipFill>
                  <pic:spPr>
                    <a:xfrm>
                      <a:off x="0" y="0"/>
                      <a:ext cx="228600" cy="228600"/>
                    </a:xfrm>
                    <a:prstGeom prst="rect">
                      <a:avLst/>
                    </a:prstGeom>
                    <a:ln/>
                  </pic:spPr>
                </pic:pic>
              </a:graphicData>
            </a:graphic>
          </wp:anchor>
        </w:drawing>
      </w:r>
    </w:p>
    <w:p w14:paraId="0AFBECAF" w14:textId="77777777" w:rsidR="00F60F67" w:rsidRDefault="00000000">
      <w:pPr>
        <w:widowControl w:val="0"/>
        <w:pBdr>
          <w:top w:val="nil"/>
          <w:left w:val="nil"/>
          <w:bottom w:val="nil"/>
          <w:right w:val="nil"/>
          <w:between w:val="nil"/>
        </w:pBdr>
        <w:spacing w:before="28" w:line="240" w:lineRule="auto"/>
        <w:jc w:val="center"/>
        <w:rPr>
          <w:rFonts w:ascii="Times New Roman" w:eastAsia="Times New Roman" w:hAnsi="Times New Roman" w:cs="Times New Roman"/>
          <w:b/>
          <w:bCs/>
          <w:color w:val="000000"/>
          <w:sz w:val="27"/>
          <w:szCs w:val="27"/>
        </w:rPr>
      </w:pPr>
      <w:r>
        <w:rPr>
          <w:rFonts w:ascii="Times New Roman" w:eastAsia="Times New Roman" w:hAnsi="Times New Roman" w:cs="Times New Roman"/>
          <w:b/>
          <w:bCs/>
          <w:noProof/>
          <w:color w:val="000000"/>
          <w:sz w:val="27"/>
          <w:szCs w:val="27"/>
        </w:rPr>
        <w:drawing>
          <wp:inline distT="19050" distB="19050" distL="19050" distR="19050" wp14:anchorId="657C60A9" wp14:editId="6F9522A9">
            <wp:extent cx="228600" cy="231648"/>
            <wp:effectExtent l="0" t="0" r="0" b="0"/>
            <wp:docPr id="219" name="image219.png"/>
            <wp:cNvGraphicFramePr/>
            <a:graphic xmlns:a="http://schemas.openxmlformats.org/drawingml/2006/main">
              <a:graphicData uri="http://schemas.openxmlformats.org/drawingml/2006/picture">
                <pic:pic xmlns:pic="http://schemas.openxmlformats.org/drawingml/2006/picture">
                  <pic:nvPicPr>
                    <pic:cNvPr id="0" name="image219.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475FA37B" wp14:editId="3B0F89B7">
            <wp:extent cx="228600" cy="231648"/>
            <wp:effectExtent l="0" t="0" r="0" b="0"/>
            <wp:docPr id="220" name="image220.png"/>
            <wp:cNvGraphicFramePr/>
            <a:graphic xmlns:a="http://schemas.openxmlformats.org/drawingml/2006/main">
              <a:graphicData uri="http://schemas.openxmlformats.org/drawingml/2006/picture">
                <pic:pic xmlns:pic="http://schemas.openxmlformats.org/drawingml/2006/picture">
                  <pic:nvPicPr>
                    <pic:cNvPr id="0" name="image220.png"/>
                    <pic:cNvPicPr preferRelativeResize="0"/>
                  </pic:nvPicPr>
                  <pic:blipFill>
                    <a:blip r:embed="rId5"/>
                    <a:srcRect/>
                    <a:stretch>
                      <a:fillRect/>
                    </a:stretch>
                  </pic:blipFill>
                  <pic:spPr>
                    <a:xfrm>
                      <a:off x="0" y="0"/>
                      <a:ext cx="228600" cy="231648"/>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5E22F7C3" wp14:editId="7E87DC36">
            <wp:extent cx="228600" cy="228600"/>
            <wp:effectExtent l="0" t="0" r="0" b="0"/>
            <wp:docPr id="217" name="image217.png"/>
            <wp:cNvGraphicFramePr/>
            <a:graphic xmlns:a="http://schemas.openxmlformats.org/drawingml/2006/main">
              <a:graphicData uri="http://schemas.openxmlformats.org/drawingml/2006/picture">
                <pic:pic xmlns:pic="http://schemas.openxmlformats.org/drawingml/2006/picture">
                  <pic:nvPicPr>
                    <pic:cNvPr id="0" name="image217.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D1804CB" wp14:editId="5D7CBF47">
            <wp:extent cx="234696" cy="228600"/>
            <wp:effectExtent l="0" t="0" r="0" b="0"/>
            <wp:docPr id="218" name="image218.png"/>
            <wp:cNvGraphicFramePr/>
            <a:graphic xmlns:a="http://schemas.openxmlformats.org/drawingml/2006/main">
              <a:graphicData uri="http://schemas.openxmlformats.org/drawingml/2006/picture">
                <pic:pic xmlns:pic="http://schemas.openxmlformats.org/drawingml/2006/picture">
                  <pic:nvPicPr>
                    <pic:cNvPr id="0" name="image218.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5C2F757" wp14:editId="73977156">
            <wp:extent cx="234696" cy="228600"/>
            <wp:effectExtent l="0" t="0" r="0" b="0"/>
            <wp:docPr id="79"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3E3DAF1" wp14:editId="27531C34">
            <wp:extent cx="234696" cy="228600"/>
            <wp:effectExtent l="0" t="0" r="0" b="0"/>
            <wp:docPr id="81"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A6DC9C3" wp14:editId="20E213A3">
            <wp:extent cx="234696" cy="228600"/>
            <wp:effectExtent l="0" t="0" r="0" b="0"/>
            <wp:docPr id="7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C1806DE" wp14:editId="60CC4465">
            <wp:extent cx="234696" cy="228600"/>
            <wp:effectExtent l="0" t="0" r="0" b="0"/>
            <wp:docPr id="78"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768B70D" wp14:editId="274337D4">
            <wp:extent cx="234696" cy="228600"/>
            <wp:effectExtent l="0" t="0" r="0" b="0"/>
            <wp:docPr id="71"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58C18C24" wp14:editId="142A2FE6">
            <wp:extent cx="234696" cy="228600"/>
            <wp:effectExtent l="0" t="0" r="0" b="0"/>
            <wp:docPr id="74"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17C56D5" wp14:editId="0A1BFFC6">
            <wp:extent cx="234696" cy="228600"/>
            <wp:effectExtent l="0" t="0" r="0" b="0"/>
            <wp:docPr id="63"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5"/>
                    <a:srcRect/>
                    <a:stretch>
                      <a:fillRect/>
                    </a:stretch>
                  </pic:blipFill>
                  <pic:spPr>
                    <a:xfrm>
                      <a:off x="0" y="0"/>
                      <a:ext cx="234696"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6F3012F6" wp14:editId="225464E0">
            <wp:extent cx="237744" cy="228600"/>
            <wp:effectExtent l="0" t="0" r="0" b="0"/>
            <wp:docPr id="5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AAEA272" wp14:editId="389AA450">
            <wp:extent cx="237744" cy="228600"/>
            <wp:effectExtent l="0" t="0" r="0" b="0"/>
            <wp:docPr id="6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F9E740C" wp14:editId="1CD6A1D1">
            <wp:extent cx="237744" cy="228600"/>
            <wp:effectExtent l="0" t="0" r="0" b="0"/>
            <wp:docPr id="5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710A7DE7" wp14:editId="3A8D02DA">
            <wp:extent cx="237744" cy="228600"/>
            <wp:effectExtent l="0" t="0" r="0" b="0"/>
            <wp:docPr id="5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4EB32974" wp14:editId="4A4A3330">
            <wp:extent cx="237744" cy="228600"/>
            <wp:effectExtent l="0" t="0" r="0" b="0"/>
            <wp:docPr id="111"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B9A8F6F" wp14:editId="137D4462">
            <wp:extent cx="237744" cy="228600"/>
            <wp:effectExtent l="0" t="0" r="0" b="0"/>
            <wp:docPr id="114"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47B519C6" wp14:editId="09AAA749">
            <wp:extent cx="237744" cy="228600"/>
            <wp:effectExtent l="0" t="0" r="0" b="0"/>
            <wp:docPr id="107"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72E053A3" wp14:editId="22F5964B">
            <wp:extent cx="237744" cy="228600"/>
            <wp:effectExtent l="0" t="0" r="0" b="0"/>
            <wp:docPr id="109"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42937B4F" wp14:editId="2EEE6B27">
            <wp:extent cx="237744" cy="228600"/>
            <wp:effectExtent l="0" t="0" r="0" b="0"/>
            <wp:docPr id="102"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0B918EC3" wp14:editId="6A1E8F47">
            <wp:extent cx="237744" cy="228600"/>
            <wp:effectExtent l="0" t="0" r="0" b="0"/>
            <wp:docPr id="92"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316B78BA" wp14:editId="03033A8F">
            <wp:extent cx="237744" cy="228600"/>
            <wp:effectExtent l="0" t="0" r="0" b="0"/>
            <wp:docPr id="9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2DEA4243" wp14:editId="0EFCD4AB">
            <wp:extent cx="237744" cy="228600"/>
            <wp:effectExtent l="0" t="0" r="0" b="0"/>
            <wp:docPr id="89"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47763D0" wp14:editId="433CE52D">
            <wp:extent cx="237744" cy="228600"/>
            <wp:effectExtent l="0" t="0" r="0" b="0"/>
            <wp:docPr id="91"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1230B52F" wp14:editId="71A38AA3">
            <wp:extent cx="237744" cy="228600"/>
            <wp:effectExtent l="0" t="0" r="0" b="0"/>
            <wp:docPr id="84"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2A0A82C2" wp14:editId="7047038C">
            <wp:extent cx="237744" cy="228600"/>
            <wp:effectExtent l="0" t="0" r="0" b="0"/>
            <wp:docPr id="8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6F5FFF1A" wp14:editId="50CA825A">
            <wp:extent cx="237744" cy="228600"/>
            <wp:effectExtent l="0" t="0" r="0" b="0"/>
            <wp:docPr id="136"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5"/>
                    <a:srcRect/>
                    <a:stretch>
                      <a:fillRect/>
                    </a:stretch>
                  </pic:blipFill>
                  <pic:spPr>
                    <a:xfrm>
                      <a:off x="0" y="0"/>
                      <a:ext cx="237744" cy="228600"/>
                    </a:xfrm>
                    <a:prstGeom prst="rect">
                      <a:avLst/>
                    </a:prstGeom>
                    <a:ln/>
                  </pic:spPr>
                </pic:pic>
              </a:graphicData>
            </a:graphic>
          </wp:inline>
        </w:drawing>
      </w:r>
      <w:r>
        <w:rPr>
          <w:rFonts w:ascii="Times New Roman" w:eastAsia="Times New Roman" w:hAnsi="Times New Roman" w:cs="Times New Roman"/>
          <w:b/>
          <w:bCs/>
          <w:noProof/>
          <w:color w:val="000000"/>
          <w:sz w:val="27"/>
          <w:szCs w:val="27"/>
        </w:rPr>
        <w:drawing>
          <wp:inline distT="19050" distB="19050" distL="19050" distR="19050" wp14:anchorId="03F7A4EB" wp14:editId="4E7E8644">
            <wp:extent cx="228600" cy="228600"/>
            <wp:effectExtent l="0" t="0" r="0" b="0"/>
            <wp:docPr id="139"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5"/>
                    <a:srcRect/>
                    <a:stretch>
                      <a:fillRect/>
                    </a:stretch>
                  </pic:blipFill>
                  <pic:spPr>
                    <a:xfrm>
                      <a:off x="0" y="0"/>
                      <a:ext cx="228600" cy="228600"/>
                    </a:xfrm>
                    <a:prstGeom prst="rect">
                      <a:avLst/>
                    </a:prstGeom>
                    <a:ln/>
                  </pic:spPr>
                </pic:pic>
              </a:graphicData>
            </a:graphic>
          </wp:inline>
        </w:drawing>
      </w:r>
    </w:p>
    <w:p w14:paraId="7DB3B09D"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i </w:t>
      </w:r>
    </w:p>
    <w:p w14:paraId="718B7C54" w14:textId="77777777" w:rsidR="00F60F67" w:rsidRDefault="00000000">
      <w:pPr>
        <w:widowControl w:val="0"/>
        <w:pBdr>
          <w:top w:val="nil"/>
          <w:left w:val="nil"/>
          <w:bottom w:val="nil"/>
          <w:right w:val="nil"/>
          <w:between w:val="nil"/>
        </w:pBdr>
        <w:spacing w:before="652"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LỜI CAM ĐOAN </w:t>
      </w:r>
    </w:p>
    <w:p w14:paraId="0F2DA81E" w14:textId="77777777" w:rsidR="00F60F67" w:rsidRDefault="00000000">
      <w:pPr>
        <w:widowControl w:val="0"/>
        <w:pBdr>
          <w:top w:val="nil"/>
          <w:left w:val="nil"/>
          <w:bottom w:val="nil"/>
          <w:right w:val="nil"/>
          <w:between w:val="nil"/>
        </w:pBdr>
        <w:spacing w:before="595" w:line="346" w:lineRule="auto"/>
        <w:ind w:left="444" w:right="368" w:firstLine="57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Tôi xin cam đoan các nội dung trình bày trong Luận án là kết quả nghiên cứu  độc lập của riêng tôi. Luận án được thực hiện trên cơ sở kế thừa, có trích dẫn đầy đủ,  trung thực kết quả nghiên cứu của các tác giả đã công bố. Số liệu sử dụng trong Luận  án có nguồn gốc rõ ràng, Luận án chưa từng được công bố dưới bất cứ hình thức nào. </w:t>
      </w:r>
    </w:p>
    <w:p w14:paraId="65973547" w14:textId="77777777" w:rsidR="00F60F67" w:rsidRDefault="00000000">
      <w:pPr>
        <w:widowControl w:val="0"/>
        <w:pBdr>
          <w:top w:val="nil"/>
          <w:left w:val="nil"/>
          <w:bottom w:val="nil"/>
          <w:right w:val="nil"/>
          <w:between w:val="nil"/>
        </w:pBdr>
        <w:spacing w:before="28" w:line="240" w:lineRule="auto"/>
        <w:ind w:right="555"/>
        <w:jc w:val="right"/>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Hà Nội, ngày….tháng 10 năm 2025 </w:t>
      </w:r>
    </w:p>
    <w:p w14:paraId="74E3CF57" w14:textId="77777777" w:rsidR="00F60F67" w:rsidRDefault="00000000">
      <w:pPr>
        <w:widowControl w:val="0"/>
        <w:pBdr>
          <w:top w:val="nil"/>
          <w:left w:val="nil"/>
          <w:bottom w:val="nil"/>
          <w:right w:val="nil"/>
          <w:between w:val="nil"/>
        </w:pBdr>
        <w:spacing w:before="143" w:line="240" w:lineRule="auto"/>
        <w:ind w:right="1636"/>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Nghiên cứu sinh </w:t>
      </w:r>
    </w:p>
    <w:p w14:paraId="629621AF" w14:textId="77777777" w:rsidR="00F60F67" w:rsidRDefault="00000000">
      <w:pPr>
        <w:widowControl w:val="0"/>
        <w:pBdr>
          <w:top w:val="nil"/>
          <w:left w:val="nil"/>
          <w:bottom w:val="nil"/>
          <w:right w:val="nil"/>
          <w:between w:val="nil"/>
        </w:pBdr>
        <w:spacing w:before="1492" w:line="240" w:lineRule="auto"/>
        <w:ind w:right="1246"/>
        <w:jc w:val="right"/>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lastRenderedPageBreak/>
        <w:t>Bùi Nguyễn Anh Tuấn</w:t>
      </w:r>
    </w:p>
    <w:p w14:paraId="349711C3"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ii </w:t>
      </w:r>
    </w:p>
    <w:p w14:paraId="229141DB" w14:textId="77777777" w:rsidR="00F60F67" w:rsidRDefault="00000000">
      <w:pPr>
        <w:widowControl w:val="0"/>
        <w:pBdr>
          <w:top w:val="nil"/>
          <w:left w:val="nil"/>
          <w:bottom w:val="nil"/>
          <w:right w:val="nil"/>
          <w:between w:val="nil"/>
        </w:pBdr>
        <w:spacing w:before="652"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LỜI CẢM ƠN </w:t>
      </w:r>
    </w:p>
    <w:p w14:paraId="39982422" w14:textId="77777777" w:rsidR="00F60F67" w:rsidRDefault="00000000">
      <w:pPr>
        <w:widowControl w:val="0"/>
        <w:pBdr>
          <w:top w:val="nil"/>
          <w:left w:val="nil"/>
          <w:bottom w:val="nil"/>
          <w:right w:val="nil"/>
          <w:between w:val="nil"/>
        </w:pBdr>
        <w:spacing w:before="595" w:line="346" w:lineRule="auto"/>
        <w:ind w:left="443" w:right="367" w:firstLine="72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Trước tiên, nghiên cứu sinh xin bày tỏ lòng biết ơn sâu sắc tới hai nhà khoa  học: </w:t>
      </w:r>
      <w:r>
        <w:rPr>
          <w:rFonts w:ascii="Times New Roman" w:eastAsia="Times New Roman" w:hAnsi="Times New Roman" w:cs="Times New Roman"/>
          <w:b/>
          <w:bCs/>
          <w:color w:val="000000"/>
          <w:sz w:val="25"/>
          <w:szCs w:val="25"/>
        </w:rPr>
        <w:t xml:space="preserve">PGS,TS. Trần Thị Thu Phương </w:t>
      </w:r>
      <w:r>
        <w:rPr>
          <w:rFonts w:ascii="Times New Roman" w:eastAsia="Times New Roman" w:hAnsi="Times New Roman" w:cs="Times New Roman"/>
          <w:color w:val="000000"/>
          <w:sz w:val="25"/>
          <w:szCs w:val="25"/>
        </w:rPr>
        <w:t xml:space="preserve">và </w:t>
      </w:r>
      <w:r>
        <w:rPr>
          <w:rFonts w:ascii="Times New Roman" w:eastAsia="Times New Roman" w:hAnsi="Times New Roman" w:cs="Times New Roman"/>
          <w:b/>
          <w:bCs/>
          <w:color w:val="000000"/>
          <w:sz w:val="25"/>
          <w:szCs w:val="25"/>
        </w:rPr>
        <w:t xml:space="preserve">TS. Nguyễn Văn Hội </w:t>
      </w:r>
      <w:r>
        <w:rPr>
          <w:rFonts w:ascii="Times New Roman" w:eastAsia="Times New Roman" w:hAnsi="Times New Roman" w:cs="Times New Roman"/>
          <w:color w:val="000000"/>
          <w:sz w:val="25"/>
          <w:szCs w:val="25"/>
        </w:rPr>
        <w:t xml:space="preserve">là giáo viên hướng  dẫn khoa học đã luôn hết lòng hướng dẫn, chỉ bảo, giúp đỡ và động viên để nghiên  cứu sinh có thể hoàn thành nội dung Luận án này. </w:t>
      </w:r>
    </w:p>
    <w:p w14:paraId="1CAF0153" w14:textId="77777777" w:rsidR="00F60F67" w:rsidRDefault="00000000">
      <w:pPr>
        <w:widowControl w:val="0"/>
        <w:pBdr>
          <w:top w:val="nil"/>
          <w:left w:val="nil"/>
          <w:bottom w:val="nil"/>
          <w:right w:val="nil"/>
          <w:between w:val="nil"/>
        </w:pBdr>
        <w:spacing w:before="28" w:line="346" w:lineRule="auto"/>
        <w:ind w:left="443" w:right="363" w:firstLine="71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Nghiên cứu sinh xin chân thành cảm ơn Ban Lãnh đạo Viện Nghiên cứu Chiến  lược, Chính sách Công Thương, Phòng Khoa học đào tạo, các đồng nghiệp tại các  đơn vị thuộc Cục Quản lý và Phát triển thị trường trong nước, Bộ Công Thương đã  tạo điều kiện tốt nhất trong quá trình nghiên cứu sinh học tập, nghiên cứu và thực  hiện Luận án. </w:t>
      </w:r>
    </w:p>
    <w:p w14:paraId="00D27FE2" w14:textId="77777777" w:rsidR="00F60F67" w:rsidRDefault="00000000">
      <w:pPr>
        <w:widowControl w:val="0"/>
        <w:pBdr>
          <w:top w:val="nil"/>
          <w:left w:val="nil"/>
          <w:bottom w:val="nil"/>
          <w:right w:val="nil"/>
          <w:between w:val="nil"/>
        </w:pBdr>
        <w:spacing w:before="29" w:line="345" w:lineRule="auto"/>
        <w:ind w:left="443" w:right="368" w:firstLine="71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Nghiên cứu sinh xin gửi lời cảm ơn đến Ủy ban Cạnh tranh Quốc gia, Vụ Pháp  chế (Bộ Công Thương), các cơ quan quản lý nhà nước; các nhà khoa học; các doanh  nghiệp; các Hiệp hội; cá nhân và tổ chức đã nhiệt tình hỗ trợ, góp ý, nhận xét, cung  cấp tài liệu và trả lời phỏng vấn, điều tra. </w:t>
      </w:r>
    </w:p>
    <w:p w14:paraId="2680B375" w14:textId="77777777" w:rsidR="00F60F67" w:rsidRDefault="00000000">
      <w:pPr>
        <w:widowControl w:val="0"/>
        <w:pBdr>
          <w:top w:val="nil"/>
          <w:left w:val="nil"/>
          <w:bottom w:val="nil"/>
          <w:right w:val="nil"/>
          <w:between w:val="nil"/>
        </w:pBdr>
        <w:spacing w:before="34" w:line="346" w:lineRule="auto"/>
        <w:ind w:left="444" w:right="363" w:firstLine="72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Cuối cùng, nghiên cứu xin gửi lời cảm ơn sâu sắc đến bạn bè và gia đình đã  luôn động viên, chia sẻ, giúp đỡ nghiên cứu sinh trong suốt quá trình học tập, công  tác và hoàn thành Luận án tiến sĩ này. </w:t>
      </w:r>
    </w:p>
    <w:p w14:paraId="32714561" w14:textId="77777777" w:rsidR="00F60F67" w:rsidRDefault="00000000">
      <w:pPr>
        <w:widowControl w:val="0"/>
        <w:pBdr>
          <w:top w:val="nil"/>
          <w:left w:val="nil"/>
          <w:bottom w:val="nil"/>
          <w:right w:val="nil"/>
          <w:between w:val="nil"/>
        </w:pBdr>
        <w:spacing w:before="29" w:line="240" w:lineRule="auto"/>
        <w:ind w:right="1464"/>
        <w:jc w:val="right"/>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Nghiên cứu sinh </w:t>
      </w:r>
    </w:p>
    <w:p w14:paraId="3E7F7038" w14:textId="77777777" w:rsidR="00F60F67" w:rsidRDefault="00000000">
      <w:pPr>
        <w:widowControl w:val="0"/>
        <w:pBdr>
          <w:top w:val="nil"/>
          <w:left w:val="nil"/>
          <w:bottom w:val="nil"/>
          <w:right w:val="nil"/>
          <w:between w:val="nil"/>
        </w:pBdr>
        <w:spacing w:before="1492" w:line="240" w:lineRule="auto"/>
        <w:ind w:right="1111"/>
        <w:jc w:val="right"/>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Bùi Nguyễn Anh Tuấn</w:t>
      </w:r>
    </w:p>
    <w:p w14:paraId="3A00EB99"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iii </w:t>
      </w:r>
    </w:p>
    <w:p w14:paraId="505B273F" w14:textId="77777777" w:rsidR="00F60F67" w:rsidRDefault="00000000">
      <w:pPr>
        <w:widowControl w:val="0"/>
        <w:pBdr>
          <w:top w:val="nil"/>
          <w:left w:val="nil"/>
          <w:bottom w:val="nil"/>
          <w:right w:val="nil"/>
          <w:between w:val="nil"/>
        </w:pBdr>
        <w:spacing w:before="652"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MỤC LỤC </w:t>
      </w:r>
    </w:p>
    <w:p w14:paraId="53FD6D7C" w14:textId="77777777" w:rsidR="00F60F67" w:rsidRDefault="00000000">
      <w:pPr>
        <w:widowControl w:val="0"/>
        <w:pBdr>
          <w:top w:val="nil"/>
          <w:left w:val="nil"/>
          <w:bottom w:val="nil"/>
          <w:right w:val="nil"/>
          <w:between w:val="nil"/>
        </w:pBdr>
        <w:spacing w:before="206" w:line="392" w:lineRule="auto"/>
        <w:ind w:left="444" w:right="439" w:firstLine="1"/>
        <w:jc w:val="both"/>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LỜI CAM ĐOAN...................................................................................................... I LỜI CẢM ƠN ..........................................................................................................II MỤC LỤC ..............................................................................................................III DANH MỤC CÁC BẢNG....................................................................................VII DANH MỤC CÁC BIỂU ĐỒ...............................................................................VII DANH MỤC CÁC HÌNH.....................................................................................VII DANH MỤC TỪ VIẾT TẮT............................................................................. VIII </w:t>
      </w:r>
      <w:r>
        <w:rPr>
          <w:rFonts w:ascii="Times New Roman" w:eastAsia="Times New Roman" w:hAnsi="Times New Roman" w:cs="Times New Roman"/>
          <w:b/>
          <w:bCs/>
          <w:color w:val="000000"/>
          <w:sz w:val="25"/>
          <w:szCs w:val="25"/>
        </w:rPr>
        <w:lastRenderedPageBreak/>
        <w:t xml:space="preserve">MỞ ĐẦU....................................................................................................................1 1. Tính cấp thiết của đề tài.......................................................................................1 2. Mục tiêu và nhiệm vụ nghiên cứu .......................................................................3 3. Đối tượng, phạm vi nghiên cứu ...........................................................................3 4. Ý nghĩa khoa học và thực tiễn .............................................................................4 5. Phương pháp nghiên cứu .....................................................................................4 6. Kết cấu của Luận án.............................................................................................7 CHƯƠNG 1. TỔNG QUAN TÌNH HÌNH NGHIÊN CỨU ..................................8 1.1. Tổng hợp các công trình nghiên cứu có liên quan..........................................8 </w:t>
      </w:r>
    </w:p>
    <w:p w14:paraId="3C5E0078" w14:textId="77777777" w:rsidR="00F60F67" w:rsidRDefault="00000000">
      <w:pPr>
        <w:widowControl w:val="0"/>
        <w:pBdr>
          <w:top w:val="nil"/>
          <w:left w:val="nil"/>
          <w:bottom w:val="nil"/>
          <w:right w:val="nil"/>
          <w:between w:val="nil"/>
        </w:pBdr>
        <w:spacing w:before="41" w:line="370" w:lineRule="auto"/>
        <w:ind w:left="1010" w:right="368" w:firstLine="2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1.1.1. Các nghiên cứu lý luận về tập trung kinh tế ............................................8 1.1.2. Các nghiên cứu về pháp luật cạnh tranh và quản lý nhà nước về tập trung  kinh tế.................................................................................................................9 </w:t>
      </w:r>
    </w:p>
    <w:p w14:paraId="7D44CDF0" w14:textId="77777777" w:rsidR="00F60F67" w:rsidRDefault="00000000">
      <w:pPr>
        <w:widowControl w:val="0"/>
        <w:pBdr>
          <w:top w:val="nil"/>
          <w:left w:val="nil"/>
          <w:bottom w:val="nil"/>
          <w:right w:val="nil"/>
          <w:between w:val="nil"/>
        </w:pBdr>
        <w:spacing w:before="60" w:line="385" w:lineRule="auto"/>
        <w:ind w:left="447" w:right="368"/>
        <w:jc w:val="right"/>
        <w:rPr>
          <w:rFonts w:ascii="Times New Roman" w:eastAsia="Times New Roman" w:hAnsi="Times New Roman" w:cs="Times New Roman"/>
          <w:b/>
          <w:bCs/>
          <w:color w:val="000000"/>
          <w:sz w:val="25"/>
          <w:szCs w:val="25"/>
        </w:rPr>
      </w:pPr>
      <w:r>
        <w:rPr>
          <w:rFonts w:ascii="Times New Roman" w:eastAsia="Times New Roman" w:hAnsi="Times New Roman" w:cs="Times New Roman"/>
          <w:color w:val="000000"/>
          <w:sz w:val="25"/>
          <w:szCs w:val="25"/>
        </w:rPr>
        <w:t xml:space="preserve">1.1.3. Các nghiên cứu về quản lý nhà nước đối với tập trung kinh tế trong lĩnh  vực bán lẻ .........................................................................................................14 </w:t>
      </w:r>
      <w:r>
        <w:rPr>
          <w:rFonts w:ascii="Times New Roman" w:eastAsia="Times New Roman" w:hAnsi="Times New Roman" w:cs="Times New Roman"/>
          <w:b/>
          <w:bCs/>
          <w:color w:val="000000"/>
          <w:sz w:val="25"/>
          <w:szCs w:val="25"/>
        </w:rPr>
        <w:t xml:space="preserve">1.2. Khoảng trống nghiên cứu ...............................................................................22 1.3. Những giá trị Luận án kế thừa và hướng nghiên cứu của Luận án............23 </w:t>
      </w:r>
      <w:r>
        <w:rPr>
          <w:rFonts w:ascii="Times New Roman" w:eastAsia="Times New Roman" w:hAnsi="Times New Roman" w:cs="Times New Roman"/>
          <w:color w:val="000000"/>
          <w:sz w:val="25"/>
          <w:szCs w:val="25"/>
        </w:rPr>
        <w:t xml:space="preserve">1.3.1. Những giá trị Luận án kế thừa ...............................................................23 1.3.2. Hướng nghiên cứu của Luận án .............................................................24 </w:t>
      </w:r>
      <w:r>
        <w:rPr>
          <w:rFonts w:ascii="Times New Roman" w:eastAsia="Times New Roman" w:hAnsi="Times New Roman" w:cs="Times New Roman"/>
          <w:b/>
          <w:bCs/>
          <w:color w:val="000000"/>
          <w:sz w:val="25"/>
          <w:szCs w:val="25"/>
        </w:rPr>
        <w:t>KẾT LUẬN CHƯƠNG 1 .......................................................................................25</w:t>
      </w:r>
    </w:p>
    <w:p w14:paraId="539D61EE"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iv </w:t>
      </w:r>
    </w:p>
    <w:p w14:paraId="57C2B71C" w14:textId="77777777" w:rsidR="00F60F67" w:rsidRDefault="00000000">
      <w:pPr>
        <w:widowControl w:val="0"/>
        <w:pBdr>
          <w:top w:val="nil"/>
          <w:left w:val="nil"/>
          <w:bottom w:val="nil"/>
          <w:right w:val="nil"/>
          <w:between w:val="nil"/>
        </w:pBdr>
        <w:spacing w:before="652" w:line="370" w:lineRule="auto"/>
        <w:ind w:left="447" w:right="367" w:firstLine="4"/>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CHƯƠNG 2. CƠ SỞ LÝ LUẬN VỀ QUẢN LÝ NHÀ NƯỚC VỀ TẬP TRUNG  KINH TẾ TRONG LĨNH VỰC BÁN LẺ.............................................................26 2.1. Tổng quan về tập trung kinh tế ......................................................................26 </w:t>
      </w:r>
    </w:p>
    <w:p w14:paraId="63F78A3B" w14:textId="77777777" w:rsidR="00F60F67" w:rsidRDefault="00000000">
      <w:pPr>
        <w:widowControl w:val="0"/>
        <w:pBdr>
          <w:top w:val="nil"/>
          <w:left w:val="nil"/>
          <w:bottom w:val="nil"/>
          <w:right w:val="nil"/>
          <w:between w:val="nil"/>
        </w:pBdr>
        <w:spacing w:before="65" w:line="391" w:lineRule="auto"/>
        <w:ind w:left="1014" w:right="45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2.1.1. Khái niệm về tập trung kinh tế...............................................................26 2.1.2. Đặc điểm của tập trung kinh tế ..............................................................28 2.1.3. Đo lường mức độ tập trung kinh tế........................................................30 2.1.4. Tác động của tập trung kinh tế...............................................................36 </w:t>
      </w:r>
    </w:p>
    <w:p w14:paraId="2A7EEA34" w14:textId="77777777" w:rsidR="00F60F67" w:rsidRDefault="00000000">
      <w:pPr>
        <w:widowControl w:val="0"/>
        <w:pBdr>
          <w:top w:val="nil"/>
          <w:left w:val="nil"/>
          <w:bottom w:val="nil"/>
          <w:right w:val="nil"/>
          <w:between w:val="nil"/>
        </w:pBdr>
        <w:spacing w:before="43" w:line="392" w:lineRule="auto"/>
        <w:ind w:left="1014" w:right="452" w:hanging="566"/>
        <w:jc w:val="both"/>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2.2. Khái niệm, đặc điểm của lĩnh vực bán lẻ.......................................................38 </w:t>
      </w:r>
      <w:r>
        <w:rPr>
          <w:rFonts w:ascii="Times New Roman" w:eastAsia="Times New Roman" w:hAnsi="Times New Roman" w:cs="Times New Roman"/>
          <w:color w:val="000000"/>
          <w:sz w:val="25"/>
          <w:szCs w:val="25"/>
        </w:rPr>
        <w:t xml:space="preserve">2.2.1. Khái niệm bán lẻ ....................................................................................38 2.2.2. Đặc điểm của lĩnh vực bán lẻ.................................................................40 </w:t>
      </w:r>
    </w:p>
    <w:p w14:paraId="61EB8E87" w14:textId="77777777" w:rsidR="00F60F67" w:rsidRDefault="00000000">
      <w:pPr>
        <w:widowControl w:val="0"/>
        <w:pBdr>
          <w:top w:val="nil"/>
          <w:left w:val="nil"/>
          <w:bottom w:val="nil"/>
          <w:right w:val="nil"/>
          <w:between w:val="nil"/>
        </w:pBdr>
        <w:spacing w:before="41" w:line="348" w:lineRule="auto"/>
        <w:ind w:left="1328" w:right="439" w:hanging="880"/>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2.3. Tổng quan về quản lý nhà nước về tập trung kinh tế trong lĩnh vực bán lẻ 42 </w:t>
      </w:r>
    </w:p>
    <w:p w14:paraId="24C7AF61" w14:textId="77777777" w:rsidR="00F60F67" w:rsidRDefault="00000000">
      <w:pPr>
        <w:widowControl w:val="0"/>
        <w:pBdr>
          <w:top w:val="nil"/>
          <w:left w:val="nil"/>
          <w:bottom w:val="nil"/>
          <w:right w:val="nil"/>
          <w:between w:val="nil"/>
        </w:pBdr>
        <w:spacing w:before="89" w:line="368" w:lineRule="auto"/>
        <w:ind w:left="1010" w:right="368" w:firstLine="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2.3.1. Khái niệm quản lý nhà nước về tập trung kinh tế trong lĩnh vực bán lẻ42 2.3.2. Các lý thuyết và mô hình liên quan đến quản lý nhà nước về tập trung  kinh tế...............................................................................................................46 2.3.3. Mục tiêu, nguyên tắc, nội dung, phương pháp quản lý nhà nước về tập  trung kinh tế trong lĩnh vực bán lẻ...................................................................53 </w:t>
      </w:r>
    </w:p>
    <w:p w14:paraId="1B9FEA04" w14:textId="77777777" w:rsidR="00F60F67" w:rsidRDefault="00000000">
      <w:pPr>
        <w:widowControl w:val="0"/>
        <w:pBdr>
          <w:top w:val="nil"/>
          <w:left w:val="nil"/>
          <w:bottom w:val="nil"/>
          <w:right w:val="nil"/>
          <w:between w:val="nil"/>
        </w:pBdr>
        <w:spacing w:before="67" w:line="373" w:lineRule="auto"/>
        <w:ind w:left="443" w:right="367"/>
        <w:jc w:val="right"/>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2.4. Kinh nghiệm quốc tế về quản lý nhà nước về tập trung kinh tế trong lĩnh  vực bán lẻ và bài học đối với Việt Nam ................................................................64 </w:t>
      </w:r>
      <w:r>
        <w:rPr>
          <w:rFonts w:ascii="Times New Roman" w:eastAsia="Times New Roman" w:hAnsi="Times New Roman" w:cs="Times New Roman"/>
          <w:color w:val="000000"/>
          <w:sz w:val="25"/>
          <w:szCs w:val="25"/>
        </w:rPr>
        <w:t xml:space="preserve">2.4.1. Xây dựng pháp luật để điều chỉnh tập trung kinh tế trong lĩnh vực bán lẻ ..........................................................................................................................64 2.4.2. Áp dụng pháp luật để quản lý nhà nước về tập trung kinh tế trong lĩnh vực  bán lẻ phát sinh trong thực tiễn........................................................................72 2.4.3. Bài học cho Việt Nam............................................................................80 </w:t>
      </w:r>
      <w:r>
        <w:rPr>
          <w:rFonts w:ascii="Times New Roman" w:eastAsia="Times New Roman" w:hAnsi="Times New Roman" w:cs="Times New Roman"/>
          <w:b/>
          <w:bCs/>
          <w:color w:val="000000"/>
          <w:sz w:val="25"/>
          <w:szCs w:val="25"/>
        </w:rPr>
        <w:t>KẾT LUẬN CHƯƠNG 2 .......................................................................................82 CHƯƠNG 3. THỰC TRẠNG QUẢN LÝ NHÀ NƯỚC VỀ TẬP TRUNG KINH  TẾ TRONG LĨNH VỰC BÁN LẺ TẠI VIỆT NAM...........................................84 3.1. Thực trạng tập trung kinh tế trong lĩnh vực bán lẻ tại Việt Nam...............84</w:t>
      </w:r>
    </w:p>
    <w:p w14:paraId="60E163C2"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 </w:t>
      </w:r>
    </w:p>
    <w:p w14:paraId="41BCEE2E" w14:textId="77777777" w:rsidR="00F60F67" w:rsidRDefault="00000000">
      <w:pPr>
        <w:widowControl w:val="0"/>
        <w:pBdr>
          <w:top w:val="nil"/>
          <w:left w:val="nil"/>
          <w:bottom w:val="nil"/>
          <w:right w:val="nil"/>
          <w:between w:val="nil"/>
        </w:pBdr>
        <w:spacing w:before="652" w:line="370" w:lineRule="auto"/>
        <w:ind w:left="1019" w:right="36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3.1.1. Quá trình hình thành và phát triển của lĩnh vực bán lẻ tại Việt Nam ....84 3.1.2. Phân tích tập trung kinh tế trong lĩnh vực bán lẻ tại Việt Nam theo mô hình  SCP...................................................................................................................88 </w:t>
      </w:r>
    </w:p>
    <w:p w14:paraId="080A3959" w14:textId="77777777" w:rsidR="00F60F67" w:rsidRDefault="00000000">
      <w:pPr>
        <w:widowControl w:val="0"/>
        <w:pBdr>
          <w:top w:val="nil"/>
          <w:left w:val="nil"/>
          <w:bottom w:val="nil"/>
          <w:right w:val="nil"/>
          <w:between w:val="nil"/>
        </w:pBdr>
        <w:spacing w:before="65" w:line="370" w:lineRule="auto"/>
        <w:ind w:left="443" w:right="367"/>
        <w:jc w:val="right"/>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3.2. Thực trạng quản lý nhà nước về tập trung kinh tế trong lĩnh vực bán lẻ tại  Việt Nam giai đoạn 2007-2024 .............................................................................103 </w:t>
      </w:r>
      <w:r>
        <w:rPr>
          <w:rFonts w:ascii="Times New Roman" w:eastAsia="Times New Roman" w:hAnsi="Times New Roman" w:cs="Times New Roman"/>
          <w:color w:val="000000"/>
          <w:sz w:val="25"/>
          <w:szCs w:val="25"/>
        </w:rPr>
        <w:t xml:space="preserve">3.2.1. Pháp luật điều chỉnh tập trung kinh tế trong lĩnh vực bán lẻ ...............103 3.3.2. Thực trạng quản lý nhà nước về tập trung kinh tế trong lĩnh vực bán lẻ Việt Nam giai đoạn 2007-2024......................................................................115 3.3.3. Kết quả và hạn chế của công tác quản lý nhà nước về tập trung kinh tế trong lĩnh vực bán lẻ tại Việt Nam.................................................................128 </w:t>
      </w:r>
      <w:r>
        <w:rPr>
          <w:rFonts w:ascii="Times New Roman" w:eastAsia="Times New Roman" w:hAnsi="Times New Roman" w:cs="Times New Roman"/>
          <w:b/>
          <w:bCs/>
          <w:color w:val="000000"/>
          <w:sz w:val="25"/>
          <w:szCs w:val="25"/>
        </w:rPr>
        <w:t xml:space="preserve">KẾT LUẬN CHƯƠNG 3 .....................................................................................139 CHƯƠNG 4. QUAN ĐIỂM, ĐỊNH HƯỚNG VÀ GIẢI PHÁP HOÀN THIỆN  QUẢN LÝ NHÀ NƯỚC VỀ TẬP TRUNG KINH TẾ TRONG LĨNH VỰC BÁN  LẺ TẠI VIỆT NAM..............................................................................................140 4.1. Bối cảnh ảnh hưởng đến quản lý nhà nước về tập trung kinh tế trong lĩnh  vực bán lẻ tại Việt Nam giai đoạn đến năm 2030...............................................140 </w:t>
      </w:r>
      <w:r>
        <w:rPr>
          <w:rFonts w:ascii="Times New Roman" w:eastAsia="Times New Roman" w:hAnsi="Times New Roman" w:cs="Times New Roman"/>
          <w:color w:val="000000"/>
          <w:sz w:val="25"/>
          <w:szCs w:val="25"/>
        </w:rPr>
        <w:t xml:space="preserve">4.1.1. Bối cảnh quốc </w:t>
      </w:r>
      <w:r>
        <w:rPr>
          <w:rFonts w:ascii="Times New Roman" w:eastAsia="Times New Roman" w:hAnsi="Times New Roman" w:cs="Times New Roman"/>
          <w:color w:val="000000"/>
          <w:sz w:val="25"/>
          <w:szCs w:val="25"/>
        </w:rPr>
        <w:lastRenderedPageBreak/>
        <w:t xml:space="preserve">tế...................................................................................140 4.1.2. Bối cảnh trong nước ảnh hưởng đến quản lý nhà nước về tập trung kinh  tế trong lĩnh vực bán lẻ tại Việt Nam.............................................................142 </w:t>
      </w:r>
      <w:r>
        <w:rPr>
          <w:rFonts w:ascii="Times New Roman" w:eastAsia="Times New Roman" w:hAnsi="Times New Roman" w:cs="Times New Roman"/>
          <w:b/>
          <w:bCs/>
          <w:color w:val="000000"/>
          <w:sz w:val="25"/>
          <w:szCs w:val="25"/>
        </w:rPr>
        <w:t xml:space="preserve">4.2. Quan điểm và định hướng hoàn thiện quản lý nhà nước về tập trung kinh tế trong lĩnh vực bán lẻ tại Việt Nam giai đoạn đến năm 2030.............................146 </w:t>
      </w:r>
      <w:r>
        <w:rPr>
          <w:rFonts w:ascii="Times New Roman" w:eastAsia="Times New Roman" w:hAnsi="Times New Roman" w:cs="Times New Roman"/>
          <w:color w:val="000000"/>
          <w:sz w:val="25"/>
          <w:szCs w:val="25"/>
        </w:rPr>
        <w:t xml:space="preserve">4.2.1. Quan điểm hoàn thiện quản lý nhà nước về tập trung kinh tế trong lĩnh  vực bán lẻ tại Việt Nam .................................................................................146 4.2.2. Định hướng hoàn thiện quản lý nhà nước về tập trung kinh tế trong lĩnh  vực bán lẻ tại Việt Nam .................................................................................148 </w:t>
      </w:r>
      <w:r>
        <w:rPr>
          <w:rFonts w:ascii="Times New Roman" w:eastAsia="Times New Roman" w:hAnsi="Times New Roman" w:cs="Times New Roman"/>
          <w:b/>
          <w:bCs/>
          <w:color w:val="000000"/>
          <w:sz w:val="25"/>
          <w:szCs w:val="25"/>
        </w:rPr>
        <w:t xml:space="preserve">4.3. Giải pháp hoàn thiện quản lý nhà nước về tập trung kinh tế trong lĩnh vực  bán lẻ tại Việt Nam ...............................................................................................149 </w:t>
      </w:r>
      <w:r>
        <w:rPr>
          <w:rFonts w:ascii="Times New Roman" w:eastAsia="Times New Roman" w:hAnsi="Times New Roman" w:cs="Times New Roman"/>
          <w:color w:val="000000"/>
          <w:sz w:val="25"/>
          <w:szCs w:val="25"/>
        </w:rPr>
        <w:t>4.3.1. Hoàn thiện pháp luật về tập trung kinh tế trong lĩnh vực bán lẻ..........149</w:t>
      </w:r>
    </w:p>
    <w:p w14:paraId="0B46CE9F"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vi </w:t>
      </w:r>
    </w:p>
    <w:p w14:paraId="36716196" w14:textId="77777777" w:rsidR="00F60F67" w:rsidRDefault="00000000">
      <w:pPr>
        <w:widowControl w:val="0"/>
        <w:pBdr>
          <w:top w:val="nil"/>
          <w:left w:val="nil"/>
          <w:bottom w:val="nil"/>
          <w:right w:val="nil"/>
          <w:between w:val="nil"/>
        </w:pBdr>
        <w:spacing w:before="652" w:line="370" w:lineRule="auto"/>
        <w:ind w:left="1012" w:right="36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4.3.2. Tăng cường công tác phối hợp liên ngành và hợp tác quốc tế trong quản  lý nhà nước về tập trung kinh tế trong lĩnh vực bán lẻ ..................................150 4.3.3. Các giải pháp khác ...............................................................................153 </w:t>
      </w:r>
    </w:p>
    <w:p w14:paraId="36B97755" w14:textId="77777777" w:rsidR="00F60F67" w:rsidRDefault="00000000">
      <w:pPr>
        <w:widowControl w:val="0"/>
        <w:pBdr>
          <w:top w:val="nil"/>
          <w:left w:val="nil"/>
          <w:bottom w:val="nil"/>
          <w:right w:val="nil"/>
          <w:between w:val="nil"/>
        </w:pBdr>
        <w:spacing w:before="65" w:line="371" w:lineRule="auto"/>
        <w:ind w:left="443" w:right="367"/>
        <w:jc w:val="right"/>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4.4. Khuyến nghị đối với doanh nghiệp trong lĩnh vực bán lẻ dự kiến tham gia  tập trung kinh tế ...................................................................................................155 </w:t>
      </w:r>
      <w:r>
        <w:rPr>
          <w:rFonts w:ascii="Times New Roman" w:eastAsia="Times New Roman" w:hAnsi="Times New Roman" w:cs="Times New Roman"/>
          <w:color w:val="000000"/>
          <w:sz w:val="25"/>
          <w:szCs w:val="25"/>
        </w:rPr>
        <w:t xml:space="preserve">4.4.1. Xem xét các điều kiện của giao dịch để tiến hành thông báo tập trung kinh  tế đến Ủy ban cạnh tranh Quốc gia ................................................................155 4.4.2. Thực hiện đầy đủ yêu cầu về hình thức và nội dung của hồ sơ thông báo  tập trung kinh tế .............................................................................................157 4.4.3. Nâng cao hiểu biết về pháp luật kiểm soát tập trung kinh tế và tham vấn  ý kiến của Ủy ban cạnh tranh Quốc gia khi cần thiết ....................................158 </w:t>
      </w:r>
      <w:r>
        <w:rPr>
          <w:rFonts w:ascii="Times New Roman" w:eastAsia="Times New Roman" w:hAnsi="Times New Roman" w:cs="Times New Roman"/>
          <w:b/>
          <w:bCs/>
          <w:color w:val="000000"/>
          <w:sz w:val="25"/>
          <w:szCs w:val="25"/>
        </w:rPr>
        <w:t xml:space="preserve">KẾT LUẬN CHƯƠNG 4 .....................................................................................159 KẾT LUẬN CHUNG............................................................................................161 DANH MỤC CÁC CÔNG TRÌNH KHOA HỌC ĐÃ ĐƯỢC CÔNG BỐ ......163 DANH MỤC TÀI LIỆU THAM KHẢO ............................................................164 PHỤ LỤC 1: DOANH THU VÀ MỨC ĐỘ TẬP TRUNG KINH TẾ CỦA 07  PHÂN NGÀNH THỊ TRƯỜNG BÁN LẺ CÓ MÃ VSIC TỪ 471 ĐẾN 477, GIAI  ĐOẠN 2011-2023 .....................................................................................................A PHỤ LỤC 2: DANH SÁCH CÁC GIAO DỊCH M&amp;A NỔI BẬT TRONG LĨNH  VỰC BÁN LẺ TẠI VIỆT NAM GIAI ĐOẠN 2007 - 2024.................................. E PHỤ LỤC 3: KẾT </w:t>
      </w:r>
      <w:r>
        <w:rPr>
          <w:rFonts w:ascii="Times New Roman" w:eastAsia="Times New Roman" w:hAnsi="Times New Roman" w:cs="Times New Roman"/>
          <w:b/>
          <w:bCs/>
          <w:color w:val="000000"/>
          <w:sz w:val="25"/>
          <w:szCs w:val="25"/>
        </w:rPr>
        <w:lastRenderedPageBreak/>
        <w:t>QUẢ PHỎNG VẤN SÂU CHUYÊN GIA VỀ QUẢN LÝ  NHÀ NƯỚC VỀ TẬP TRUNG KINH TẾ TẠI VIỆT NAM................................ I</w:t>
      </w:r>
    </w:p>
    <w:p w14:paraId="0423C86E"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vii </w:t>
      </w:r>
    </w:p>
    <w:p w14:paraId="6BCCE18D" w14:textId="77777777" w:rsidR="00F60F67" w:rsidRDefault="00000000">
      <w:pPr>
        <w:widowControl w:val="0"/>
        <w:pBdr>
          <w:top w:val="nil"/>
          <w:left w:val="nil"/>
          <w:bottom w:val="nil"/>
          <w:right w:val="nil"/>
          <w:between w:val="nil"/>
        </w:pBdr>
        <w:spacing w:before="652"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DANH MỤC CÁC BẢNG </w:t>
      </w:r>
    </w:p>
    <w:p w14:paraId="2DF5C3E7" w14:textId="77777777" w:rsidR="00F60F67" w:rsidRDefault="00000000">
      <w:pPr>
        <w:widowControl w:val="0"/>
        <w:pBdr>
          <w:top w:val="nil"/>
          <w:left w:val="nil"/>
          <w:bottom w:val="nil"/>
          <w:right w:val="nil"/>
          <w:between w:val="nil"/>
        </w:pBdr>
        <w:spacing w:before="422"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Bảng 3. 1. Danh mục mã VSIC cấp 3 trong lĩnh vực bán lẻ.....................................88 </w:t>
      </w:r>
    </w:p>
    <w:p w14:paraId="48693B20" w14:textId="77777777" w:rsidR="00F60F67" w:rsidRDefault="00000000">
      <w:pPr>
        <w:widowControl w:val="0"/>
        <w:pBdr>
          <w:top w:val="nil"/>
          <w:left w:val="nil"/>
          <w:bottom w:val="nil"/>
          <w:right w:val="nil"/>
          <w:between w:val="nil"/>
        </w:pBdr>
        <w:spacing w:before="263" w:line="348" w:lineRule="auto"/>
        <w:ind w:left="443" w:right="368" w:firstLine="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Bảng 3. 2. Nhận xét về biến động chỉ số CR và HHI của các phân ngành bán lẻ tại  Việt Nam...................................................................................................................94 </w:t>
      </w:r>
    </w:p>
    <w:p w14:paraId="080E1C09" w14:textId="77777777" w:rsidR="00F60F67" w:rsidRDefault="00000000">
      <w:pPr>
        <w:widowControl w:val="0"/>
        <w:pBdr>
          <w:top w:val="nil"/>
          <w:left w:val="nil"/>
          <w:bottom w:val="nil"/>
          <w:right w:val="nil"/>
          <w:between w:val="nil"/>
        </w:pBdr>
        <w:spacing w:before="147"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Bảng 3. 3. Việt Nam trong bảng xếp hạng Chỉ số GRDI, 2011-2023 ....................100 </w:t>
      </w:r>
    </w:p>
    <w:p w14:paraId="20563DD8" w14:textId="77777777" w:rsidR="00F60F67" w:rsidRDefault="00000000">
      <w:pPr>
        <w:widowControl w:val="0"/>
        <w:pBdr>
          <w:top w:val="nil"/>
          <w:left w:val="nil"/>
          <w:bottom w:val="nil"/>
          <w:right w:val="nil"/>
          <w:between w:val="nil"/>
        </w:pBdr>
        <w:spacing w:before="595"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DANH MỤC CÁC BIỂU ĐỒ </w:t>
      </w:r>
    </w:p>
    <w:p w14:paraId="278F4044" w14:textId="77777777" w:rsidR="00F60F67" w:rsidRDefault="00000000">
      <w:pPr>
        <w:widowControl w:val="0"/>
        <w:pBdr>
          <w:top w:val="nil"/>
          <w:left w:val="nil"/>
          <w:bottom w:val="nil"/>
          <w:right w:val="nil"/>
          <w:between w:val="nil"/>
        </w:pBdr>
        <w:spacing w:before="268" w:line="344" w:lineRule="auto"/>
        <w:ind w:left="513" w:right="442" w:hanging="6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Biểu đồ 3.1. Tổng mức bán lẻ hàng hóa và doanh thu dịch vụ giai đoạn 2007-2024 ..................................................................................................................................86 </w:t>
      </w:r>
    </w:p>
    <w:p w14:paraId="3DA13E67" w14:textId="77777777" w:rsidR="00F60F67" w:rsidRDefault="00000000">
      <w:pPr>
        <w:widowControl w:val="0"/>
        <w:pBdr>
          <w:top w:val="nil"/>
          <w:left w:val="nil"/>
          <w:bottom w:val="nil"/>
          <w:right w:val="nil"/>
          <w:between w:val="nil"/>
        </w:pBdr>
        <w:spacing w:before="151" w:line="348" w:lineRule="auto"/>
        <w:ind w:left="446" w:right="36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Biểu đồ 3. 2. Tổng số lượng chợ, siêu thị và trung tâm thương mại tại Việt Nam giai  đoạn 2011-2023 ........................................................................................................87 </w:t>
      </w:r>
    </w:p>
    <w:p w14:paraId="6DE3DD1E" w14:textId="77777777" w:rsidR="00F60F67" w:rsidRDefault="00000000">
      <w:pPr>
        <w:widowControl w:val="0"/>
        <w:pBdr>
          <w:top w:val="nil"/>
          <w:left w:val="nil"/>
          <w:bottom w:val="nil"/>
          <w:right w:val="nil"/>
          <w:between w:val="nil"/>
        </w:pBdr>
        <w:spacing w:before="147" w:line="348" w:lineRule="auto"/>
        <w:ind w:left="471" w:right="368" w:hanging="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Biểu đồ 3. 3. Số lượng và giá trị giao dịch của giao dịch M&amp;A tại Việt Nam giai đoạn  1996-2024 .................................................................................................................96 </w:t>
      </w:r>
    </w:p>
    <w:p w14:paraId="59A6B0B9" w14:textId="77777777" w:rsidR="00F60F67" w:rsidRDefault="00000000">
      <w:pPr>
        <w:widowControl w:val="0"/>
        <w:pBdr>
          <w:top w:val="nil"/>
          <w:left w:val="nil"/>
          <w:bottom w:val="nil"/>
          <w:right w:val="nil"/>
          <w:between w:val="nil"/>
        </w:pBdr>
        <w:spacing w:before="147"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Biểu đồ 3.4. Thị phần của các chuỗi đại siêu thị tại Việt Nam (2018-2021) .........118 </w:t>
      </w:r>
    </w:p>
    <w:p w14:paraId="6AD6878A" w14:textId="77777777" w:rsidR="00F60F67" w:rsidRDefault="00000000">
      <w:pPr>
        <w:widowControl w:val="0"/>
        <w:pBdr>
          <w:top w:val="nil"/>
          <w:left w:val="nil"/>
          <w:bottom w:val="nil"/>
          <w:right w:val="nil"/>
          <w:between w:val="nil"/>
        </w:pBdr>
        <w:spacing w:before="595"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DANH MỤC CÁC HÌNH </w:t>
      </w:r>
    </w:p>
    <w:p w14:paraId="431AAD46" w14:textId="77777777" w:rsidR="00F60F67" w:rsidRDefault="00000000">
      <w:pPr>
        <w:widowControl w:val="0"/>
        <w:pBdr>
          <w:top w:val="nil"/>
          <w:left w:val="nil"/>
          <w:bottom w:val="nil"/>
          <w:right w:val="nil"/>
          <w:between w:val="nil"/>
        </w:pBdr>
        <w:spacing w:before="263"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Hình 2.1. Mô hình cấu trúc - hành vi - kết quả (SCP)..............................................47 </w:t>
      </w:r>
    </w:p>
    <w:p w14:paraId="71761EE2" w14:textId="77777777" w:rsidR="00F60F67" w:rsidRDefault="00000000">
      <w:pPr>
        <w:widowControl w:val="0"/>
        <w:pBdr>
          <w:top w:val="nil"/>
          <w:left w:val="nil"/>
          <w:bottom w:val="nil"/>
          <w:right w:val="nil"/>
          <w:between w:val="nil"/>
        </w:pBdr>
        <w:spacing w:before="268" w:line="344" w:lineRule="auto"/>
        <w:ind w:left="1171" w:right="442" w:hanging="7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Hình 3.1. Một số giao dịch M&amp;A lớn trong lĩnh vực bán lẻ tại Việt Nam, 2007-2024 99 </w:t>
      </w:r>
    </w:p>
    <w:p w14:paraId="5B8BB6BE" w14:textId="77777777" w:rsidR="00F60F67" w:rsidRDefault="00000000">
      <w:pPr>
        <w:widowControl w:val="0"/>
        <w:pBdr>
          <w:top w:val="nil"/>
          <w:left w:val="nil"/>
          <w:bottom w:val="nil"/>
          <w:right w:val="nil"/>
          <w:between w:val="nil"/>
        </w:pBdr>
        <w:spacing w:before="156"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Hình 3. 2. Quy trình thẩm định sơ bộ vụ việc TTKT .............................................108 </w:t>
      </w:r>
    </w:p>
    <w:p w14:paraId="19EE6D91" w14:textId="77777777" w:rsidR="00F60F67" w:rsidRDefault="00000000">
      <w:pPr>
        <w:widowControl w:val="0"/>
        <w:pBdr>
          <w:top w:val="nil"/>
          <w:left w:val="nil"/>
          <w:bottom w:val="nil"/>
          <w:right w:val="nil"/>
          <w:between w:val="nil"/>
        </w:pBdr>
        <w:spacing w:before="263" w:line="348" w:lineRule="auto"/>
        <w:ind w:left="513" w:right="442" w:hanging="6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Hình 3.3. Cấu trúc sở hữu trước và sau TTKT giữa Central Group và Tập đoàn Casino ................................................................................................................................118 </w:t>
      </w:r>
    </w:p>
    <w:p w14:paraId="6AEE25A5" w14:textId="77777777" w:rsidR="00F60F67" w:rsidRDefault="00000000">
      <w:pPr>
        <w:widowControl w:val="0"/>
        <w:pBdr>
          <w:top w:val="nil"/>
          <w:left w:val="nil"/>
          <w:bottom w:val="nil"/>
          <w:right w:val="nil"/>
          <w:between w:val="nil"/>
        </w:pBdr>
        <w:spacing w:before="147" w:line="344" w:lineRule="auto"/>
        <w:ind w:left="438" w:right="368" w:firstLine="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Hình 3.4. Cấu trúc sở hữu trước và sau TTKT giữa Vincommerce và Công ty Đầu tư  Nhất Nam................................................................................................................121 </w:t>
      </w:r>
    </w:p>
    <w:p w14:paraId="4D272034" w14:textId="77777777" w:rsidR="00F60F67" w:rsidRDefault="00000000">
      <w:pPr>
        <w:widowControl w:val="0"/>
        <w:pBdr>
          <w:top w:val="nil"/>
          <w:left w:val="nil"/>
          <w:bottom w:val="nil"/>
          <w:right w:val="nil"/>
          <w:between w:val="nil"/>
        </w:pBdr>
        <w:spacing w:before="156" w:line="344" w:lineRule="auto"/>
        <w:ind w:left="446" w:right="36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Hình 3.5. Cấu trúc sở hữu trước và sau TTKT giữa VinCommerce, VinEco và CTCP  Hàng tiêu dùng Masan ............................................................................................125</w:t>
      </w:r>
    </w:p>
    <w:p w14:paraId="710B4F11"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viii </w:t>
      </w:r>
    </w:p>
    <w:p w14:paraId="59E539C2" w14:textId="77777777" w:rsidR="00F60F67" w:rsidRDefault="00000000">
      <w:pPr>
        <w:widowControl w:val="0"/>
        <w:pBdr>
          <w:top w:val="nil"/>
          <w:left w:val="nil"/>
          <w:bottom w:val="nil"/>
          <w:right w:val="nil"/>
          <w:between w:val="nil"/>
        </w:pBdr>
        <w:spacing w:before="652"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lastRenderedPageBreak/>
        <w:t xml:space="preserve">DANH MỤC TỪ VIẾT TẮT </w:t>
      </w:r>
    </w:p>
    <w:p w14:paraId="49E5A79C" w14:textId="77777777" w:rsidR="00F60F67" w:rsidRDefault="00000000">
      <w:pPr>
        <w:widowControl w:val="0"/>
        <w:pBdr>
          <w:top w:val="nil"/>
          <w:left w:val="nil"/>
          <w:bottom w:val="nil"/>
          <w:right w:val="nil"/>
          <w:between w:val="nil"/>
        </w:pBdr>
        <w:spacing w:before="431" w:line="240" w:lineRule="auto"/>
        <w:ind w:left="556"/>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Từ viết tắt Từ viết nguyên nghĩa </w:t>
      </w:r>
    </w:p>
    <w:p w14:paraId="0A5BE73D" w14:textId="77777777" w:rsidR="00F60F67" w:rsidRDefault="00000000">
      <w:pPr>
        <w:widowControl w:val="0"/>
        <w:pBdr>
          <w:top w:val="nil"/>
          <w:left w:val="nil"/>
          <w:bottom w:val="nil"/>
          <w:right w:val="nil"/>
          <w:between w:val="nil"/>
        </w:pBdr>
        <w:spacing w:before="158" w:line="240" w:lineRule="auto"/>
        <w:ind w:left="54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AML Luật Chống độc quyền </w:t>
      </w:r>
    </w:p>
    <w:p w14:paraId="02C2C14B" w14:textId="77777777" w:rsidR="00F60F67" w:rsidRDefault="00000000">
      <w:pPr>
        <w:widowControl w:val="0"/>
        <w:pBdr>
          <w:top w:val="nil"/>
          <w:left w:val="nil"/>
          <w:bottom w:val="nil"/>
          <w:right w:val="nil"/>
          <w:between w:val="nil"/>
        </w:pBdr>
        <w:spacing w:before="153" w:line="355" w:lineRule="auto"/>
        <w:ind w:left="549" w:right="187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APEC Diễn đàn Hợp tác Kinh tế Châu Á - Thái Bình Dương ASEAN Hiệp hội các quốc gia Đông Nam Á </w:t>
      </w:r>
    </w:p>
    <w:p w14:paraId="047DFB38" w14:textId="77777777" w:rsidR="00F60F67" w:rsidRDefault="00000000">
      <w:pPr>
        <w:widowControl w:val="0"/>
        <w:pBdr>
          <w:top w:val="nil"/>
          <w:left w:val="nil"/>
          <w:bottom w:val="nil"/>
          <w:right w:val="nil"/>
          <w:between w:val="nil"/>
        </w:pBdr>
        <w:spacing w:before="28" w:line="240" w:lineRule="auto"/>
        <w:ind w:left="54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ASEM Diễn đàn Hợp tác Á - Âu </w:t>
      </w:r>
    </w:p>
    <w:p w14:paraId="701B43D2" w14:textId="77777777" w:rsidR="00F60F67" w:rsidRDefault="00000000">
      <w:pPr>
        <w:widowControl w:val="0"/>
        <w:pBdr>
          <w:top w:val="nil"/>
          <w:left w:val="nil"/>
          <w:bottom w:val="nil"/>
          <w:right w:val="nil"/>
          <w:between w:val="nil"/>
        </w:pBdr>
        <w:spacing w:before="158" w:line="240" w:lineRule="auto"/>
        <w:ind w:left="55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CMA Cơ quan Cạnh tranh và Thị trường Anh </w:t>
      </w:r>
    </w:p>
    <w:p w14:paraId="6105D420" w14:textId="77777777" w:rsidR="00F60F67" w:rsidRDefault="00000000">
      <w:pPr>
        <w:widowControl w:val="0"/>
        <w:pBdr>
          <w:top w:val="nil"/>
          <w:left w:val="nil"/>
          <w:bottom w:val="nil"/>
          <w:right w:val="nil"/>
          <w:between w:val="nil"/>
        </w:pBdr>
        <w:spacing w:before="153" w:line="355" w:lineRule="auto"/>
        <w:ind w:left="556" w:right="81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CPTPP Hiệp định Đối tác toàn diện và Tiến bộ xuyên Thái Bình Dương Cục QLCT Cục Quản lý cạnh tranh </w:t>
      </w:r>
    </w:p>
    <w:p w14:paraId="37A7C27E" w14:textId="77777777" w:rsidR="00F60F67" w:rsidRDefault="00000000">
      <w:pPr>
        <w:widowControl w:val="0"/>
        <w:pBdr>
          <w:top w:val="nil"/>
          <w:left w:val="nil"/>
          <w:bottom w:val="nil"/>
          <w:right w:val="nil"/>
          <w:between w:val="nil"/>
        </w:pBdr>
        <w:spacing w:before="28" w:line="240" w:lineRule="auto"/>
        <w:ind w:left="55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CQCT Cơ quan cạnh tranh </w:t>
      </w:r>
    </w:p>
    <w:p w14:paraId="39DD20B5" w14:textId="77777777" w:rsidR="00F60F67" w:rsidRDefault="00000000">
      <w:pPr>
        <w:widowControl w:val="0"/>
        <w:pBdr>
          <w:top w:val="nil"/>
          <w:left w:val="nil"/>
          <w:bottom w:val="nil"/>
          <w:right w:val="nil"/>
          <w:between w:val="nil"/>
        </w:pBdr>
        <w:spacing w:before="158" w:line="240" w:lineRule="auto"/>
        <w:ind w:left="55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CQNN Cơ quan nhà nước </w:t>
      </w:r>
    </w:p>
    <w:p w14:paraId="733C9DC9" w14:textId="77777777" w:rsidR="00F60F67" w:rsidRDefault="00000000">
      <w:pPr>
        <w:widowControl w:val="0"/>
        <w:pBdr>
          <w:top w:val="nil"/>
          <w:left w:val="nil"/>
          <w:bottom w:val="nil"/>
          <w:right w:val="nil"/>
          <w:between w:val="nil"/>
        </w:pBdr>
        <w:spacing w:before="153" w:line="355" w:lineRule="auto"/>
        <w:ind w:left="556" w:right="199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CR Chỉ số tập trung thị phần nhóm (Concentration ratio) CTCP Công ty cổ phần </w:t>
      </w:r>
    </w:p>
    <w:p w14:paraId="777E26A5" w14:textId="77777777" w:rsidR="00F60F67" w:rsidRDefault="00000000">
      <w:pPr>
        <w:widowControl w:val="0"/>
        <w:pBdr>
          <w:top w:val="nil"/>
          <w:left w:val="nil"/>
          <w:bottom w:val="nil"/>
          <w:right w:val="nil"/>
          <w:between w:val="nil"/>
        </w:pBdr>
        <w:spacing w:before="28" w:line="240" w:lineRule="auto"/>
        <w:ind w:left="55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CT&amp;BVNTD Cạnh tranh và bảo vệ người tiêu dùng </w:t>
      </w:r>
    </w:p>
    <w:p w14:paraId="3D9D873F" w14:textId="77777777" w:rsidR="00F60F67" w:rsidRDefault="00000000">
      <w:pPr>
        <w:widowControl w:val="0"/>
        <w:pBdr>
          <w:top w:val="nil"/>
          <w:left w:val="nil"/>
          <w:bottom w:val="nil"/>
          <w:right w:val="nil"/>
          <w:between w:val="nil"/>
        </w:pBdr>
        <w:spacing w:before="158" w:line="240" w:lineRule="auto"/>
        <w:ind w:left="55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EC Ủy ban Châu Âu </w:t>
      </w:r>
    </w:p>
    <w:p w14:paraId="5F5A46BD" w14:textId="77777777" w:rsidR="00F60F67" w:rsidRDefault="00000000">
      <w:pPr>
        <w:widowControl w:val="0"/>
        <w:pBdr>
          <w:top w:val="nil"/>
          <w:left w:val="nil"/>
          <w:bottom w:val="nil"/>
          <w:right w:val="nil"/>
          <w:between w:val="nil"/>
        </w:pBdr>
        <w:spacing w:before="153" w:line="240" w:lineRule="auto"/>
        <w:ind w:left="55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EU Liên minh Châu Âu </w:t>
      </w:r>
    </w:p>
    <w:p w14:paraId="2558AC1C" w14:textId="77777777" w:rsidR="00F60F67" w:rsidRDefault="00000000">
      <w:pPr>
        <w:widowControl w:val="0"/>
        <w:pBdr>
          <w:top w:val="nil"/>
          <w:left w:val="nil"/>
          <w:bottom w:val="nil"/>
          <w:right w:val="nil"/>
          <w:between w:val="nil"/>
        </w:pBdr>
        <w:spacing w:before="158" w:line="240" w:lineRule="auto"/>
        <w:ind w:left="55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EUMR Quy chế Sáp nhập của Liên minh châu Âu </w:t>
      </w:r>
    </w:p>
    <w:p w14:paraId="55CF73C7" w14:textId="77777777" w:rsidR="00F60F67" w:rsidRDefault="00000000">
      <w:pPr>
        <w:widowControl w:val="0"/>
        <w:pBdr>
          <w:top w:val="nil"/>
          <w:left w:val="nil"/>
          <w:bottom w:val="nil"/>
          <w:right w:val="nil"/>
          <w:between w:val="nil"/>
        </w:pBdr>
        <w:spacing w:before="153" w:line="355" w:lineRule="auto"/>
        <w:ind w:left="551" w:right="1113" w:firstLine="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EVFTA Hiệp định Thương mại tự do Việt Nam - Liên minh Châu Âu FTA Hiệp định thương mại tự do </w:t>
      </w:r>
    </w:p>
    <w:p w14:paraId="12998FAF" w14:textId="77777777" w:rsidR="00F60F67" w:rsidRDefault="00000000">
      <w:pPr>
        <w:widowControl w:val="0"/>
        <w:pBdr>
          <w:top w:val="nil"/>
          <w:left w:val="nil"/>
          <w:bottom w:val="nil"/>
          <w:right w:val="nil"/>
          <w:between w:val="nil"/>
        </w:pBdr>
        <w:spacing w:before="28" w:line="240" w:lineRule="auto"/>
        <w:ind w:left="55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FTC Ủy ban Thương mại Liên bang Hoa Kỳ </w:t>
      </w:r>
    </w:p>
    <w:p w14:paraId="2829DFC1" w14:textId="77777777" w:rsidR="00F60F67" w:rsidRDefault="00000000">
      <w:pPr>
        <w:widowControl w:val="0"/>
        <w:pBdr>
          <w:top w:val="nil"/>
          <w:left w:val="nil"/>
          <w:bottom w:val="nil"/>
          <w:right w:val="nil"/>
          <w:between w:val="nil"/>
        </w:pBdr>
        <w:spacing w:before="158" w:line="240" w:lineRule="auto"/>
        <w:ind w:left="55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HCCT Hạn chế cạnh tranh </w:t>
      </w:r>
    </w:p>
    <w:p w14:paraId="6979A4E9" w14:textId="77777777" w:rsidR="00F60F67" w:rsidRDefault="00000000">
      <w:pPr>
        <w:widowControl w:val="0"/>
        <w:pBdr>
          <w:top w:val="nil"/>
          <w:left w:val="nil"/>
          <w:bottom w:val="nil"/>
          <w:right w:val="nil"/>
          <w:between w:val="nil"/>
        </w:pBdr>
        <w:spacing w:before="153" w:line="240" w:lineRule="auto"/>
        <w:ind w:left="55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HHI Chỉ số Herfindahl-Hirschman </w:t>
      </w:r>
    </w:p>
    <w:p w14:paraId="7AB86884" w14:textId="77777777" w:rsidR="00F60F67" w:rsidRDefault="00000000">
      <w:pPr>
        <w:widowControl w:val="0"/>
        <w:pBdr>
          <w:top w:val="nil"/>
          <w:left w:val="nil"/>
          <w:bottom w:val="nil"/>
          <w:right w:val="nil"/>
          <w:between w:val="nil"/>
        </w:pBdr>
        <w:spacing w:before="158" w:line="240" w:lineRule="auto"/>
        <w:ind w:left="55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JFTC Ủy ban Thương mại Công bằng Nhật Bản </w:t>
      </w:r>
    </w:p>
    <w:p w14:paraId="0F8E830C" w14:textId="77777777" w:rsidR="00F60F67" w:rsidRDefault="00000000">
      <w:pPr>
        <w:widowControl w:val="0"/>
        <w:pBdr>
          <w:top w:val="nil"/>
          <w:left w:val="nil"/>
          <w:bottom w:val="nil"/>
          <w:right w:val="nil"/>
          <w:between w:val="nil"/>
        </w:pBdr>
        <w:spacing w:before="153" w:line="240" w:lineRule="auto"/>
        <w:ind w:left="55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M&amp;A Mua bán và sáp nhập </w:t>
      </w:r>
    </w:p>
    <w:p w14:paraId="694616D5" w14:textId="77777777" w:rsidR="00F60F67" w:rsidRDefault="00000000">
      <w:pPr>
        <w:widowControl w:val="0"/>
        <w:pBdr>
          <w:top w:val="nil"/>
          <w:left w:val="nil"/>
          <w:bottom w:val="nil"/>
          <w:right w:val="nil"/>
          <w:between w:val="nil"/>
        </w:pBdr>
        <w:spacing w:before="158" w:line="240" w:lineRule="auto"/>
        <w:ind w:left="55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OECD Tổ chức Hợp tác và Phát triển Kinh tế </w:t>
      </w:r>
    </w:p>
    <w:p w14:paraId="40E6E16A" w14:textId="77777777" w:rsidR="00F60F67" w:rsidRDefault="00000000">
      <w:pPr>
        <w:widowControl w:val="0"/>
        <w:pBdr>
          <w:top w:val="nil"/>
          <w:left w:val="nil"/>
          <w:bottom w:val="nil"/>
          <w:right w:val="nil"/>
          <w:between w:val="nil"/>
        </w:pBdr>
        <w:spacing w:before="158" w:line="240" w:lineRule="auto"/>
        <w:ind w:left="55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PLCT Pháp luật cạnh tranh </w:t>
      </w:r>
    </w:p>
    <w:p w14:paraId="746278E5" w14:textId="77777777" w:rsidR="00F60F67" w:rsidRDefault="00000000">
      <w:pPr>
        <w:widowControl w:val="0"/>
        <w:pBdr>
          <w:top w:val="nil"/>
          <w:left w:val="nil"/>
          <w:bottom w:val="nil"/>
          <w:right w:val="nil"/>
          <w:between w:val="nil"/>
        </w:pBdr>
        <w:spacing w:before="158" w:line="240" w:lineRule="auto"/>
        <w:ind w:left="55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QLNN Quản lý nhà nước </w:t>
      </w:r>
    </w:p>
    <w:p w14:paraId="00C4DDC9" w14:textId="77777777" w:rsidR="00F60F67" w:rsidRDefault="00000000">
      <w:pPr>
        <w:widowControl w:val="0"/>
        <w:pBdr>
          <w:top w:val="nil"/>
          <w:left w:val="nil"/>
          <w:bottom w:val="nil"/>
          <w:right w:val="nil"/>
          <w:between w:val="nil"/>
        </w:pBdr>
        <w:spacing w:before="158" w:line="213" w:lineRule="auto"/>
        <w:ind w:left="2196" w:right="655" w:hanging="164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43"/>
          <w:szCs w:val="43"/>
          <w:vertAlign w:val="subscript"/>
        </w:rPr>
        <w:t xml:space="preserve">RADEFI </w:t>
      </w:r>
      <w:r>
        <w:rPr>
          <w:rFonts w:ascii="Times New Roman" w:eastAsia="Times New Roman" w:hAnsi="Times New Roman" w:cs="Times New Roman"/>
          <w:color w:val="000000"/>
          <w:sz w:val="25"/>
          <w:szCs w:val="25"/>
        </w:rPr>
        <w:t>Quy định về việc Mua lại Doanh nghiệp trong nước của Nhà đầu  tư nước ngoài</w:t>
      </w:r>
    </w:p>
    <w:p w14:paraId="1B7D0D69"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ix </w:t>
      </w:r>
    </w:p>
    <w:p w14:paraId="27784120" w14:textId="77777777" w:rsidR="00F60F67" w:rsidRDefault="00000000">
      <w:pPr>
        <w:widowControl w:val="0"/>
        <w:pBdr>
          <w:top w:val="nil"/>
          <w:left w:val="nil"/>
          <w:bottom w:val="nil"/>
          <w:right w:val="nil"/>
          <w:between w:val="nil"/>
        </w:pBdr>
        <w:spacing w:before="662" w:line="240" w:lineRule="auto"/>
        <w:ind w:left="556"/>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Từ viết tắt Từ viết nguyên nghĩa </w:t>
      </w:r>
    </w:p>
    <w:p w14:paraId="4B672EA5" w14:textId="77777777" w:rsidR="00F60F67" w:rsidRDefault="00000000">
      <w:pPr>
        <w:widowControl w:val="0"/>
        <w:pBdr>
          <w:top w:val="nil"/>
          <w:left w:val="nil"/>
          <w:bottom w:val="nil"/>
          <w:right w:val="nil"/>
          <w:between w:val="nil"/>
        </w:pBdr>
        <w:spacing w:before="158" w:line="351" w:lineRule="auto"/>
        <w:ind w:left="554" w:right="2003" w:firstLine="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SAMR Tổng cục Quản lý Thị trường Nhà nước Trung Quốc TNHH Trách nhiệm hữu hạn </w:t>
      </w:r>
    </w:p>
    <w:p w14:paraId="5075531C" w14:textId="77777777" w:rsidR="00F60F67" w:rsidRDefault="00000000">
      <w:pPr>
        <w:widowControl w:val="0"/>
        <w:pBdr>
          <w:top w:val="nil"/>
          <w:left w:val="nil"/>
          <w:bottom w:val="nil"/>
          <w:right w:val="nil"/>
          <w:between w:val="nil"/>
        </w:pBdr>
        <w:spacing w:before="37" w:line="355" w:lineRule="auto"/>
        <w:ind w:left="554" w:right="295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TPP Hiệp định Đối tác Xuyên Thái Bình Dương TTKT Tập trung kinh tế </w:t>
      </w:r>
    </w:p>
    <w:p w14:paraId="40022F31" w14:textId="77777777" w:rsidR="00F60F67" w:rsidRDefault="00000000">
      <w:pPr>
        <w:widowControl w:val="0"/>
        <w:pBdr>
          <w:top w:val="nil"/>
          <w:left w:val="nil"/>
          <w:bottom w:val="nil"/>
          <w:right w:val="nil"/>
          <w:between w:val="nil"/>
        </w:pBdr>
        <w:spacing w:before="28" w:line="240" w:lineRule="auto"/>
        <w:ind w:left="55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TTLQ Thị trường liên quan </w:t>
      </w:r>
    </w:p>
    <w:p w14:paraId="2ED9325C" w14:textId="77777777" w:rsidR="00F60F67" w:rsidRDefault="00000000">
      <w:pPr>
        <w:widowControl w:val="0"/>
        <w:pBdr>
          <w:top w:val="nil"/>
          <w:left w:val="nil"/>
          <w:bottom w:val="nil"/>
          <w:right w:val="nil"/>
          <w:between w:val="nil"/>
        </w:pBdr>
        <w:spacing w:before="158" w:line="240" w:lineRule="auto"/>
        <w:ind w:left="5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UBCTQG Ủy ban Cạnh tranh Quốc gia </w:t>
      </w:r>
    </w:p>
    <w:p w14:paraId="5D6DB8CE" w14:textId="77777777" w:rsidR="00F60F67" w:rsidRDefault="00000000">
      <w:pPr>
        <w:widowControl w:val="0"/>
        <w:pBdr>
          <w:top w:val="nil"/>
          <w:left w:val="nil"/>
          <w:bottom w:val="nil"/>
          <w:right w:val="nil"/>
          <w:between w:val="nil"/>
        </w:pBdr>
        <w:spacing w:before="153" w:line="355" w:lineRule="auto"/>
        <w:ind w:left="548" w:right="18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UNCTAD Hội nghị Liên Hợp Quốc về Thương mại và Phát triển US-DOJ Bộ Tư pháp Hoa Kỳ </w:t>
      </w:r>
    </w:p>
    <w:p w14:paraId="55579851" w14:textId="77777777" w:rsidR="00F60F67" w:rsidRDefault="00000000">
      <w:pPr>
        <w:widowControl w:val="0"/>
        <w:pBdr>
          <w:top w:val="nil"/>
          <w:left w:val="nil"/>
          <w:bottom w:val="nil"/>
          <w:right w:val="nil"/>
          <w:between w:val="nil"/>
        </w:pBdr>
        <w:spacing w:before="28" w:line="240" w:lineRule="auto"/>
        <w:ind w:left="54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VSIC Hệ thống ngành kinh tế Việt Nam </w:t>
      </w:r>
    </w:p>
    <w:p w14:paraId="1C7B4155" w14:textId="77777777" w:rsidR="00F60F67" w:rsidRDefault="00000000">
      <w:pPr>
        <w:widowControl w:val="0"/>
        <w:pBdr>
          <w:top w:val="nil"/>
          <w:left w:val="nil"/>
          <w:bottom w:val="nil"/>
          <w:right w:val="nil"/>
          <w:between w:val="nil"/>
        </w:pBdr>
        <w:spacing w:before="158" w:line="240" w:lineRule="auto"/>
        <w:ind w:left="55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WTO Tổ chức Thương mại Thế giới</w:t>
      </w:r>
    </w:p>
    <w:p w14:paraId="3F860E8E"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w:t>
      </w:r>
    </w:p>
    <w:p w14:paraId="14E92BAA" w14:textId="77777777" w:rsidR="00F60F67" w:rsidRDefault="00000000">
      <w:pPr>
        <w:widowControl w:val="0"/>
        <w:pBdr>
          <w:top w:val="nil"/>
          <w:left w:val="nil"/>
          <w:bottom w:val="nil"/>
          <w:right w:val="nil"/>
          <w:between w:val="nil"/>
        </w:pBdr>
        <w:spacing w:before="652"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MỞ ĐẦU </w:t>
      </w:r>
    </w:p>
    <w:p w14:paraId="503CD693" w14:textId="77777777" w:rsidR="00F60F67" w:rsidRDefault="00000000">
      <w:pPr>
        <w:widowControl w:val="0"/>
        <w:pBdr>
          <w:top w:val="nil"/>
          <w:left w:val="nil"/>
          <w:bottom w:val="nil"/>
          <w:right w:val="nil"/>
          <w:between w:val="nil"/>
        </w:pBdr>
        <w:spacing w:before="422" w:line="240" w:lineRule="auto"/>
        <w:ind w:left="458"/>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1. Tính cấp thiết của đề tài </w:t>
      </w:r>
    </w:p>
    <w:p w14:paraId="4900999F" w14:textId="77777777" w:rsidR="00F60F67" w:rsidRDefault="00000000">
      <w:pPr>
        <w:widowControl w:val="0"/>
        <w:pBdr>
          <w:top w:val="nil"/>
          <w:left w:val="nil"/>
          <w:bottom w:val="nil"/>
          <w:right w:val="nil"/>
          <w:between w:val="nil"/>
        </w:pBdr>
        <w:spacing w:before="263" w:line="346" w:lineRule="auto"/>
        <w:ind w:left="441" w:right="364"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thập niên vừa qua, quá trình hội nhập kinh tế quốc tế, chuyển đổi số và  tự do hóa thương mại đã khiến thị trường bán lẻ Việt Nam trở thành một trong những  khu vực năng động và cạnh tranh nhất Đông Nam Á. Cùng với xu hướng đó, tập trung  kinh tế (TTKT), đặc biệt dưới hình thức mua bán và sáp nhập (M&amp;A), là một công  cụ chiến lược giúp doanh nghiệp mở rộng quy mô, tái cấu trúc hoạt động và nâng cao  năng lực cạnh tranh. TTKT là biểu hiện tất yếu của nền kinh tế thị trường hiện đại,  phản ánh quy luật tích tụ và tập trung tư bản, đồng thời là tái phân bổ nguồn lực hiệu  quả giữa các chủ thể kinh tế (Gaughan, 2017; DePamphilis, 2022). Tuy nhiên, trong  khi TTKT có thể thúc đẩy hiệu quả kinh tế và đổi mới sáng tạo, nó cũng tiềm ẩn nguy  cơ làm suy giảm mức độ cạnh tranh, tạo ra vị thế thống lĩnh và tác động bất lợi đến  phúc lợi xã hội (Farrell &amp; Shapiro, 1990). Chính vì vậy, việc thiết lập và hoàn thiện  quản lý nhà nước (QLNN) về TTKT trở thành yêu cầu cấp bách nhằm bảo đảm sự phát triển hài hòa giữa tự do kinh doanh và bảo vệ cạnh tranh công bằng trong nền  kinh tế Việt Nam. </w:t>
      </w:r>
    </w:p>
    <w:p w14:paraId="371248E5" w14:textId="77777777" w:rsidR="00F60F67" w:rsidRDefault="00000000">
      <w:pPr>
        <w:widowControl w:val="0"/>
        <w:pBdr>
          <w:top w:val="nil"/>
          <w:left w:val="nil"/>
          <w:bottom w:val="nil"/>
          <w:right w:val="nil"/>
          <w:between w:val="nil"/>
        </w:pBdr>
        <w:spacing w:before="149" w:line="345" w:lineRule="auto"/>
        <w:ind w:left="441" w:right="367"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Trong lĩnh vực bán lẻ, TTKT diễn ra với tốc độ nhanh và quy mô ngày càng  lớn. Năm 2024, Việt Nam ghi nhận hơn 440 thương vụ M&amp;A với tổng giá trị 6,9 tỷ USD, trong đó lĩnh vực bán lẻ chiếm tỷ trọng đáng kể (KPMG, 2024). Các thương  vụ như Masan Group mở rộng hệ thống WinCommerce, Vingroup thoái vốn tại  Vincom Retail, hay sự gia nhập của các tập đoàn nước ngoài như Central Group (Thái  Lan) và Aeon (Nhật Bản) cho thấy xu hướng tái cấu trúc sâu rộng trong thị trường  bán lẻ nội địa (Bloomberg, 2024; VNExpress, 2024). Bên cạnh đó, sự phát triển bùng  nổ của thương mại điện tử (TMĐT), dự kiến đạt quy mô 25 tỷ USD vào năm 2025  (ASEAN Briefing, 2024), đang tạo ra “</w:t>
      </w:r>
      <w:r>
        <w:rPr>
          <w:rFonts w:ascii="Times New Roman" w:eastAsia="Times New Roman" w:hAnsi="Times New Roman" w:cs="Times New Roman"/>
          <w:i/>
          <w:iCs/>
          <w:color w:val="000000"/>
          <w:sz w:val="25"/>
          <w:szCs w:val="25"/>
        </w:rPr>
        <w:t>không gian tập trung kinh tế số</w:t>
      </w:r>
      <w:r>
        <w:rPr>
          <w:rFonts w:ascii="Times New Roman" w:eastAsia="Times New Roman" w:hAnsi="Times New Roman" w:cs="Times New Roman"/>
          <w:color w:val="000000"/>
          <w:sz w:val="25"/>
          <w:szCs w:val="25"/>
        </w:rPr>
        <w:t xml:space="preserve">”, nơi các nền  tảng trực tuyến nắm giữ dữ liệu, người tiêu dùng và chuỗi phân phối. Điều này đặt ra  thách thức mới cho Nhà </w:t>
      </w:r>
      <w:r>
        <w:rPr>
          <w:rFonts w:ascii="Times New Roman" w:eastAsia="Times New Roman" w:hAnsi="Times New Roman" w:cs="Times New Roman"/>
          <w:color w:val="000000"/>
          <w:sz w:val="25"/>
          <w:szCs w:val="25"/>
        </w:rPr>
        <w:lastRenderedPageBreak/>
        <w:t xml:space="preserve">nước trong việc giám sát, thẩm định và kiểm soát các hình  thức TTKT phi truyền thống. </w:t>
      </w:r>
    </w:p>
    <w:p w14:paraId="538354C1" w14:textId="77777777" w:rsidR="00F60F67" w:rsidRDefault="00000000">
      <w:pPr>
        <w:widowControl w:val="0"/>
        <w:pBdr>
          <w:top w:val="nil"/>
          <w:left w:val="nil"/>
          <w:bottom w:val="nil"/>
          <w:right w:val="nil"/>
          <w:between w:val="nil"/>
        </w:pBdr>
        <w:spacing w:before="154" w:line="344" w:lineRule="auto"/>
        <w:ind w:left="443" w:right="368" w:firstLine="56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Hiện nay, pháp luật và việc áp dụng pháp luật về QLNN về TTKT tại Việt Nam  vẫn đang trong quá trình hoàn thiện và còn nhiều hạn chế. Mặc dù Luật Cạnh tranh </w:t>
      </w:r>
    </w:p>
    <w:p w14:paraId="7057489A"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w:t>
      </w:r>
    </w:p>
    <w:p w14:paraId="5F8929A4" w14:textId="77777777" w:rsidR="00F60F67" w:rsidRDefault="00000000">
      <w:pPr>
        <w:widowControl w:val="0"/>
        <w:pBdr>
          <w:top w:val="nil"/>
          <w:left w:val="nil"/>
          <w:bottom w:val="nil"/>
          <w:right w:val="nil"/>
          <w:between w:val="nil"/>
        </w:pBdr>
        <w:spacing w:before="652" w:line="346" w:lineRule="auto"/>
        <w:ind w:left="443" w:right="36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năm 2018 đã dành riêng Chương V để điều chỉnh TTKT, song trên thực tế, quy trình  thẩm định, cơ chế phối hợp giữa các cơ quan quản lý, và công cụ phân tích tác động  cạnh tranh vẫn còn thiếu và yếu (Nguyễn &amp; Lê, 2023). Số lượng vụ việc TTKT được  thẩm định chuyên sâu còn ít, trong khi phần lớn giao dịch chỉ dừng ở mức thông báo  (FiinGroup, 2023). Bên cạnh đó, độ trễ thể chế, thiếu dữ liệu thị trường, và bất cập  trong hậu kiểm khiến công tác quản lý TTKT trong lĩnh vực bán lẻ chưa đáp ứng yêu  cầu của nền kinh tế hội nhập. OECD (2022) từng cảnh báo rằng việc kiểm soát TTKT  không hiệu quả có thể làm giảm năng lực cạnh tranh dài hạn, dẫn đến méo mó cấu  trúc thị trường và bất bình đẳng trong nền kinh tế. </w:t>
      </w:r>
    </w:p>
    <w:p w14:paraId="2C0F4F6C" w14:textId="77777777" w:rsidR="00F60F67" w:rsidRDefault="00000000">
      <w:pPr>
        <w:widowControl w:val="0"/>
        <w:pBdr>
          <w:top w:val="nil"/>
          <w:left w:val="nil"/>
          <w:bottom w:val="nil"/>
          <w:right w:val="nil"/>
          <w:between w:val="nil"/>
        </w:pBdr>
        <w:spacing w:before="149" w:line="346" w:lineRule="auto"/>
        <w:ind w:left="439" w:right="367" w:firstLine="57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Từ góc độ lý luận, TTKT trong lĩnh vực bán lẻ thể hiện mối quan hệ phức hợp  giữa lợi ích kinh tế vi mô (doanh nghiệp, người tiêu dùng) và lợi ích công vĩ mô (ổn  định cạnh tranh, an sinh xã hội, tăng trưởng bền vững). Trong nền kinh tế thị trường  định hướng xã hội chủ nghĩa, vai trò của Nhà nước không chỉ dừng lại ở việc “</w:t>
      </w:r>
      <w:r>
        <w:rPr>
          <w:rFonts w:ascii="Times New Roman" w:eastAsia="Times New Roman" w:hAnsi="Times New Roman" w:cs="Times New Roman"/>
          <w:i/>
          <w:iCs/>
          <w:color w:val="000000"/>
          <w:sz w:val="25"/>
          <w:szCs w:val="25"/>
        </w:rPr>
        <w:t>kiểm  soát</w:t>
      </w:r>
      <w:r>
        <w:rPr>
          <w:rFonts w:ascii="Times New Roman" w:eastAsia="Times New Roman" w:hAnsi="Times New Roman" w:cs="Times New Roman"/>
          <w:color w:val="000000"/>
          <w:sz w:val="25"/>
          <w:szCs w:val="25"/>
        </w:rPr>
        <w:t>” mà cần phải “</w:t>
      </w:r>
      <w:r>
        <w:rPr>
          <w:rFonts w:ascii="Times New Roman" w:eastAsia="Times New Roman" w:hAnsi="Times New Roman" w:cs="Times New Roman"/>
          <w:i/>
          <w:iCs/>
          <w:color w:val="000000"/>
          <w:sz w:val="25"/>
          <w:szCs w:val="25"/>
        </w:rPr>
        <w:t>điều tiết và kiến tạo</w:t>
      </w:r>
      <w:r>
        <w:rPr>
          <w:rFonts w:ascii="Times New Roman" w:eastAsia="Times New Roman" w:hAnsi="Times New Roman" w:cs="Times New Roman"/>
          <w:color w:val="000000"/>
          <w:sz w:val="25"/>
          <w:szCs w:val="25"/>
        </w:rPr>
        <w:t xml:space="preserve">”, tức là thiết kế khung pháp luật nhằm ngăn  ngừa các hành vi gây hạn chế cạnh tranh (HCCT). Điều này đòi hỏi Nhà nước phải  có năng lực hoạch định chính sách dựa trên bằng chứng, áp dụng các mô hình đánh  giá tác động TTKT để đảm bảo quyết định quản lý mang tính khách quan và khoa  học (OECD, 2022; UNCTAD, 2023). </w:t>
      </w:r>
    </w:p>
    <w:p w14:paraId="6266A9B7" w14:textId="77777777" w:rsidR="00F60F67" w:rsidRDefault="00000000">
      <w:pPr>
        <w:widowControl w:val="0"/>
        <w:pBdr>
          <w:top w:val="nil"/>
          <w:left w:val="nil"/>
          <w:bottom w:val="nil"/>
          <w:right w:val="nil"/>
          <w:between w:val="nil"/>
        </w:pBdr>
        <w:spacing w:before="149" w:line="345" w:lineRule="auto"/>
        <w:ind w:left="443" w:right="367" w:firstLine="56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Về phương diện thực tiễn, lĩnh vực bán lẻ Việt Nam đang đối diện với ba thách  thức lớn trong QLNN về TTKT. </w:t>
      </w:r>
      <w:r>
        <w:rPr>
          <w:rFonts w:ascii="Times New Roman" w:eastAsia="Times New Roman" w:hAnsi="Times New Roman" w:cs="Times New Roman"/>
          <w:i/>
          <w:iCs/>
          <w:color w:val="000000"/>
          <w:sz w:val="25"/>
          <w:szCs w:val="25"/>
        </w:rPr>
        <w:t>Thứ nhất</w:t>
      </w:r>
      <w:r>
        <w:rPr>
          <w:rFonts w:ascii="Times New Roman" w:eastAsia="Times New Roman" w:hAnsi="Times New Roman" w:cs="Times New Roman"/>
          <w:color w:val="000000"/>
          <w:sz w:val="25"/>
          <w:szCs w:val="25"/>
        </w:rPr>
        <w:t xml:space="preserve">, áp lực cạnh tranh xuyên biên giới khi các  tập đoàn quốc tế gia tăng thâu tóm doanh nghiệp nội địa, gây lo ngại về việc mất cân  đối chủ quyền kinh tế trong ngành phân phối. </w:t>
      </w:r>
      <w:r>
        <w:rPr>
          <w:rFonts w:ascii="Times New Roman" w:eastAsia="Times New Roman" w:hAnsi="Times New Roman" w:cs="Times New Roman"/>
          <w:i/>
          <w:iCs/>
          <w:color w:val="000000"/>
          <w:sz w:val="25"/>
          <w:szCs w:val="25"/>
        </w:rPr>
        <w:t>Thứ hai</w:t>
      </w:r>
      <w:r>
        <w:rPr>
          <w:rFonts w:ascii="Times New Roman" w:eastAsia="Times New Roman" w:hAnsi="Times New Roman" w:cs="Times New Roman"/>
          <w:color w:val="000000"/>
          <w:sz w:val="25"/>
          <w:szCs w:val="25"/>
        </w:rPr>
        <w:t xml:space="preserve">, tốc độ chuyển đổi nhanh khiến  các hình thức TTKT ngày càng phức tạp. </w:t>
      </w:r>
      <w:r>
        <w:rPr>
          <w:rFonts w:ascii="Times New Roman" w:eastAsia="Times New Roman" w:hAnsi="Times New Roman" w:cs="Times New Roman"/>
          <w:i/>
          <w:iCs/>
          <w:color w:val="000000"/>
          <w:sz w:val="25"/>
          <w:szCs w:val="25"/>
        </w:rPr>
        <w:t>Thứ ba</w:t>
      </w:r>
      <w:r>
        <w:rPr>
          <w:rFonts w:ascii="Times New Roman" w:eastAsia="Times New Roman" w:hAnsi="Times New Roman" w:cs="Times New Roman"/>
          <w:color w:val="000000"/>
          <w:sz w:val="25"/>
          <w:szCs w:val="25"/>
        </w:rPr>
        <w:t xml:space="preserve">, khả năng phối hợp liên ngành và  năng lực dự báo của cơ quan quản lý chưa đáp ứng yêu cầu kiểm soát TTKT mang  tính hệ thống. Nếu không có chiến lược QLNN hiệu quả, thị trường bán lẻ Việt Nam  có thể bị chi phối bởi một số ít doanh nghiệp lớn, làm giảm không gian cạnh tranh,  hạn chế đổi mới sáng tạo và ảnh hưởng trực tiếp đến quyền lợi người tiêu dùng  (UNCTAD, 2023). </w:t>
      </w:r>
    </w:p>
    <w:p w14:paraId="1789B643" w14:textId="77777777" w:rsidR="00F60F67" w:rsidRDefault="00000000">
      <w:pPr>
        <w:widowControl w:val="0"/>
        <w:pBdr>
          <w:top w:val="nil"/>
          <w:left w:val="nil"/>
          <w:bottom w:val="nil"/>
          <w:right w:val="nil"/>
          <w:between w:val="nil"/>
        </w:pBdr>
        <w:spacing w:before="149" w:line="348" w:lineRule="auto"/>
        <w:ind w:left="444" w:right="368" w:firstLine="57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Từ những phân tích trên, có thể khẳng định rằng nghiên cứu đề tài “</w:t>
      </w:r>
      <w:r>
        <w:rPr>
          <w:rFonts w:ascii="Times New Roman" w:eastAsia="Times New Roman" w:hAnsi="Times New Roman" w:cs="Times New Roman"/>
          <w:b/>
          <w:bCs/>
          <w:i/>
          <w:iCs/>
          <w:color w:val="000000"/>
          <w:sz w:val="25"/>
          <w:szCs w:val="25"/>
        </w:rPr>
        <w:t>Quản lý  nhà nước về tập trung kinh tế trong lĩnh vực bán lẻ tại Việt Nam</w:t>
      </w:r>
      <w:r>
        <w:rPr>
          <w:rFonts w:ascii="Times New Roman" w:eastAsia="Times New Roman" w:hAnsi="Times New Roman" w:cs="Times New Roman"/>
          <w:color w:val="000000"/>
          <w:sz w:val="25"/>
          <w:szCs w:val="25"/>
        </w:rPr>
        <w:t xml:space="preserve">” là hết sức cấp </w:t>
      </w:r>
    </w:p>
    <w:p w14:paraId="1921E795"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 </w:t>
      </w:r>
    </w:p>
    <w:p w14:paraId="44BDFE4B" w14:textId="77777777" w:rsidR="00F60F67" w:rsidRDefault="00000000">
      <w:pPr>
        <w:widowControl w:val="0"/>
        <w:pBdr>
          <w:top w:val="nil"/>
          <w:left w:val="nil"/>
          <w:bottom w:val="nil"/>
          <w:right w:val="nil"/>
          <w:between w:val="nil"/>
        </w:pBdr>
        <w:spacing w:before="652" w:line="346" w:lineRule="auto"/>
        <w:ind w:left="443" w:right="367" w:firstLine="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thiết cả về mặt lý luận và thực tiễn. Đề tài không chỉ góp phần bổ sung cơ sở khoa  học cho công tác QLNN về TTKT, mà còn hướng tới đề xuất các giải pháp nâng cao  hiệu quả điều tiết, bảo đảm môi trường kinh doanh công bằng, minh bạch và bền vững  cho sự phát triển của lĩnh vực bán lẻ tại Việt Nam. </w:t>
      </w:r>
    </w:p>
    <w:p w14:paraId="47D161CE" w14:textId="77777777" w:rsidR="00F60F67" w:rsidRDefault="00000000">
      <w:pPr>
        <w:widowControl w:val="0"/>
        <w:pBdr>
          <w:top w:val="nil"/>
          <w:left w:val="nil"/>
          <w:bottom w:val="nil"/>
          <w:right w:val="nil"/>
          <w:between w:val="nil"/>
        </w:pBdr>
        <w:spacing w:before="148" w:line="240" w:lineRule="auto"/>
        <w:ind w:left="447"/>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2. Mục tiêu và nhiệm vụ nghiên cứu </w:t>
      </w:r>
    </w:p>
    <w:p w14:paraId="46A1FE84" w14:textId="77777777" w:rsidR="00F60F67" w:rsidRDefault="00000000">
      <w:pPr>
        <w:widowControl w:val="0"/>
        <w:pBdr>
          <w:top w:val="nil"/>
          <w:left w:val="nil"/>
          <w:bottom w:val="nil"/>
          <w:right w:val="nil"/>
          <w:between w:val="nil"/>
        </w:pBdr>
        <w:spacing w:before="148" w:line="344" w:lineRule="auto"/>
        <w:ind w:left="449" w:right="440" w:firstLine="56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Mục tiêu nghiên cứu của Luận án: đề xuất giải pháp nhằm hoàn thiện QLNN về TTKT trong lĩnh vực bán lẻ tại Việt Nam. </w:t>
      </w:r>
    </w:p>
    <w:p w14:paraId="4FADF042" w14:textId="77777777" w:rsidR="00F60F67" w:rsidRDefault="00000000">
      <w:pPr>
        <w:widowControl w:val="0"/>
        <w:pBdr>
          <w:top w:val="nil"/>
          <w:left w:val="nil"/>
          <w:bottom w:val="nil"/>
          <w:right w:val="nil"/>
          <w:between w:val="nil"/>
        </w:pBdr>
        <w:spacing w:before="31" w:line="348" w:lineRule="auto"/>
        <w:ind w:left="443" w:right="433" w:firstLine="56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Để đạt được mục tiêu trên, Luận án tập trung triển khai bốn nhóm nhiệm vụ nghiên cứu chủ yếu sau: </w:t>
      </w:r>
    </w:p>
    <w:p w14:paraId="5EE6F9CD" w14:textId="77777777" w:rsidR="00F60F67" w:rsidRDefault="00000000">
      <w:pPr>
        <w:widowControl w:val="0"/>
        <w:pBdr>
          <w:top w:val="nil"/>
          <w:left w:val="nil"/>
          <w:bottom w:val="nil"/>
          <w:right w:val="nil"/>
          <w:between w:val="nil"/>
        </w:pBdr>
        <w:spacing w:before="27" w:line="346" w:lineRule="auto"/>
        <w:ind w:left="444" w:right="368" w:firstLine="571"/>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Nhiệm vụ 1</w:t>
      </w:r>
      <w:r>
        <w:rPr>
          <w:rFonts w:ascii="Times New Roman" w:eastAsia="Times New Roman" w:hAnsi="Times New Roman" w:cs="Times New Roman"/>
          <w:color w:val="000000"/>
          <w:sz w:val="25"/>
          <w:szCs w:val="25"/>
        </w:rPr>
        <w:t xml:space="preserve">: Nghiên cứu và làm rõ những vấn đề lý luận cơ bản về TTKT, đặc  điểm của lĩnh vực bán lẻ, nội dung, mục tiêu và nguyên tắc của QLNN về TTKT trong lĩnh vực này; đồng thời khảo cứu các lý thuyết, mô hình và kinh nghiệm quốc  tế có liên quan. </w:t>
      </w:r>
    </w:p>
    <w:p w14:paraId="5E0A27E7" w14:textId="77777777" w:rsidR="00F60F67" w:rsidRDefault="00000000">
      <w:pPr>
        <w:widowControl w:val="0"/>
        <w:pBdr>
          <w:top w:val="nil"/>
          <w:left w:val="nil"/>
          <w:bottom w:val="nil"/>
          <w:right w:val="nil"/>
          <w:between w:val="nil"/>
        </w:pBdr>
        <w:spacing w:before="28" w:line="346" w:lineRule="auto"/>
        <w:ind w:left="441" w:right="368" w:firstLine="574"/>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 Nhiệm vụ 2: </w:t>
      </w:r>
      <w:r>
        <w:rPr>
          <w:rFonts w:ascii="Times New Roman" w:eastAsia="Times New Roman" w:hAnsi="Times New Roman" w:cs="Times New Roman"/>
          <w:color w:val="000000"/>
          <w:sz w:val="25"/>
          <w:szCs w:val="25"/>
        </w:rPr>
        <w:t xml:space="preserve">Tổng quan, phân tích, đánh giá thực trạng TTKT trong lĩnh vực  bán lẻ tại Việt Nam giai đoạn 2007-2024; làm rõ những đặc trưng, xu hướng và tác  động của các vụ việc TTKT trong ngành bán lẻ. </w:t>
      </w:r>
    </w:p>
    <w:p w14:paraId="46A9C17A" w14:textId="77777777" w:rsidR="00F60F67" w:rsidRDefault="00000000">
      <w:pPr>
        <w:widowControl w:val="0"/>
        <w:pBdr>
          <w:top w:val="nil"/>
          <w:left w:val="nil"/>
          <w:bottom w:val="nil"/>
          <w:right w:val="nil"/>
          <w:between w:val="nil"/>
        </w:pBdr>
        <w:spacing w:before="29" w:line="346" w:lineRule="auto"/>
        <w:ind w:left="441" w:right="368" w:firstLine="574"/>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 Nhiệm vụ 3: </w:t>
      </w:r>
      <w:r>
        <w:rPr>
          <w:rFonts w:ascii="Times New Roman" w:eastAsia="Times New Roman" w:hAnsi="Times New Roman" w:cs="Times New Roman"/>
          <w:color w:val="000000"/>
          <w:sz w:val="25"/>
          <w:szCs w:val="25"/>
        </w:rPr>
        <w:t xml:space="preserve">Phân tích, đánh giá thực trạng QLNN về TTKT trong lĩnh vực  bán lẻ tại Việt Nam, chỉ ra những kết quả đạt được, những hạn chế, bất cập cũng như  nguyên nhân của những tồn tại trong quá trình tổ chức thực thi pháp luật về kiểm soát  TTKT. </w:t>
      </w:r>
    </w:p>
    <w:p w14:paraId="7970491F" w14:textId="77777777" w:rsidR="00F60F67" w:rsidRDefault="00000000">
      <w:pPr>
        <w:widowControl w:val="0"/>
        <w:pBdr>
          <w:top w:val="nil"/>
          <w:left w:val="nil"/>
          <w:bottom w:val="nil"/>
          <w:right w:val="nil"/>
          <w:between w:val="nil"/>
        </w:pBdr>
        <w:spacing w:before="28" w:line="345" w:lineRule="auto"/>
        <w:ind w:left="441" w:right="368" w:firstLine="574"/>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 Nhiệm vụ 4: </w:t>
      </w:r>
      <w:r>
        <w:rPr>
          <w:rFonts w:ascii="Times New Roman" w:eastAsia="Times New Roman" w:hAnsi="Times New Roman" w:cs="Times New Roman"/>
          <w:color w:val="000000"/>
          <w:sz w:val="25"/>
          <w:szCs w:val="25"/>
        </w:rPr>
        <w:t xml:space="preserve">Đề xuất quan điểm, định hướng và hệ thống giải pháp hoàn thiện  QLNN về TTKT trong lĩnh vực bán lẻ tại Việt Nam đến năm 2030, bảo đảm phù hợp  với bối cảnh hội nhập kinh tế quốc tế, tiến trình chuyển đổi số và yêu cầu phát triển  bền vững của nền kinh tế. </w:t>
      </w:r>
    </w:p>
    <w:p w14:paraId="63B2285D" w14:textId="77777777" w:rsidR="00F60F67" w:rsidRDefault="00000000">
      <w:pPr>
        <w:widowControl w:val="0"/>
        <w:pBdr>
          <w:top w:val="nil"/>
          <w:left w:val="nil"/>
          <w:bottom w:val="nil"/>
          <w:right w:val="nil"/>
          <w:between w:val="nil"/>
        </w:pBdr>
        <w:spacing w:before="34" w:line="240" w:lineRule="auto"/>
        <w:ind w:left="445"/>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3. Đối tượng, phạm vi nghiên cứu  </w:t>
      </w:r>
    </w:p>
    <w:p w14:paraId="44C36C99" w14:textId="77777777" w:rsidR="00F60F67" w:rsidRDefault="00000000">
      <w:pPr>
        <w:widowControl w:val="0"/>
        <w:pBdr>
          <w:top w:val="nil"/>
          <w:left w:val="nil"/>
          <w:bottom w:val="nil"/>
          <w:right w:val="nil"/>
          <w:between w:val="nil"/>
        </w:pBdr>
        <w:spacing w:before="143" w:line="240" w:lineRule="auto"/>
        <w:ind w:left="1017"/>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3.1. Đối tượng nghiên cứu  </w:t>
      </w:r>
    </w:p>
    <w:p w14:paraId="182A0A3E" w14:textId="77777777" w:rsidR="00F60F67" w:rsidRDefault="00000000">
      <w:pPr>
        <w:widowControl w:val="0"/>
        <w:pBdr>
          <w:top w:val="nil"/>
          <w:left w:val="nil"/>
          <w:bottom w:val="nil"/>
          <w:right w:val="nil"/>
          <w:between w:val="nil"/>
        </w:pBdr>
        <w:spacing w:before="148" w:line="344" w:lineRule="auto"/>
        <w:ind w:left="1017" w:right="674" w:hanging="4"/>
        <w:rPr>
          <w:rFonts w:ascii="Times New Roman" w:eastAsia="Times New Roman" w:hAnsi="Times New Roman" w:cs="Times New Roman"/>
          <w:i/>
          <w:iCs/>
          <w:color w:val="000000"/>
          <w:sz w:val="25"/>
          <w:szCs w:val="25"/>
        </w:rPr>
      </w:pPr>
      <w:r>
        <w:rPr>
          <w:rFonts w:ascii="Times New Roman" w:eastAsia="Times New Roman" w:hAnsi="Times New Roman" w:cs="Times New Roman"/>
          <w:color w:val="000000"/>
          <w:sz w:val="25"/>
          <w:szCs w:val="25"/>
        </w:rPr>
        <w:t xml:space="preserve">Đối tượng nghiên cứu của Luận án là QLNN về TTKT trong lĩnh vực bán lẻ. </w:t>
      </w:r>
      <w:r>
        <w:rPr>
          <w:rFonts w:ascii="Times New Roman" w:eastAsia="Times New Roman" w:hAnsi="Times New Roman" w:cs="Times New Roman"/>
          <w:i/>
          <w:iCs/>
          <w:color w:val="000000"/>
          <w:sz w:val="25"/>
          <w:szCs w:val="25"/>
        </w:rPr>
        <w:t xml:space="preserve">3.2. Phạm vi nghiên cứu  </w:t>
      </w:r>
    </w:p>
    <w:p w14:paraId="1FD7AC24" w14:textId="77777777" w:rsidR="00F60F67" w:rsidRDefault="00000000">
      <w:pPr>
        <w:widowControl w:val="0"/>
        <w:pBdr>
          <w:top w:val="nil"/>
          <w:left w:val="nil"/>
          <w:bottom w:val="nil"/>
          <w:right w:val="nil"/>
          <w:between w:val="nil"/>
        </w:pBdr>
        <w:spacing w:before="31" w:line="346" w:lineRule="auto"/>
        <w:ind w:left="443" w:right="368" w:firstLine="566"/>
        <w:jc w:val="both"/>
        <w:rPr>
          <w:rFonts w:ascii="Times New Roman" w:eastAsia="Times New Roman" w:hAnsi="Times New Roman" w:cs="Times New Roman"/>
          <w:color w:val="000000"/>
          <w:sz w:val="25"/>
          <w:szCs w:val="25"/>
        </w:rPr>
      </w:pPr>
      <w:r>
        <w:rPr>
          <w:rFonts w:ascii="Times New Roman" w:eastAsia="Times New Roman" w:hAnsi="Times New Roman" w:cs="Times New Roman"/>
          <w:b/>
          <w:bCs/>
          <w:i/>
          <w:iCs/>
          <w:color w:val="000000"/>
          <w:sz w:val="25"/>
          <w:szCs w:val="25"/>
        </w:rPr>
        <w:t xml:space="preserve">- </w:t>
      </w:r>
      <w:r>
        <w:rPr>
          <w:rFonts w:ascii="Times New Roman" w:eastAsia="Times New Roman" w:hAnsi="Times New Roman" w:cs="Times New Roman"/>
          <w:i/>
          <w:iCs/>
          <w:color w:val="000000"/>
          <w:sz w:val="25"/>
          <w:szCs w:val="25"/>
        </w:rPr>
        <w:t xml:space="preserve">Về mặt nội dung: </w:t>
      </w:r>
      <w:r>
        <w:rPr>
          <w:rFonts w:ascii="Times New Roman" w:eastAsia="Times New Roman" w:hAnsi="Times New Roman" w:cs="Times New Roman"/>
          <w:color w:val="000000"/>
          <w:sz w:val="25"/>
          <w:szCs w:val="25"/>
        </w:rPr>
        <w:t xml:space="preserve">Luận án nghiên cứu công tác QLNN về TTKT trong lĩnh  vực bán lẻ, trong đó tập trung nghiên cứu chuyên sâu về kiểm soát TTKT trong lĩnh  vực bán lẻ. </w:t>
      </w:r>
    </w:p>
    <w:p w14:paraId="2FF39CB9"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w:t>
      </w:r>
    </w:p>
    <w:p w14:paraId="2FD02F2A" w14:textId="77777777" w:rsidR="00F60F67" w:rsidRDefault="00000000">
      <w:pPr>
        <w:widowControl w:val="0"/>
        <w:pBdr>
          <w:top w:val="nil"/>
          <w:left w:val="nil"/>
          <w:bottom w:val="nil"/>
          <w:right w:val="nil"/>
          <w:between w:val="nil"/>
        </w:pBdr>
        <w:spacing w:before="652" w:line="346" w:lineRule="auto"/>
        <w:ind w:left="441" w:right="366" w:firstLine="57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i/>
          <w:iCs/>
          <w:color w:val="000000"/>
          <w:sz w:val="25"/>
          <w:szCs w:val="25"/>
        </w:rPr>
        <w:t xml:space="preserve">Về không gian: </w:t>
      </w:r>
      <w:r>
        <w:rPr>
          <w:rFonts w:ascii="Times New Roman" w:eastAsia="Times New Roman" w:hAnsi="Times New Roman" w:cs="Times New Roman"/>
          <w:color w:val="000000"/>
          <w:sz w:val="25"/>
          <w:szCs w:val="25"/>
        </w:rPr>
        <w:t xml:space="preserve">Luận án nghiên cứu công tác QLNN về TTKT trong lĩnh vực  bán lẻ tại Việt Nam. Đồng thời, Luận án cũng nghiên cứu kinh nghiệm về QLNN về  TTKT trong lĩnh vực bán lẻ ở một số nước trên thế giới (Mỹ, EU, Nhật Bản, Trung  Quốc) để so sánh và rút ra bài học cho Việt Nam. </w:t>
      </w:r>
    </w:p>
    <w:p w14:paraId="60AE1C72" w14:textId="77777777" w:rsidR="00F60F67" w:rsidRDefault="00000000">
      <w:pPr>
        <w:widowControl w:val="0"/>
        <w:pBdr>
          <w:top w:val="nil"/>
          <w:left w:val="nil"/>
          <w:bottom w:val="nil"/>
          <w:right w:val="nil"/>
          <w:between w:val="nil"/>
        </w:pBdr>
        <w:spacing w:before="28" w:line="345" w:lineRule="auto"/>
        <w:ind w:left="443" w:right="367" w:firstLine="575"/>
        <w:rPr>
          <w:rFonts w:ascii="Times New Roman" w:eastAsia="Times New Roman" w:hAnsi="Times New Roman" w:cs="Times New Roman"/>
          <w:b/>
          <w:bCs/>
          <w:color w:val="000000"/>
          <w:sz w:val="25"/>
          <w:szCs w:val="25"/>
        </w:rPr>
      </w:pPr>
      <w:r>
        <w:rPr>
          <w:rFonts w:ascii="Times New Roman" w:eastAsia="Times New Roman" w:hAnsi="Times New Roman" w:cs="Times New Roman"/>
          <w:color w:val="000000"/>
          <w:sz w:val="25"/>
          <w:szCs w:val="25"/>
        </w:rPr>
        <w:lastRenderedPageBreak/>
        <w:t xml:space="preserve">- </w:t>
      </w:r>
      <w:r>
        <w:rPr>
          <w:rFonts w:ascii="Times New Roman" w:eastAsia="Times New Roman" w:hAnsi="Times New Roman" w:cs="Times New Roman"/>
          <w:i/>
          <w:iCs/>
          <w:color w:val="000000"/>
          <w:sz w:val="25"/>
          <w:szCs w:val="25"/>
        </w:rPr>
        <w:t xml:space="preserve">Về thời gian: </w:t>
      </w:r>
      <w:r>
        <w:rPr>
          <w:rFonts w:ascii="Times New Roman" w:eastAsia="Times New Roman" w:hAnsi="Times New Roman" w:cs="Times New Roman"/>
          <w:color w:val="000000"/>
          <w:sz w:val="25"/>
          <w:szCs w:val="25"/>
        </w:rPr>
        <w:t xml:space="preserve">Luận án tập trung phân tích thực trạng QLNN về TTKT trong lĩnh  vực bán lẻ tại Việt Nam giai đoạn 2007 – 2024; đề xuất giải pháp nhằm nâng cao hiệu  quả QLNN về TTKT trên thị trường này được đề xuất cho giai đoạn 2025 - 2030. </w:t>
      </w:r>
      <w:r>
        <w:rPr>
          <w:rFonts w:ascii="Times New Roman" w:eastAsia="Times New Roman" w:hAnsi="Times New Roman" w:cs="Times New Roman"/>
          <w:b/>
          <w:bCs/>
          <w:color w:val="000000"/>
          <w:sz w:val="25"/>
          <w:szCs w:val="25"/>
        </w:rPr>
        <w:t xml:space="preserve">4. Ý nghĩa khoa học và thực tiễn  </w:t>
      </w:r>
    </w:p>
    <w:p w14:paraId="1286387A" w14:textId="77777777" w:rsidR="00F60F67" w:rsidRDefault="00000000">
      <w:pPr>
        <w:widowControl w:val="0"/>
        <w:pBdr>
          <w:top w:val="nil"/>
          <w:left w:val="nil"/>
          <w:bottom w:val="nil"/>
          <w:right w:val="nil"/>
          <w:between w:val="nil"/>
        </w:pBdr>
        <w:spacing w:before="34" w:line="240" w:lineRule="auto"/>
        <w:ind w:left="1016"/>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4.1. Đóng góp về mặt khoa học </w:t>
      </w:r>
    </w:p>
    <w:p w14:paraId="42316BD9" w14:textId="77777777" w:rsidR="00F60F67" w:rsidRDefault="00000000">
      <w:pPr>
        <w:widowControl w:val="0"/>
        <w:pBdr>
          <w:top w:val="nil"/>
          <w:left w:val="nil"/>
          <w:bottom w:val="nil"/>
          <w:right w:val="nil"/>
          <w:between w:val="nil"/>
        </w:pBdr>
        <w:spacing w:before="143" w:line="345" w:lineRule="auto"/>
        <w:ind w:left="443" w:right="368" w:firstLine="570"/>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Luận án góp phần làm sáng tỏ, hệ thống hóa và bổ sung cơ sở lý luận về QLNN  về TTKT trong lĩnh vực bán lẻ. Cụ thể, Luận án làm rõ nội hàm, đặc điểm và bản  chất của QLNN về TTKT trong lĩnh vực bán lẻ; xác định mục tiêu, nguyên tắc, nội  dung và phương pháp quản lý. Bên cạnh đó, Luận án tiếp cận, phân tích và vận dụng  các lý thuyết, mô hình hiện đại về cạnh tranh, phúc lợi người tiêu dùng để lý giải mối  quan hệ giữa TTKT, cạnh tranh và vai trò của Nhà nước trong công tác QLNN về </w:t>
      </w:r>
    </w:p>
    <w:p w14:paraId="7D034144" w14:textId="77777777" w:rsidR="00F60F67" w:rsidRDefault="00000000">
      <w:pPr>
        <w:widowControl w:val="0"/>
        <w:pBdr>
          <w:top w:val="nil"/>
          <w:left w:val="nil"/>
          <w:bottom w:val="nil"/>
          <w:right w:val="nil"/>
          <w:between w:val="nil"/>
        </w:pBdr>
        <w:spacing w:before="34" w:line="240" w:lineRule="auto"/>
        <w:ind w:left="44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TTKT trong lĩnh vực bán lẻ.  </w:t>
      </w:r>
    </w:p>
    <w:p w14:paraId="00EBBAF4" w14:textId="77777777" w:rsidR="00F60F67" w:rsidRDefault="00000000">
      <w:pPr>
        <w:widowControl w:val="0"/>
        <w:pBdr>
          <w:top w:val="nil"/>
          <w:left w:val="nil"/>
          <w:bottom w:val="nil"/>
          <w:right w:val="nil"/>
          <w:between w:val="nil"/>
        </w:pBdr>
        <w:spacing w:before="143" w:line="240" w:lineRule="auto"/>
        <w:ind w:left="1016"/>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4.2. Đóng góp về mặt thực tiễn </w:t>
      </w:r>
    </w:p>
    <w:p w14:paraId="6E6FCFD2" w14:textId="77777777" w:rsidR="00F60F67" w:rsidRDefault="00000000">
      <w:pPr>
        <w:widowControl w:val="0"/>
        <w:pBdr>
          <w:top w:val="nil"/>
          <w:left w:val="nil"/>
          <w:bottom w:val="nil"/>
          <w:right w:val="nil"/>
          <w:between w:val="nil"/>
        </w:pBdr>
        <w:spacing w:before="148" w:line="345" w:lineRule="auto"/>
        <w:ind w:left="443" w:right="366" w:firstLine="570"/>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Luận án cung cấp cơ sở khoa học quan trọng phục vụ cho việc hoạch định, điều  chỉnh và hoàn thiện công tác QLNN về TTKT trong lĩnh vực bán lẻ tại Việt Nam.  Thông qua việc phân tích thực trạng TTKT và QLNN giai đoạn 2007-2024, Luận án chỉ ra những kết quả đạt được, hạn chế và nguyên nhân, từ đó đưa ra các quan điểm,  định hướng và giải pháp cụ thể đến năm 2030. Các kết quả nghiên cứu có giá trị tham  khảo thiết thực cho Ủy ban Cạnh tranh Quốc gia (UBCTQG) và các cơ quan quản lý  trong việc xây dựng, sửa đổi và tổ chức thực thi PLCT; đồng thời hỗ trợ doanh nghiệp  trong lĩnh vực bán lẻ nâng cao nhận thức, tuân thủ quy định pháp luật và ứng xử phù  hợp trong các vụ việc TTKT.  </w:t>
      </w:r>
    </w:p>
    <w:p w14:paraId="5284996F" w14:textId="77777777" w:rsidR="00F60F67" w:rsidRDefault="00000000">
      <w:pPr>
        <w:widowControl w:val="0"/>
        <w:pBdr>
          <w:top w:val="nil"/>
          <w:left w:val="nil"/>
          <w:bottom w:val="nil"/>
          <w:right w:val="nil"/>
          <w:between w:val="nil"/>
        </w:pBdr>
        <w:spacing w:before="34" w:line="240" w:lineRule="auto"/>
        <w:ind w:left="450"/>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5. Phương pháp nghiên cứu  </w:t>
      </w:r>
    </w:p>
    <w:p w14:paraId="43FF1D27" w14:textId="77777777" w:rsidR="00F60F67" w:rsidRDefault="00000000">
      <w:pPr>
        <w:widowControl w:val="0"/>
        <w:pBdr>
          <w:top w:val="nil"/>
          <w:left w:val="nil"/>
          <w:bottom w:val="nil"/>
          <w:right w:val="nil"/>
          <w:between w:val="nil"/>
        </w:pBdr>
        <w:spacing w:before="143" w:line="346" w:lineRule="auto"/>
        <w:ind w:left="444" w:right="368" w:firstLine="568"/>
        <w:rPr>
          <w:rFonts w:ascii="Times New Roman" w:eastAsia="Times New Roman" w:hAnsi="Times New Roman" w:cs="Times New Roman"/>
          <w:i/>
          <w:iCs/>
          <w:color w:val="000000"/>
          <w:sz w:val="25"/>
          <w:szCs w:val="25"/>
        </w:rPr>
      </w:pPr>
      <w:r>
        <w:rPr>
          <w:rFonts w:ascii="Times New Roman" w:eastAsia="Times New Roman" w:hAnsi="Times New Roman" w:cs="Times New Roman"/>
          <w:color w:val="000000"/>
          <w:sz w:val="25"/>
          <w:szCs w:val="25"/>
        </w:rPr>
        <w:t xml:space="preserve">Để đạt được mục tiêu nghiên cứu và trả lời các câu hỏi nghiên cứu của Luận án,  tác giả sử dụng tổng hợp nhiều phương pháp nghiên cứu khoa học, cụ thể như sau: </w:t>
      </w:r>
      <w:r>
        <w:rPr>
          <w:rFonts w:ascii="Times New Roman" w:eastAsia="Times New Roman" w:hAnsi="Times New Roman" w:cs="Times New Roman"/>
          <w:i/>
          <w:iCs/>
          <w:color w:val="000000"/>
          <w:sz w:val="25"/>
          <w:szCs w:val="25"/>
        </w:rPr>
        <w:t>(1) Phương pháp phân tích thống kê</w:t>
      </w:r>
    </w:p>
    <w:p w14:paraId="2D0E353D"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w:t>
      </w:r>
    </w:p>
    <w:p w14:paraId="151D375C" w14:textId="77777777" w:rsidR="00F60F67" w:rsidRDefault="00000000">
      <w:pPr>
        <w:widowControl w:val="0"/>
        <w:pBdr>
          <w:top w:val="nil"/>
          <w:left w:val="nil"/>
          <w:bottom w:val="nil"/>
          <w:right w:val="nil"/>
          <w:between w:val="nil"/>
        </w:pBdr>
        <w:spacing w:before="652" w:line="345" w:lineRule="auto"/>
        <w:ind w:left="441" w:right="367" w:firstLine="57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Luận án sử dụng phương pháp phân tích thống kê để xử lý, hệ thống hóa và  đánh giá số liệu về TTKT trong lĩnh vực bán lẻ tại Việt Nam giai đoạn 2007-2024.  Các dữ liệu bao gồm số liệu về doanh thu, thị phần, giá trị giao dịch, số lượng vụ việc TTKT, chỉ số tập trung thị trường (các chỉ số CR, HHI), được thu thập từ các nguồn  chính thức như Tổng cục Thống kê, Bộ Công Thương, UBCTQG, cùng với các báo  cáo nghiên cứu của OECD, UNCTAD, ICN và ASEAN. Phương pháp này cho phép  phân tích xu hướng, quy mô và mức độ tập trung thị trường bán lẻ, cũng như tác động  của TTKT đến cạnh tranh và quyền lợi người tiêu dùng. </w:t>
      </w:r>
    </w:p>
    <w:p w14:paraId="1CE181DE" w14:textId="77777777" w:rsidR="00F60F67" w:rsidRDefault="00000000">
      <w:pPr>
        <w:widowControl w:val="0"/>
        <w:pBdr>
          <w:top w:val="nil"/>
          <w:left w:val="nil"/>
          <w:bottom w:val="nil"/>
          <w:right w:val="nil"/>
          <w:between w:val="nil"/>
        </w:pBdr>
        <w:spacing w:before="34" w:line="240" w:lineRule="auto"/>
        <w:ind w:left="1026"/>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lastRenderedPageBreak/>
        <w:t xml:space="preserve">(2) Phương pháp so sánh </w:t>
      </w:r>
    </w:p>
    <w:p w14:paraId="123FD308" w14:textId="77777777" w:rsidR="00F60F67" w:rsidRDefault="00000000">
      <w:pPr>
        <w:widowControl w:val="0"/>
        <w:pBdr>
          <w:top w:val="nil"/>
          <w:left w:val="nil"/>
          <w:bottom w:val="nil"/>
          <w:right w:val="nil"/>
          <w:between w:val="nil"/>
        </w:pBdr>
        <w:spacing w:before="143" w:line="345" w:lineRule="auto"/>
        <w:ind w:left="438" w:right="367" w:firstLine="574"/>
        <w:rPr>
          <w:rFonts w:ascii="Times New Roman" w:eastAsia="Times New Roman" w:hAnsi="Times New Roman" w:cs="Times New Roman"/>
          <w:i/>
          <w:iCs/>
          <w:color w:val="000000"/>
          <w:sz w:val="25"/>
          <w:szCs w:val="25"/>
        </w:rPr>
      </w:pPr>
      <w:r>
        <w:rPr>
          <w:rFonts w:ascii="Times New Roman" w:eastAsia="Times New Roman" w:hAnsi="Times New Roman" w:cs="Times New Roman"/>
          <w:color w:val="000000"/>
          <w:sz w:val="25"/>
          <w:szCs w:val="25"/>
        </w:rPr>
        <w:t xml:space="preserve">Phương pháp so sánh được sử dụng để phân tích, so sánh pháp luật và thực tế áp dụng pháp luật đối với công tác QLNN về TTKT trong lĩnh vực bán lẻ của Việt  Nam với các quốc gia điển hình (EU, Mỹ, Nhật Bản, Hàn Quốc, Singapore). Việc so  sánh được thực hiện trên các khía cạnh: ngưỡng thông báo TTKT, tiêu chí thẩm định,  quy trình kiểm soát, cơ chế phối hợp liên ngành và các biện pháp khắc phục. Qua đó,  Luận án rút ra những bài học kinh nghiệm có thể vận dụng vào bối cảnh Việt Nam,  đồng thời chỉ ra các điểm khác biệt do đặc thù về thể chế và thị trường. </w:t>
      </w:r>
      <w:r>
        <w:rPr>
          <w:rFonts w:ascii="Times New Roman" w:eastAsia="Times New Roman" w:hAnsi="Times New Roman" w:cs="Times New Roman"/>
          <w:i/>
          <w:iCs/>
          <w:color w:val="000000"/>
          <w:sz w:val="25"/>
          <w:szCs w:val="25"/>
        </w:rPr>
        <w:t xml:space="preserve">(3) Phương pháp phỏng vấn chuyên gia </w:t>
      </w:r>
    </w:p>
    <w:p w14:paraId="358F81EB" w14:textId="77777777" w:rsidR="00F60F67" w:rsidRDefault="00000000">
      <w:pPr>
        <w:widowControl w:val="0"/>
        <w:pBdr>
          <w:top w:val="nil"/>
          <w:left w:val="nil"/>
          <w:bottom w:val="nil"/>
          <w:right w:val="nil"/>
          <w:between w:val="nil"/>
        </w:pBdr>
        <w:spacing w:before="34" w:line="345" w:lineRule="auto"/>
        <w:ind w:left="444" w:right="367" w:firstLine="56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Luận án sử dụng phương pháp phỏng vấn sâu để thu thập ý kiến từ các chuyên  gia, các nhà quản lý tại UBCTQG, Bộ Công Thương, cùng các học giả, nhà nghiên  cứu và chuyên gia có kinh nghiệm nghiên cứu và kinh nghiệm thực tiễn trong công  tác QLNN về TTKT trong lĩnh vực bán lẻ.  </w:t>
      </w:r>
    </w:p>
    <w:p w14:paraId="5D77EE0F" w14:textId="77777777" w:rsidR="00F60F67" w:rsidRDefault="00000000">
      <w:pPr>
        <w:widowControl w:val="0"/>
        <w:pBdr>
          <w:top w:val="nil"/>
          <w:left w:val="nil"/>
          <w:bottom w:val="nil"/>
          <w:right w:val="nil"/>
          <w:between w:val="nil"/>
        </w:pBdr>
        <w:spacing w:before="29" w:line="346" w:lineRule="auto"/>
        <w:ind w:left="444" w:right="368" w:firstLine="57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cuộc phỏng vấn được thực hiện theo hình thức bán cấu trúc, vừa bảo đảm  tính thống nhất về chủ đề, vừa cho phép chuyên gia diễn đạt ý kiến một cách tự do và  toàn diện. Nội dung phỏng vấn tập trung vào ba nhóm vấn đề lớn: (i) thực trạng  QLNN về TTKT trong lĩnh vực bán lẻ tại Việt Nam giai đoạn 2007-2024; (ii) kết quả </w:t>
      </w:r>
    </w:p>
    <w:p w14:paraId="5CF49F8C" w14:textId="77777777" w:rsidR="00F60F67" w:rsidRDefault="00000000">
      <w:pPr>
        <w:widowControl w:val="0"/>
        <w:pBdr>
          <w:top w:val="nil"/>
          <w:left w:val="nil"/>
          <w:bottom w:val="nil"/>
          <w:right w:val="nil"/>
          <w:between w:val="nil"/>
        </w:pBdr>
        <w:spacing w:before="28" w:line="345" w:lineRule="auto"/>
        <w:ind w:left="443" w:right="36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và hạn chế của QLNN về TTKT trong lĩnh vực bán lẻ; (iii) định hướng và giải pháp  hoàn thiện QLNN về TTKT trong lĩnh vực bán lẻ đến năm 2030. Để bảo đảm tính hệ thống và khoa học, Luận án xây dựng bộ câu hỏi phỏng vấn  chuyên gia như sau:</w:t>
      </w:r>
    </w:p>
    <w:p w14:paraId="2F999F7E"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 </w:t>
      </w:r>
    </w:p>
    <w:p w14:paraId="33887240" w14:textId="77777777" w:rsidR="00F60F67" w:rsidRDefault="00000000">
      <w:pPr>
        <w:widowControl w:val="0"/>
        <w:pBdr>
          <w:top w:val="nil"/>
          <w:left w:val="nil"/>
          <w:bottom w:val="nil"/>
          <w:right w:val="nil"/>
          <w:between w:val="nil"/>
        </w:pBdr>
        <w:spacing w:before="652" w:line="346" w:lineRule="auto"/>
        <w:ind w:left="434" w:right="368" w:firstLine="589"/>
        <w:jc w:val="both"/>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1. Theo Ông/Bà, khung pháp luật hiện hành (Luật Cạnh tranh và các văn bản  liên quan) đã bao quát đầy đủ các hình thức TTKT trong lĩnh vực bán lẻ hay chưa?  Những khoảng trống hoặc bất cập lớn nhất hiện nay là gì? </w:t>
      </w:r>
    </w:p>
    <w:p w14:paraId="1493D40C" w14:textId="77777777" w:rsidR="00F60F67" w:rsidRDefault="00000000">
      <w:pPr>
        <w:widowControl w:val="0"/>
        <w:pBdr>
          <w:top w:val="nil"/>
          <w:left w:val="nil"/>
          <w:bottom w:val="nil"/>
          <w:right w:val="nil"/>
          <w:between w:val="nil"/>
        </w:pBdr>
        <w:spacing w:before="34" w:line="346" w:lineRule="auto"/>
        <w:ind w:left="447" w:right="367" w:firstLine="565"/>
        <w:jc w:val="both"/>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 Trong quá trình thực thi, cơ quan QLNN (đặc biệt UBCTQG) đã phát huy  vai trò ra sao trong việc kiểm soát TTKT bán lẻ? Những khó khăn, vướng mắc nổi  bật là gì? </w:t>
      </w:r>
    </w:p>
    <w:p w14:paraId="063A9F30" w14:textId="77777777" w:rsidR="00F60F67" w:rsidRDefault="00000000">
      <w:pPr>
        <w:widowControl w:val="0"/>
        <w:pBdr>
          <w:top w:val="nil"/>
          <w:left w:val="nil"/>
          <w:bottom w:val="nil"/>
          <w:right w:val="nil"/>
          <w:between w:val="nil"/>
        </w:pBdr>
        <w:spacing w:before="29" w:line="344" w:lineRule="auto"/>
        <w:ind w:left="447" w:right="367" w:firstLine="570"/>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3. Theo Ông/Bà, những kết quả tích cực nhất của QLNN về TTKT trong lĩnh  vực bán lẻ tại Việt Nam trong thời gian qua là gì? </w:t>
      </w:r>
    </w:p>
    <w:p w14:paraId="11F9AB37" w14:textId="77777777" w:rsidR="00F60F67" w:rsidRDefault="00000000">
      <w:pPr>
        <w:widowControl w:val="0"/>
        <w:pBdr>
          <w:top w:val="nil"/>
          <w:left w:val="nil"/>
          <w:bottom w:val="nil"/>
          <w:right w:val="nil"/>
          <w:between w:val="nil"/>
        </w:pBdr>
        <w:spacing w:before="36" w:line="344" w:lineRule="auto"/>
        <w:ind w:left="448" w:right="368" w:firstLine="568"/>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4. Theo Ông/Bà, những hạn chế lớn nhất trong QLNN về TTKT trong lĩnh vực  bán lẻ hiện nay là gì? </w:t>
      </w:r>
    </w:p>
    <w:p w14:paraId="322A07FE" w14:textId="77777777" w:rsidR="00F60F67" w:rsidRDefault="00000000">
      <w:pPr>
        <w:widowControl w:val="0"/>
        <w:pBdr>
          <w:top w:val="nil"/>
          <w:left w:val="nil"/>
          <w:bottom w:val="nil"/>
          <w:right w:val="nil"/>
          <w:between w:val="nil"/>
        </w:pBdr>
        <w:spacing w:before="36" w:line="346" w:lineRule="auto"/>
        <w:ind w:left="446" w:right="368" w:firstLine="571"/>
        <w:jc w:val="both"/>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5. Ông/Bà nhận định thế nào về mức độ minh bạch, công khai của các quyết  định thẩm định TTKT trong lĩnh vực bán lẻ? Điều này ảnh hưởng như thế nào đến  niềm tin của doanh nghiệp và thị trường? </w:t>
      </w:r>
    </w:p>
    <w:p w14:paraId="118158CB" w14:textId="77777777" w:rsidR="00F60F67" w:rsidRDefault="00000000">
      <w:pPr>
        <w:widowControl w:val="0"/>
        <w:pBdr>
          <w:top w:val="nil"/>
          <w:left w:val="nil"/>
          <w:bottom w:val="nil"/>
          <w:right w:val="nil"/>
          <w:between w:val="nil"/>
        </w:pBdr>
        <w:spacing w:before="29" w:line="346" w:lineRule="auto"/>
        <w:ind w:left="446" w:right="368" w:firstLine="578"/>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6. Trong bối cảnh hội nhập quốc tế và chuyển đổi số, theo Ông/Bà, QLNN về TTKT trong lĩnh vực bán lẻ cần dựa trên những quan điểm, nguyên tắc định hướng  nào </w:t>
      </w:r>
      <w:r>
        <w:rPr>
          <w:rFonts w:ascii="Times New Roman" w:eastAsia="Times New Roman" w:hAnsi="Times New Roman" w:cs="Times New Roman"/>
          <w:i/>
          <w:iCs/>
          <w:color w:val="000000"/>
          <w:sz w:val="25"/>
          <w:szCs w:val="25"/>
        </w:rPr>
        <w:lastRenderedPageBreak/>
        <w:t xml:space="preserve">để phù hợp với yêu cầu phát triển? </w:t>
      </w:r>
    </w:p>
    <w:p w14:paraId="2A381C18" w14:textId="77777777" w:rsidR="00F60F67" w:rsidRDefault="00000000">
      <w:pPr>
        <w:widowControl w:val="0"/>
        <w:pBdr>
          <w:top w:val="nil"/>
          <w:left w:val="nil"/>
          <w:bottom w:val="nil"/>
          <w:right w:val="nil"/>
          <w:between w:val="nil"/>
        </w:pBdr>
        <w:spacing w:before="29" w:line="348" w:lineRule="auto"/>
        <w:ind w:left="451" w:right="368" w:firstLine="586"/>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7. Theo Ông/Bà, những giải pháp là cần thiết nào để hoàn thiện khung pháp  luật kiểm soát TTKT trong lĩnh vực bán lẻ tại Việt Nam? </w:t>
      </w:r>
    </w:p>
    <w:p w14:paraId="459A8EF9" w14:textId="77777777" w:rsidR="00F60F67" w:rsidRDefault="00000000">
      <w:pPr>
        <w:widowControl w:val="0"/>
        <w:pBdr>
          <w:top w:val="nil"/>
          <w:left w:val="nil"/>
          <w:bottom w:val="nil"/>
          <w:right w:val="nil"/>
          <w:between w:val="nil"/>
        </w:pBdr>
        <w:spacing w:before="27" w:line="346" w:lineRule="auto"/>
        <w:ind w:left="447" w:right="368" w:firstLine="571"/>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8. Theo Ông/Bà, cần triển khai những biện pháp gì nhằm nâng cao năng lực  thực thi, đặc biệt trong việc thẩm định các vụ việc TTKT trong lĩnh vực bán lẻ? 9. Ông/Bà có khuyến nghị gì đối với các doanh nghiệp bán lẻ khi tham gia các  vụ việc TTKT, nhằm vừa bảo đảm tuân thủ pháp luật, vừa nâng cao khả năng cạnh  tranh? </w:t>
      </w:r>
    </w:p>
    <w:p w14:paraId="556BC085" w14:textId="77777777" w:rsidR="00F60F67" w:rsidRDefault="00000000">
      <w:pPr>
        <w:widowControl w:val="0"/>
        <w:pBdr>
          <w:top w:val="nil"/>
          <w:left w:val="nil"/>
          <w:bottom w:val="nil"/>
          <w:right w:val="nil"/>
          <w:between w:val="nil"/>
        </w:pBdr>
        <w:spacing w:before="29" w:line="346" w:lineRule="auto"/>
        <w:ind w:left="443" w:right="368" w:firstLine="56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Việc tham khảo ý kiến chuyên gia thông qua bộ câu hỏi trên giúp Luận án bổ sung thêm bằng chứng thực tiễn cho các lập luận khoa học; kiểm chứng tính phù hợp  của các phân tích và đánh giá trong nghiên cứu; tăng cường độ tin cậy và tính khách  quan cho các kết luận, đồng thời làm cơ sở cho việc đề xuất quan điểm và giải pháp  hoàn thiện QLNN về TTKT trong lĩnh vực bán lẻ tại Việt Nam. </w:t>
      </w:r>
    </w:p>
    <w:p w14:paraId="21C594E5" w14:textId="77777777" w:rsidR="00F60F67" w:rsidRDefault="00000000">
      <w:pPr>
        <w:widowControl w:val="0"/>
        <w:pBdr>
          <w:top w:val="nil"/>
          <w:left w:val="nil"/>
          <w:bottom w:val="nil"/>
          <w:right w:val="nil"/>
          <w:between w:val="nil"/>
        </w:pBdr>
        <w:spacing w:before="29" w:line="240" w:lineRule="auto"/>
        <w:ind w:left="1026"/>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(4) Phương pháp diễn giải và quy nạp </w:t>
      </w:r>
    </w:p>
    <w:p w14:paraId="33EDE238" w14:textId="77777777" w:rsidR="00F60F67" w:rsidRDefault="00000000">
      <w:pPr>
        <w:widowControl w:val="0"/>
        <w:pBdr>
          <w:top w:val="nil"/>
          <w:left w:val="nil"/>
          <w:bottom w:val="nil"/>
          <w:right w:val="nil"/>
          <w:between w:val="nil"/>
        </w:pBdr>
        <w:spacing w:before="148" w:line="344" w:lineRule="auto"/>
        <w:ind w:left="450" w:right="369" w:firstLine="56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Phương pháp diễn giải được sử dụng để lý giải các quan điểm, học thuyết về cạnh tranh, phúc lợi người tiêu dùng và QLNN trong kiểm soát TTKT; trong khi </w:t>
      </w:r>
    </w:p>
    <w:p w14:paraId="480C4DB1"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7 </w:t>
      </w:r>
    </w:p>
    <w:p w14:paraId="1B0D66DB" w14:textId="77777777" w:rsidR="00F60F67" w:rsidRDefault="00000000">
      <w:pPr>
        <w:widowControl w:val="0"/>
        <w:pBdr>
          <w:top w:val="nil"/>
          <w:left w:val="nil"/>
          <w:bottom w:val="nil"/>
          <w:right w:val="nil"/>
          <w:between w:val="nil"/>
        </w:pBdr>
        <w:spacing w:before="652" w:line="346" w:lineRule="auto"/>
        <w:ind w:left="441" w:right="368" w:hanging="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phương pháp quy nạp được vận dụng để tổng quát hóa từ các trường hợp thực tiễn,  các kết quả nghiên cứu đã công bố và ý kiến chuyên gia. Sự kết hợp hai phương pháp  này cho phép Luận án vừa có nền tảng lý luận vững chắc, vừa phản ánh đúng thực  tiễn quản lý TTKT trong lĩnh vực bán lẻ tại Việt Nam. </w:t>
      </w:r>
    </w:p>
    <w:p w14:paraId="6C2F9415" w14:textId="77777777" w:rsidR="00F60F67" w:rsidRDefault="00000000">
      <w:pPr>
        <w:widowControl w:val="0"/>
        <w:pBdr>
          <w:top w:val="nil"/>
          <w:left w:val="nil"/>
          <w:bottom w:val="nil"/>
          <w:right w:val="nil"/>
          <w:between w:val="nil"/>
        </w:pBdr>
        <w:spacing w:before="28" w:line="240" w:lineRule="auto"/>
        <w:ind w:left="1026"/>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(5) Phương pháp dự báo </w:t>
      </w:r>
    </w:p>
    <w:p w14:paraId="7850D021" w14:textId="77777777" w:rsidR="00F60F67" w:rsidRDefault="00000000">
      <w:pPr>
        <w:widowControl w:val="0"/>
        <w:pBdr>
          <w:top w:val="nil"/>
          <w:left w:val="nil"/>
          <w:bottom w:val="nil"/>
          <w:right w:val="nil"/>
          <w:between w:val="nil"/>
        </w:pBdr>
        <w:spacing w:before="148" w:line="345" w:lineRule="auto"/>
        <w:ind w:left="443" w:right="368" w:firstLine="570"/>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Luận án vận dụng phương pháp dự báo để xác định xu hướng TTKT trong lĩnh  vực bán lẻ tại Việt Nam đến năm 2030. Cơ sở dự báo dựa trên: (i) phân tích bối cảnh  quốc tế và trong nước; (ii) xu thế hội nhập và chuyển đổi số trong ngành bán lẻ; (iii)  số liệu lịch sử về TTKT trong giai đoạn 2007 - 2024. Kết quả dự báo cung cấp căn  cứ khoa học để đề xuất các quan điểm, định hướng và giải pháp hoàn thiện QLNN về </w:t>
      </w:r>
    </w:p>
    <w:p w14:paraId="4F4D6E69" w14:textId="77777777" w:rsidR="00F60F67" w:rsidRDefault="00000000">
      <w:pPr>
        <w:widowControl w:val="0"/>
        <w:pBdr>
          <w:top w:val="nil"/>
          <w:left w:val="nil"/>
          <w:bottom w:val="nil"/>
          <w:right w:val="nil"/>
          <w:between w:val="nil"/>
        </w:pBdr>
        <w:spacing w:before="35" w:line="344" w:lineRule="auto"/>
        <w:ind w:left="443" w:right="368" w:firstLine="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TTKT trong lĩnh vực bán lẻ tại Việt Nam, nhằm bảo đảm khả năng thích ứng trước  những biến động mới của thị trường. </w:t>
      </w:r>
    </w:p>
    <w:p w14:paraId="689185B0" w14:textId="77777777" w:rsidR="00F60F67" w:rsidRDefault="00000000">
      <w:pPr>
        <w:widowControl w:val="0"/>
        <w:pBdr>
          <w:top w:val="nil"/>
          <w:left w:val="nil"/>
          <w:bottom w:val="nil"/>
          <w:right w:val="nil"/>
          <w:between w:val="nil"/>
        </w:pBdr>
        <w:spacing w:before="36" w:line="240" w:lineRule="auto"/>
        <w:ind w:left="451"/>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6. Kết cấu của Luận án </w:t>
      </w:r>
    </w:p>
    <w:p w14:paraId="31C29F15" w14:textId="77777777" w:rsidR="00F60F67" w:rsidRDefault="00000000">
      <w:pPr>
        <w:widowControl w:val="0"/>
        <w:pBdr>
          <w:top w:val="nil"/>
          <w:left w:val="nil"/>
          <w:bottom w:val="nil"/>
          <w:right w:val="nil"/>
          <w:between w:val="nil"/>
        </w:pBdr>
        <w:spacing w:before="143" w:line="344" w:lineRule="auto"/>
        <w:ind w:left="446" w:right="434" w:firstLine="55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Ngoài phần mở đầu, kết luận, danh mục tài liệu tham khảo và phụ lục, Luận án được kết cấu thành 04 chương, bao gồm:  </w:t>
      </w:r>
    </w:p>
    <w:p w14:paraId="125DC2EC" w14:textId="77777777" w:rsidR="00F60F67" w:rsidRDefault="00000000">
      <w:pPr>
        <w:widowControl w:val="0"/>
        <w:pBdr>
          <w:top w:val="nil"/>
          <w:left w:val="nil"/>
          <w:bottom w:val="nil"/>
          <w:right w:val="nil"/>
          <w:between w:val="nil"/>
        </w:pBdr>
        <w:spacing w:before="36" w:line="240" w:lineRule="auto"/>
        <w:ind w:left="1018"/>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Chương 1. </w:t>
      </w:r>
      <w:r>
        <w:rPr>
          <w:rFonts w:ascii="Times New Roman" w:eastAsia="Times New Roman" w:hAnsi="Times New Roman" w:cs="Times New Roman"/>
          <w:color w:val="000000"/>
          <w:sz w:val="25"/>
          <w:szCs w:val="25"/>
        </w:rPr>
        <w:t xml:space="preserve">Tổng quan tình hình nghiên cứu </w:t>
      </w:r>
    </w:p>
    <w:p w14:paraId="320B867E" w14:textId="77777777" w:rsidR="00F60F67" w:rsidRDefault="00000000">
      <w:pPr>
        <w:widowControl w:val="0"/>
        <w:pBdr>
          <w:top w:val="nil"/>
          <w:left w:val="nil"/>
          <w:bottom w:val="nil"/>
          <w:right w:val="nil"/>
          <w:between w:val="nil"/>
        </w:pBdr>
        <w:spacing w:before="143" w:line="346" w:lineRule="auto"/>
        <w:ind w:left="444" w:right="439" w:firstLine="574"/>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Chương 2. </w:t>
      </w:r>
      <w:r>
        <w:rPr>
          <w:rFonts w:ascii="Times New Roman" w:eastAsia="Times New Roman" w:hAnsi="Times New Roman" w:cs="Times New Roman"/>
          <w:color w:val="000000"/>
          <w:sz w:val="25"/>
          <w:szCs w:val="25"/>
        </w:rPr>
        <w:t xml:space="preserve">Cơ sở lý luận về QLNN về TTKT trong lĩnh vực bán lẻ tại Việt Nam. </w:t>
      </w:r>
      <w:r>
        <w:rPr>
          <w:rFonts w:ascii="Times New Roman" w:eastAsia="Times New Roman" w:hAnsi="Times New Roman" w:cs="Times New Roman"/>
          <w:b/>
          <w:bCs/>
          <w:color w:val="000000"/>
          <w:sz w:val="25"/>
          <w:szCs w:val="25"/>
        </w:rPr>
        <w:t xml:space="preserve">Chương 3. </w:t>
      </w:r>
      <w:r>
        <w:rPr>
          <w:rFonts w:ascii="Times New Roman" w:eastAsia="Times New Roman" w:hAnsi="Times New Roman" w:cs="Times New Roman"/>
          <w:color w:val="000000"/>
          <w:sz w:val="25"/>
          <w:szCs w:val="25"/>
        </w:rPr>
        <w:t xml:space="preserve">Thực trạng QLNN về TTKT trong lĩnh vực bán lẻ tại Việt Nam </w:t>
      </w:r>
      <w:r>
        <w:rPr>
          <w:rFonts w:ascii="Times New Roman" w:eastAsia="Times New Roman" w:hAnsi="Times New Roman" w:cs="Times New Roman"/>
          <w:b/>
          <w:bCs/>
          <w:color w:val="000000"/>
          <w:sz w:val="25"/>
          <w:szCs w:val="25"/>
        </w:rPr>
        <w:t xml:space="preserve">Chương 4. </w:t>
      </w:r>
      <w:r>
        <w:rPr>
          <w:rFonts w:ascii="Times New Roman" w:eastAsia="Times New Roman" w:hAnsi="Times New Roman" w:cs="Times New Roman"/>
          <w:color w:val="000000"/>
          <w:sz w:val="25"/>
          <w:szCs w:val="25"/>
        </w:rPr>
        <w:t xml:space="preserve">Quan điểm, định hướng và giải pháp hoàn thiện QLNN về TTKT trong lĩnh vực bán lẻ </w:t>
      </w:r>
      <w:r>
        <w:rPr>
          <w:rFonts w:ascii="Times New Roman" w:eastAsia="Times New Roman" w:hAnsi="Times New Roman" w:cs="Times New Roman"/>
          <w:color w:val="000000"/>
          <w:sz w:val="25"/>
          <w:szCs w:val="25"/>
        </w:rPr>
        <w:lastRenderedPageBreak/>
        <w:t>tại Việt Nam.</w:t>
      </w:r>
    </w:p>
    <w:p w14:paraId="7F33506F"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8 </w:t>
      </w:r>
    </w:p>
    <w:p w14:paraId="6EA1A928" w14:textId="77777777" w:rsidR="00F60F67" w:rsidRDefault="00000000">
      <w:pPr>
        <w:widowControl w:val="0"/>
        <w:pBdr>
          <w:top w:val="nil"/>
          <w:left w:val="nil"/>
          <w:bottom w:val="nil"/>
          <w:right w:val="nil"/>
          <w:between w:val="nil"/>
        </w:pBdr>
        <w:spacing w:before="652"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CHƯƠNG 1. TỔNG QUAN TÌNH HÌNH NGHIÊN CỨU </w:t>
      </w:r>
    </w:p>
    <w:p w14:paraId="4AE36708" w14:textId="77777777" w:rsidR="00F60F67" w:rsidRDefault="00000000">
      <w:pPr>
        <w:widowControl w:val="0"/>
        <w:pBdr>
          <w:top w:val="nil"/>
          <w:left w:val="nil"/>
          <w:bottom w:val="nil"/>
          <w:right w:val="nil"/>
          <w:between w:val="nil"/>
        </w:pBdr>
        <w:spacing w:before="268" w:line="240" w:lineRule="auto"/>
        <w:ind w:left="458"/>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1.1. Tổng hợp các công trình nghiên cứu có liên quan </w:t>
      </w:r>
    </w:p>
    <w:p w14:paraId="10F46F5B" w14:textId="77777777" w:rsidR="00F60F67" w:rsidRDefault="00000000">
      <w:pPr>
        <w:widowControl w:val="0"/>
        <w:pBdr>
          <w:top w:val="nil"/>
          <w:left w:val="nil"/>
          <w:bottom w:val="nil"/>
          <w:right w:val="nil"/>
          <w:between w:val="nil"/>
        </w:pBdr>
        <w:spacing w:before="263" w:line="240" w:lineRule="auto"/>
        <w:ind w:left="447"/>
        <w:rPr>
          <w:rFonts w:ascii="Times New Roman" w:eastAsia="Times New Roman" w:hAnsi="Times New Roman" w:cs="Times New Roman"/>
          <w:b/>
          <w:bCs/>
          <w:i/>
          <w:iCs/>
          <w:color w:val="000000"/>
          <w:sz w:val="25"/>
          <w:szCs w:val="25"/>
        </w:rPr>
      </w:pPr>
      <w:r>
        <w:rPr>
          <w:rFonts w:ascii="Times New Roman" w:eastAsia="Times New Roman" w:hAnsi="Times New Roman" w:cs="Times New Roman"/>
          <w:b/>
          <w:bCs/>
          <w:i/>
          <w:iCs/>
          <w:color w:val="000000"/>
          <w:sz w:val="25"/>
          <w:szCs w:val="25"/>
        </w:rPr>
        <w:t xml:space="preserve">1.1.1. Các nghiên cứu lý luận về tập trung kinh tế </w:t>
      </w:r>
    </w:p>
    <w:p w14:paraId="0C60BA8C" w14:textId="77777777" w:rsidR="00F60F67" w:rsidRDefault="00000000">
      <w:pPr>
        <w:widowControl w:val="0"/>
        <w:pBdr>
          <w:top w:val="nil"/>
          <w:left w:val="nil"/>
          <w:bottom w:val="nil"/>
          <w:right w:val="nil"/>
          <w:between w:val="nil"/>
        </w:pBdr>
        <w:spacing w:before="268" w:line="345" w:lineRule="auto"/>
        <w:ind w:left="443" w:right="368" w:firstLine="56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Nhiều nghiên cứu nền tảng đã đặt cơ sở lý thuyết cho việc phân tích tác động  của TTKT đến cấu trúc thị trường và mức độ cạnh tranh. Tiêu biểu, Joe S. Bain (1956)  lần đầu tiên giới thiệu mô hình Cấu trúc - Hành vi - Kết quả (Structure - Conduct - Performance, SCP), nhấn mạnh mối quan hệ giữa cấu trúc thị trường, hành vi doanh  nghiệp và hiệu quả kinh tế đạt được (Bain, 1956). Theo Bain, các yếu tố cấu trúc như  mức độ tập trung thị trường (số lượng doanh nghiệp và phân bổ thị phần) quyết định  hành vi cạnh tranh của doanh nghiệp, từ đó ảnh hưởng đến hiệu quả toàn thị trường.  Mô hình SCP đặt trọng tâm vào rào cản gia nhập thị trường - những yếu tố khiến  doanh nghiệp mới khó thâm nhập - và phân tích hệ quả của rào cản đó đối với phúc  lợi người tiêu dùng. Bain cho rằng TTKT thông qua M&amp;A có thể làm thay đổi cấu  trúc thị trường bằng cách giảm số lượng doanh nghiệp và tăng quy mô doanh nghiệp  sau sáp nhập, từ đó nâng cao mức độ tập trung. Nếu M&amp;A dẫn đến chỉ còn ít doanh  nghiệp lớn chi phối thị trường, các doanh nghiệp này có khả năng tạo ra những rào  cản mới đối với đối thủ tiềm năng, làm giảm sự cạnh tranh trên thị trường. Hệ quả là  giá có thể tăng cao hơn, sản lượng thấp hơn mức cạnh tranh và tổng phúc lợi xã hội  giảm xuống. Trong lĩnh vực quản lý cạnh tranh, mô hình SCP từ đó được sử dụng  như một công cụ phân tích cơ bản: nếu một vụ M&amp;A dự kiến sẽ làm tăng đáng kể mức độ tập trung thị trường hoặc dựng thêm rào cản đối với doanh nghiệp mới, cơ  quan quản lý cần thận trọng đánh giá các tác động tiêu cực tiềm tàng đến cạnh tranh  và người tiêu dùng. </w:t>
      </w:r>
    </w:p>
    <w:p w14:paraId="2D19B14E" w14:textId="06ACC7AA" w:rsidR="00F60F67" w:rsidRDefault="00000000" w:rsidP="004E7585">
      <w:pPr>
        <w:widowControl w:val="0"/>
        <w:pBdr>
          <w:top w:val="nil"/>
          <w:left w:val="nil"/>
          <w:bottom w:val="nil"/>
          <w:right w:val="nil"/>
          <w:between w:val="nil"/>
        </w:pBdr>
        <w:spacing w:before="149" w:line="346" w:lineRule="auto"/>
        <w:ind w:left="443" w:right="367" w:firstLine="57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Tiếp đó, Jean Tirole (1988) trong tác phẩm về lý thuyết tổ chức công nghiệp đã  mở rộng phân tích sang khía cạnh động lực và chiến lược của TTKT. Tirole đề cập  rằng động lực chính thúc đẩy các doanh nghiệp thực hiện M&amp;A thường là để gia tăng  sức mạnh thị trường - thể hiện qua thị phần lớn hơn và vị thế chi phối hơn sau sáp  nhập - từ đó có khả năng ảnh hưởng đến giá cả và điều kiện thị trường. Bên cạnh đó,  ông cũng nhấn mạnh hiệu quả kinh tế tiềm năng từ M&amp;A: việc sáp nhập có thể giúp  doanh nghiệp đạt lợi thế kinh tế theo quy mô, cắt giảm chi phí, phân bổ lại nguồn lực</w:t>
      </w:r>
      <w:r w:rsidR="004E7585">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rPr>
        <w:t xml:space="preserve">hiệu quả hơn, do đó không phải tất cả tác động của TTKT đều bất lợi - một số trường  hợp có thể tạo lợi ích cho người tiêu dùng (ví dụ: giá giảm do chi phí giảm) và tăng  thặng dư xã hội. Tuy nhiên, Tirole lưu ý rằng cần cân nhắc kỹ giữa mặt lợi (hiệu quả)  và mặt hại (giảm cạnh tranh) </w:t>
      </w:r>
      <w:r>
        <w:rPr>
          <w:rFonts w:ascii="Times New Roman" w:eastAsia="Times New Roman" w:hAnsi="Times New Roman" w:cs="Times New Roman"/>
          <w:color w:val="000000"/>
          <w:sz w:val="25"/>
          <w:szCs w:val="25"/>
        </w:rPr>
        <w:lastRenderedPageBreak/>
        <w:t xml:space="preserve">của TTKT. Ông phân tích M&amp;A có thể làm tăng rào cản  gia nhập đối với các đối thủ mới hoặc doanh nghiệp nhỏ muốn mở rộng, do doanh  nghiệp sau sáp nhập thường có nguồn lực lớn, gây khó khăn cho đối thủ cạnh tranh  trực tiếp. Ngoài ra, Tirole cũng đề cập vai trò của PLCT (luật chống độc quyền) trong  việc kiểm soát và giảm thiểu nguy cơ TTKT làm HCCT đáng kể. Theo đó, Nhà nước  cần đặt ra các quy định phòng ngừa các giao dịch tập trung làm méo mó cạnh tranh  dẫn đến vị trí thống lĩnh thị trường hoặc độc quyền, đồng thời thẩm định để đánh giá được những vụ TTKT có tác động tích cực và những vụ việc có tác động tiêu cực. </w:t>
      </w:r>
    </w:p>
    <w:p w14:paraId="4DB3CF4F" w14:textId="77777777" w:rsidR="00F60F67" w:rsidRDefault="00000000">
      <w:pPr>
        <w:widowControl w:val="0"/>
        <w:pBdr>
          <w:top w:val="nil"/>
          <w:left w:val="nil"/>
          <w:bottom w:val="nil"/>
          <w:right w:val="nil"/>
          <w:between w:val="nil"/>
        </w:pBdr>
        <w:spacing w:before="149" w:line="345" w:lineRule="auto"/>
        <w:ind w:left="443" w:right="367" w:firstLine="56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Ngoài ra, các nghiên cứu mới cũng cho thấy xu hướng dịch chuyển sang cách  tiếp cận thực chứng, dựa nhiều hơn vào dữ liệu và mô hình kinh tế lượng trong đánh  giá tác động của TTKT. Donna &amp; Pereira (2024) cung cấp một cái nhìn hiện đại về kiểm soát các giao dịch sáp nhập không theo chiều ngang (như sáp nhập dọc, sáp  nhập kết hợp chuỗi cung ứng). Hai tác giả này tập trung vào việc định lượng các tác  động HCCT bằng cách sử dụng mô hình kinh tế lượng và phân tích dữ liệu hành vi  tiêu dùng (Donna &amp; Pereira, 2024). Cách tiếp cận này cho phép lượng hóa cụ thể mức  tăng giá hoặc giảm phúc lợi có thể xảy ra sau sáp nhập, thay vì chỉ dựa trên suy luận  định tính hoặc phỏng đoán. Nghiên cứu của Donna &amp; Pereira cho thấy sự giao thoa  ngày càng lớn giữa kinh tế học và pháp luật trong lĩnh vực sáp nhập: các mô hình  định lượng được kết hợp sử dụng quá trình thẩm định, phản ánh một xu hướng mà  quyết định của cơ quan quản lý được dựa trên bằng chứng thực nghiệm nhiều hơn. </w:t>
      </w:r>
    </w:p>
    <w:p w14:paraId="0624D89A" w14:textId="77777777" w:rsidR="00F60F67" w:rsidRDefault="00000000">
      <w:pPr>
        <w:widowControl w:val="0"/>
        <w:pBdr>
          <w:top w:val="nil"/>
          <w:left w:val="nil"/>
          <w:bottom w:val="nil"/>
          <w:right w:val="nil"/>
          <w:between w:val="nil"/>
        </w:pBdr>
        <w:spacing w:before="149" w:line="348" w:lineRule="auto"/>
        <w:ind w:left="443" w:right="368" w:firstLine="4"/>
        <w:rPr>
          <w:rFonts w:ascii="Times New Roman" w:eastAsia="Times New Roman" w:hAnsi="Times New Roman" w:cs="Times New Roman"/>
          <w:b/>
          <w:bCs/>
          <w:i/>
          <w:iCs/>
          <w:color w:val="000000"/>
          <w:sz w:val="25"/>
          <w:szCs w:val="25"/>
        </w:rPr>
      </w:pPr>
      <w:r>
        <w:rPr>
          <w:rFonts w:ascii="Times New Roman" w:eastAsia="Times New Roman" w:hAnsi="Times New Roman" w:cs="Times New Roman"/>
          <w:b/>
          <w:bCs/>
          <w:i/>
          <w:iCs/>
          <w:color w:val="000000"/>
          <w:sz w:val="25"/>
          <w:szCs w:val="25"/>
        </w:rPr>
        <w:t xml:space="preserve">1.1.2. Các nghiên cứu về pháp luật cạnh tranh và quản lý nhà nước về tập trung  kinh tế </w:t>
      </w:r>
    </w:p>
    <w:p w14:paraId="4E9649B0" w14:textId="6A2DE0C5" w:rsidR="00F60F67" w:rsidRDefault="00000000">
      <w:pPr>
        <w:widowControl w:val="0"/>
        <w:pBdr>
          <w:top w:val="nil"/>
          <w:left w:val="nil"/>
          <w:bottom w:val="nil"/>
          <w:right w:val="nil"/>
          <w:between w:val="nil"/>
        </w:pBdr>
        <w:spacing w:before="147" w:line="346" w:lineRule="auto"/>
        <w:ind w:left="443" w:right="368"/>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Trong giai đoạn đầu xây dựng PLCT tại Việt Nam, nhiều công trình mang tính  nền tảng đã đặt nền móng đầu tiên cho PLCT và kiểm soát độc quyền. Trước khi có Luật Cạnh tranh 2004, Việt Nam chưa có khung pháp lý hoàn chỉnh về kiểm soát  TTKT, do đó các nghiên cứu thời kỳ này chủ yếu khẳng định sự cần thiết ban hành  luật và học hỏi</w:t>
      </w:r>
      <w:r w:rsidR="004E7585">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rPr>
        <w:t xml:space="preserve">kinh nghiệm quốc tế. Có thể kể đến một số nghiên cứu tiêu biểu như </w:t>
      </w:r>
    </w:p>
    <w:p w14:paraId="67E1BFB1" w14:textId="77777777" w:rsidR="00F60F67" w:rsidRDefault="00000000">
      <w:pPr>
        <w:widowControl w:val="0"/>
        <w:pBdr>
          <w:top w:val="nil"/>
          <w:left w:val="nil"/>
          <w:bottom w:val="nil"/>
          <w:right w:val="nil"/>
          <w:between w:val="nil"/>
        </w:pBdr>
        <w:spacing w:before="652" w:line="346" w:lineRule="auto"/>
        <w:ind w:left="442" w:right="368" w:firstLine="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Đặng Vũ Huân (1996) - chuyên đề phân tích các vấn đề cạnh tranh, hành vi cạnh  tranh không lành mạnh và kiểm soát độc quyền trong bối cảnh chuyển đổi kinh tế ở Việt Nam; hay Đề tài VIE/94/003 (1995-1996) về tăng cường năng lực PLCT do  UNDP hỗ trợ. Bên cạnh đó, các báo cáo nghiên cứu của Viện Nghiên cứu Quản lý  Kinh tế Trung ương về PLCT và kiểm soát độc quyền, Viện Nhà nước và Pháp luật  về xây dựng PLCT v.v. đều thống nhất đề xuất xây dựng một đạo luật về cạnh tranh  nhằm kiểm soát các hành vi HCCT, trong đó có hoạt động TTKT. Nhìn chung, các  nghiên cứu giai đoạn tiền Luật </w:t>
      </w:r>
      <w:r>
        <w:rPr>
          <w:rFonts w:ascii="Times New Roman" w:eastAsia="Times New Roman" w:hAnsi="Times New Roman" w:cs="Times New Roman"/>
          <w:color w:val="000000"/>
          <w:sz w:val="25"/>
          <w:szCs w:val="25"/>
        </w:rPr>
        <w:lastRenderedPageBreak/>
        <w:t xml:space="preserve">Cạnh tranh 2004 mang tính chất tiền đề, khảo sát thực  trạng kinh tế chuyển đổi và đề xuất định hướng xây dựng pháp luật. Chúng cung cấp  những luận cứ khoa học thuyết phục rằng cần có khung pháp lý để ngăn chặn độc  quyền, bảo vệ cạnh tranh, nhưng chưa xây dựng một hệ thống lý luận hoàn chỉnh về </w:t>
      </w:r>
    </w:p>
    <w:p w14:paraId="5A83C4A3" w14:textId="77777777" w:rsidR="00F60F67" w:rsidRDefault="00000000">
      <w:pPr>
        <w:widowControl w:val="0"/>
        <w:pBdr>
          <w:top w:val="nil"/>
          <w:left w:val="nil"/>
          <w:bottom w:val="nil"/>
          <w:right w:val="nil"/>
          <w:between w:val="nil"/>
        </w:pBdr>
        <w:spacing w:before="29" w:line="240" w:lineRule="auto"/>
        <w:ind w:left="45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QLNN đối với TTKT. </w:t>
      </w:r>
    </w:p>
    <w:p w14:paraId="0C1B8B2B" w14:textId="77777777" w:rsidR="00F60F67" w:rsidRDefault="00000000">
      <w:pPr>
        <w:widowControl w:val="0"/>
        <w:pBdr>
          <w:top w:val="nil"/>
          <w:left w:val="nil"/>
          <w:bottom w:val="nil"/>
          <w:right w:val="nil"/>
          <w:between w:val="nil"/>
        </w:pBdr>
        <w:spacing w:before="268" w:line="345" w:lineRule="auto"/>
        <w:ind w:left="444" w:right="368" w:firstLine="580"/>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Sau khi Luật Cạnh tranh 2004 có hiệu lực, hoạt động nghiên cứu về kiểm soát  TTKT trở nên sôi động hơn, tập trung vào phân tích quy định pháp luật cụ thể và thực  tiễn áp dụng luật. Nhiều nghiên cứu giai đoạn 2010-2015 đã xem xét các quy định  của Luật Cạnh tranh 2004 về kiểm soát TTKT, đánh giá ưu nhược điểm và đề xuất  cải thiện. Phạm Thị Ngoan (2011) đã hệ thống hóa những vấn đề lý luận cơ bản về </w:t>
      </w:r>
    </w:p>
    <w:p w14:paraId="17B69DF5" w14:textId="77777777" w:rsidR="00F60F67" w:rsidRDefault="00000000">
      <w:pPr>
        <w:widowControl w:val="0"/>
        <w:pBdr>
          <w:top w:val="nil"/>
          <w:left w:val="nil"/>
          <w:bottom w:val="nil"/>
          <w:right w:val="nil"/>
          <w:between w:val="nil"/>
        </w:pBdr>
        <w:spacing w:before="35" w:line="345" w:lineRule="auto"/>
        <w:ind w:left="443" w:right="368" w:firstLine="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TTKT và quy định pháp luật kiểm soát hoạt động này. Tác giả phân tích các quy định  của PLCT của Việt Nam về ngưỡng thông báo TTKT, thị phần kết hợp, thẩm quyền  của cơ quan cạnh tranh (CQCT), v.v., đồng thời đối chiếu với kinh nghiệm một số quốc gia. Trên cơ sở đó, nghiên cứu đề xuất hướng hoàn thiện nhằm tăng cường hiệu  lực thi hành pháp luật về TTKT, tập trung vào ba khía cạnh: (i) Hoàn thiện các quy  định pháp luật (ví dụ: bổ sung tiêu chí định lượng, làm rõ định nghĩa thị trường liên  quan (TTLQ), (ii) Kiện toàn tổ chức bộ máy QLNN để nâng cao năng lực thẩm định,  (iii) Đẩy mạnh công tác phổ biến pháp luật đến cộng đồng doanh nghiệp để tăng mức  độ tuân thủ. Tuy nhiên, nghiên cứu này chủ yếu mang tính khái quát các quy định  hiện hành, chưa phân tích về bản chất kinh tế của TTKT hay xây dựng khung phân  tích mới; phần đối chiếu so sánh pháp luật nước ngoài cũng dừng ở mức mô tả, chưa  lý giải cơ sở hình thành các quy phạm đó. </w:t>
      </w:r>
    </w:p>
    <w:p w14:paraId="53D66F5C" w14:textId="77777777" w:rsidR="00F60F67" w:rsidRDefault="00000000">
      <w:pPr>
        <w:widowControl w:val="0"/>
        <w:pBdr>
          <w:top w:val="nil"/>
          <w:left w:val="nil"/>
          <w:bottom w:val="nil"/>
          <w:right w:val="nil"/>
          <w:between w:val="nil"/>
        </w:pBdr>
        <w:spacing w:before="154" w:line="344" w:lineRule="auto"/>
        <w:ind w:left="446" w:right="368" w:firstLine="56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Tương tự, Nguyễn Quốc Điền (2014) thực hiện nghiên cứu về kiểm soát TTKT,  đạt được một số kết quả: (i) hệ thống hóa cơ sở lý luận cơ bản về TTKT, (ii) phân </w:t>
      </w:r>
    </w:p>
    <w:p w14:paraId="647AEE77"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11 </w:t>
      </w:r>
    </w:p>
    <w:p w14:paraId="5B1B4776" w14:textId="77777777" w:rsidR="00F60F67" w:rsidRDefault="00000000">
      <w:pPr>
        <w:widowControl w:val="0"/>
        <w:pBdr>
          <w:top w:val="nil"/>
          <w:left w:val="nil"/>
          <w:bottom w:val="nil"/>
          <w:right w:val="nil"/>
          <w:between w:val="nil"/>
        </w:pBdr>
        <w:spacing w:before="652" w:line="346" w:lineRule="auto"/>
        <w:ind w:left="443" w:right="368" w:firstLine="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tích các quy định QLNN và thực trạng áp dụng tại Việt Nam, (iii) đề xuất nguyên tắc  và giải pháp hoàn thiện pháp luật. Các giải pháp tập trung vào việc nâng cao năng lực  CQCT, thiết lập cơ chế phối hợp liên ngành (vì hoạt động M&amp;A lớn thường liên quan  đến nhiều lĩnh vực: đầu tư, chứng khoán, công thương…), và tăng cường phổ biến  PLCT trong cộng đồng doanh nghiệp. Cách tiếp cận của Luận án này nhìn chung  tương đồng với các nghiên cứu cùng thời kỳ: chủ yếu đánh giá trên bình diện pháp  luật thực định, chưa có đột phá về phương pháp phân tích. Nghiên cứu kế thừa khá  nhiều từ các nguồn có trước và đề xuất cũng chủ yếu nhấn mạnh việc thực thi nghiêm  các quy định hiện có hơn là đề xuất những cải cách mang tính hệ thống. </w:t>
      </w:r>
    </w:p>
    <w:p w14:paraId="409159DA" w14:textId="77777777" w:rsidR="00F60F67" w:rsidRDefault="00000000">
      <w:pPr>
        <w:widowControl w:val="0"/>
        <w:pBdr>
          <w:top w:val="nil"/>
          <w:left w:val="nil"/>
          <w:bottom w:val="nil"/>
          <w:right w:val="nil"/>
          <w:between w:val="nil"/>
        </w:pBdr>
        <w:spacing w:before="149" w:line="345" w:lineRule="auto"/>
        <w:ind w:left="441" w:right="368" w:firstLine="57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Một hướng nghiên cứu khác là xem xét TTKT dưới góc độ pháp lý chuyên biệt.  Trần Thị Bảo Ánh (2014) tập trung nghiên cứu hoạt động mua bán doanh nghiệp và  vấn đề kiểm soát hoạt động này dưới góc độ PLCT. Luận án làm rõ khái niệm và bản  chất pháp lý của mua bán doanh nghiệp (một hình thức của TTKT), phân tích thực  trạng pháp luật về mua bán doanh nghiệp tại Việt Nam và so sánh với pháp luật một  số nước (Trần Thị Bảo Ánh, 2014). Kết quả nghiên cứu chỉ ra những khoảng trống  trong quy định pháp luật Việt Nam thời điểm đó về: chủ thể được phép tham gia mua  bán doanh nghiệp, hình thức hợp đồng và thủ tục sáp nhập/mua lại, thẩm quyền của  CQCT trong giám sát giao dịch, v.v. Trên cơ sở đó, tác giả đề xuất bổ sung tiêu chí  kiểm soát mua bán doanh nghiệp (ví dụ: ngưỡng thị phần, doanh thu), trao thẩm quyền  rõ ràng hơn cho CQCT trong việc phê duyệt giao dịch M&amp;A có yếu tố cạnh tranh, và  hoàn thiện các quy định liên quan. Đáng chú ý, nghiên cứu nhấn mạnh việc xác định  TTLQ chính xác và thiết lập ngưỡng cụ thể để kiểm soát mua bán doanh nghiệp, coi  đây là giải pháp trọng tâm để nâng cao hiệu quả điều chỉnh pháp luật. Quan điểm này  hoàn toàn phù hợp, bởi lẽ nếu xác định sai thị trường hoặc ngưỡng kiểm soát không  hợp lý (quá cao hoặc quá thấp) đều có thể dẫn đến hoặc bỏ qua những vụ việc có  nguy cơ gây HCCT.  </w:t>
      </w:r>
    </w:p>
    <w:p w14:paraId="2330CDD3" w14:textId="77777777" w:rsidR="00F60F67" w:rsidRDefault="00000000">
      <w:pPr>
        <w:widowControl w:val="0"/>
        <w:pBdr>
          <w:top w:val="nil"/>
          <w:left w:val="nil"/>
          <w:bottom w:val="nil"/>
          <w:right w:val="nil"/>
          <w:between w:val="nil"/>
        </w:pBdr>
        <w:spacing w:before="154" w:line="345" w:lineRule="auto"/>
        <w:ind w:left="444" w:right="368" w:firstLine="56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Không chỉ giới hạn trong các nghiên cứu học thuật, các cơ quan quản lý cũng  có những nghiên cứu, tổng kết thực tiễn quan trọng. Chuỗi báo cáo của Cục Quản lý  Cạnh tranh (Cục QLCT) giai đoạn 2012-2014 cùng với Báo cáo rà soát Luật Cạnh  tranh 2004 đã cung cấp cái nhìn thực tế về hoạt động TTKT ở Việt Nam và hiệu quả </w:t>
      </w:r>
    </w:p>
    <w:p w14:paraId="2254D206" w14:textId="77777777" w:rsidR="00F60F67" w:rsidRDefault="00000000">
      <w:pPr>
        <w:widowControl w:val="0"/>
        <w:pBdr>
          <w:top w:val="nil"/>
          <w:left w:val="nil"/>
          <w:bottom w:val="nil"/>
          <w:right w:val="nil"/>
          <w:between w:val="nil"/>
        </w:pBdr>
        <w:spacing w:before="29" w:line="240" w:lineRule="auto"/>
        <w:ind w:right="368"/>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QLNN thời kỳ Luật Cạnh tranh 2004. Báo cáo 2012 của Cục QLCT tổng kết tình </w:t>
      </w:r>
    </w:p>
    <w:p w14:paraId="2B09F6C4"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12 </w:t>
      </w:r>
    </w:p>
    <w:p w14:paraId="384C74BA" w14:textId="77777777" w:rsidR="00F60F67" w:rsidRDefault="00000000">
      <w:pPr>
        <w:widowControl w:val="0"/>
        <w:pBdr>
          <w:top w:val="nil"/>
          <w:left w:val="nil"/>
          <w:bottom w:val="nil"/>
          <w:right w:val="nil"/>
          <w:between w:val="nil"/>
        </w:pBdr>
        <w:spacing w:before="652" w:line="346" w:lineRule="auto"/>
        <w:ind w:left="441" w:right="368"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hình TTKT giai đoạn 2009-2011, thống kê số lượng vụ việc doanh nghiệp thông báo  hoặc tham vấn trước khi tiến hành TTKT, đồng thời nêu một số vụ điển hình. Đặc  biệt, các báo cáo này chỉ ra nhiều hạn chế trong quy định và thực thi: (i) Tiêu chí thị phần kết hợp 30% (theo Luật Cạnh tranh 2004) là công cụ gần như duy nhất để xác  định một vụ TTKT có bị kiểm soát hay không, dẫn đến lệ thuộc cứng nhắc vào con  số thị phần, trong khi thị phần lại khó xác định chính xác nếu việc xác định TTLQ gặp khó khăn; (ii) Việc xác định TTLQ (sản phẩm và địa lý) theo Luật Cạnh tranh  2004 và hướng dẫn dưới luật tỏ ra phức tạp, đặc biệt trong những ngành mới nổi hoặc  thị trường địa phương, khiến CQCT lúng túng và doanh nghiệp cũng khó tự đánh giá  nghĩa vụ thông báo; (iii) Các biện pháp khắc phục (remedies) áp dụng cho các trường  hợp TTKT bị kết luận có khả năng HCCT còn chưa cụ thể và thiếu khả thi, chủ yếu  mới dừng ở quy định về chia tách doanh nghiệp sau tập trung - một biện pháp mạnh  tay nhưng khó thực hiện, trong khi thiếu các biện pháp mềm dẻo hơn (ví dụ: cam kết  về giá, về duy trì độc lập một số bộ phận kinh doanh…); </w:t>
      </w:r>
      <w:r>
        <w:rPr>
          <w:rFonts w:ascii="Times New Roman" w:eastAsia="Times New Roman" w:hAnsi="Times New Roman" w:cs="Times New Roman"/>
          <w:color w:val="000000"/>
          <w:sz w:val="25"/>
          <w:szCs w:val="25"/>
        </w:rPr>
        <w:lastRenderedPageBreak/>
        <w:t xml:space="preserve">(iv) Quy trình thông báo,  thẩm định còn phức tạp và chưa có hướng dẫn chi tiết, dẫn đến doanh nghiệp e ngại  thực hiện nghĩa vụ thông báo. Từ các bất cập đó, Cục QLCT đề xuất nhiều khuyến  nghị quan trọng cho quá trình sửa đổi Luật Cạnh tranh: mở rộng phạm vi và đối tượng  TTKT cần kiểm soát (không chỉ sáp nhập, mua lại mà cả liên doanh, liên kết có thể </w:t>
      </w:r>
    </w:p>
    <w:p w14:paraId="6826CDE6" w14:textId="77777777" w:rsidR="00F60F67" w:rsidRDefault="00000000">
      <w:pPr>
        <w:widowControl w:val="0"/>
        <w:pBdr>
          <w:top w:val="nil"/>
          <w:left w:val="nil"/>
          <w:bottom w:val="nil"/>
          <w:right w:val="nil"/>
          <w:between w:val="nil"/>
        </w:pBdr>
        <w:spacing w:before="29" w:line="346" w:lineRule="auto"/>
        <w:ind w:left="443" w:right="36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tạo liên minh cạnh tranh); điều chỉnh ngưỡng thông báo TTKT theo hướng kết hợp  tiêu chí doanh thu/tài sản chứ không chỉ thị phần; chuyển từ cách tiếp cận định lượng  cứng nhắc sang đánh giá tác động HCCT một cách toàn diện; bổ sung các biện pháp  khắc phục linh hoạt và quy định rõ về quy trình thông báo, thẩm định (Cục QLCT,  2014).  </w:t>
      </w:r>
    </w:p>
    <w:p w14:paraId="33B5D197" w14:textId="77777777" w:rsidR="00F60F67" w:rsidRDefault="00000000">
      <w:pPr>
        <w:widowControl w:val="0"/>
        <w:pBdr>
          <w:top w:val="nil"/>
          <w:left w:val="nil"/>
          <w:bottom w:val="nil"/>
          <w:right w:val="nil"/>
          <w:between w:val="nil"/>
        </w:pBdr>
        <w:spacing w:before="149" w:line="345" w:lineRule="auto"/>
        <w:ind w:left="443" w:right="367" w:firstLine="56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Hơn một thập kỷ sau khi Luật Cạnh tranh 2004 ra đời, Việt Nam tiến hành sửa  đổi toàn diện luật cạnh tranh, kết quả là Luật Cạnh tranh 2018 có hiệu lực từ ngày  1/7/2019. Một điểm nổi bật của Luật Cạnh tranh 2018 là chuyển từ tiếp cận hình thức  (dựa vào thị phần, cấu trúc) sang đánh giá tác động thực tế của vụ TTKT đối với cạnh  tranh. Nhiều nhà nghiên cứu đã phân tích sự chuyển dịch này. Hà Ngọc Anh (2018)  - trong Luận án của mình hoàn thành ngay trước khi Luật Cạnh tranh 2018 được ban  hành - đã đề xuất việc bỏ tiêu chí thị phần cứng và thay bằng cơ chế đánh giá “khả năng gây HCCT đáng kể” của vụ TTKT. Tác giả nhấn mạnh cần kết hợp cả tiêu chí </w:t>
      </w:r>
    </w:p>
    <w:p w14:paraId="613649F2"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13 </w:t>
      </w:r>
    </w:p>
    <w:p w14:paraId="7ABFBCAD" w14:textId="77777777" w:rsidR="00F60F67" w:rsidRDefault="00000000">
      <w:pPr>
        <w:widowControl w:val="0"/>
        <w:pBdr>
          <w:top w:val="nil"/>
          <w:left w:val="nil"/>
          <w:bottom w:val="nil"/>
          <w:right w:val="nil"/>
          <w:between w:val="nil"/>
        </w:pBdr>
        <w:spacing w:before="652" w:line="346" w:lineRule="auto"/>
        <w:ind w:left="443" w:right="368" w:firstLine="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định lượng và định tính để đánh giá một cách toàn diện. Theo đó, ngoài các chỉ số như thị phần, Chỉ số HHI trước và sau sáp nhập, cần xem xét các yếu tố định tính  như: cấu trúc thị trường (có bao nhiêu đối thủ mạnh), mức độ dễ dàng gia nhập thị trường, sức mạnh thương lượng của khách hàng, khả năng doanh nghiệp sau sáp nhập  tăng giá hay kìm hãm đổi mới, và cả những hiệu quả nâng cao hiệu quả kinh tế mà  sáp nhập đem lại. Nghiên cứu của Hà Ngọc Anh (2018) cũng đề xuất trao thêm tính  độc lập cho CQCT trong việc ra quyết định đối với các vụ TTKT: cụ thể, cơ quan này  nên có quyền quyết định cuối cùng cho phép hoặc cấm một thương vụ dựa trên phân  tích cạnh tranh, thay vì phụ thuộc quá nhiều vào ý kiến của các cơ quan hành chính  khác. Bên cạnh đó, tác giả đề xuất xây dựng các hướng dẫn chi tiết thi hành luật mới,  như hướng dẫn xác định ngưỡng thông báo, cách thức xác định TTLQ trong bối cảnh  thị trường số, tiêu chí đánh giá tác động cạnh tranh, cơ chế cho phép TTKT kèm điều  kiện và giám sát sau TTKT.  </w:t>
      </w:r>
    </w:p>
    <w:p w14:paraId="28B62B0A" w14:textId="77777777" w:rsidR="00F60F67" w:rsidRDefault="00000000">
      <w:pPr>
        <w:widowControl w:val="0"/>
        <w:pBdr>
          <w:top w:val="nil"/>
          <w:left w:val="nil"/>
          <w:bottom w:val="nil"/>
          <w:right w:val="nil"/>
          <w:between w:val="nil"/>
        </w:pBdr>
        <w:spacing w:before="149" w:line="345" w:lineRule="auto"/>
        <w:ind w:left="438" w:right="367" w:firstLine="57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Tương tự, Trần Phương Nhung (2019) - nghiên cứu trong bối cảnh Luật Cạnh  tranh 2018 vừa thay thế Luật Cạnh tranh 2004 - cũng tập trung làm rõ cơ sở lý luận  và cơ chế kiểm soát TTKT theo PLCT của Việt Nam. Tác giả đã phân tích khái niệm,  bản chất pháp lý của TTKT và pháp luật điều chỉnh hoạt động này (Trần Phương  Nhung, 2019). </w:t>
      </w:r>
      <w:r>
        <w:rPr>
          <w:rFonts w:ascii="Times New Roman" w:eastAsia="Times New Roman" w:hAnsi="Times New Roman" w:cs="Times New Roman"/>
          <w:color w:val="000000"/>
          <w:sz w:val="25"/>
          <w:szCs w:val="25"/>
        </w:rPr>
        <w:lastRenderedPageBreak/>
        <w:t xml:space="preserve">Sau đó, nghiên cứu đánh giá thực trạng pháp luật và thực tiễn thực thi  tại Việt Nam, nêu bật những điểm mới của Luật Cạnh tranh 2018 so với Luật Cạnh  tranh 2004. Kết quả phân tích cho thấy Luật Cạnh tranh 2018 đã khắc phục được một  số hạn chế trước đây, ví dụ: thay tiêu chí thị phần bằng ngưỡng thông báo đa tiêu chí  (doanh thu, giá trị giao dịch, thị phần), quy định rõ hơn về đánh giá tác động cạnh  tranh, bổ sung khả năng chấp thuận có điều kiện đối với TTKT. Nghiên cứu này cũng  chỉ ra những vướng mắc còn tồn tại: một số quy định mới còn thiếu văn bản hướng  dẫn chi tiết; năng lực CQCT còn hạn chế trong việc phân tích các vụ phức tạp; sự phối hợp giữa CQCT với các cơ quan quản lý ngành chưa chặt chẽ. Đặc biệt, khi so  sánh với kinh nghiệm lập pháp của EU, Mỹ, Nhật Bản…, tác giả nhận thấy pháp luật  Việt Nam cần tiếp tục hoàn thiện để tiệm cận chuẩn mực quốc tế, như cần quy định  rõ hơn về đánh giá hiệu quả kinh tế nâng cao như một yếu tố có thể bù đắp tác động  HCCT, cần cơ chế hậu kiểm để đánh giá lại thương vụ sau một thời gian, và tăng  cường các chế tài đối với hành vi không thông báo giao dịch khi có nghĩa vụ. Từ đó, </w:t>
      </w:r>
    </w:p>
    <w:p w14:paraId="6F9DF193"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14 </w:t>
      </w:r>
    </w:p>
    <w:p w14:paraId="19499788" w14:textId="77777777" w:rsidR="00F60F67" w:rsidRDefault="00000000">
      <w:pPr>
        <w:widowControl w:val="0"/>
        <w:pBdr>
          <w:top w:val="nil"/>
          <w:left w:val="nil"/>
          <w:bottom w:val="nil"/>
          <w:right w:val="nil"/>
          <w:between w:val="nil"/>
        </w:pBdr>
        <w:spacing w:before="652" w:line="346" w:lineRule="auto"/>
        <w:ind w:left="441" w:right="367"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nghiên cứu của Trần Phương Nhung đề xuất một loạt giải pháp: hoàn thiện khung  pháp lý (sửa đổi, bổ sung văn bản dưới luật hướng dẫn Luật Cạnh tranh 2018); nâng  cao hiệu lực thực thi (đào tạo nhân lực, tăng cường ngân sách và thẩm quyền cho  CQCT); và tăng cường hợp tác quốc tế.  </w:t>
      </w:r>
    </w:p>
    <w:p w14:paraId="3746EB16" w14:textId="77777777" w:rsidR="00F60F67" w:rsidRDefault="00000000">
      <w:pPr>
        <w:widowControl w:val="0"/>
        <w:pBdr>
          <w:top w:val="nil"/>
          <w:left w:val="nil"/>
          <w:bottom w:val="nil"/>
          <w:right w:val="nil"/>
          <w:between w:val="nil"/>
        </w:pBdr>
        <w:spacing w:before="148" w:line="346" w:lineRule="auto"/>
        <w:ind w:left="438" w:right="368" w:firstLine="56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Ngoài các nghiên cứu tập trung vào PLCT, cũng có những công trình đặt TTKT  trong bối cảnh kinh tế - chính trị rộng hơn. Nguyễn Văn Đợi (2022) cung cấp một  góc nhìn lý luận kinh tế về TTKT. Tác giả điểm lại học thuyết của C. Mác về tập  trung tư bản và của V.I. Lê-nin về sự hình thành độc quyền trong nền kinh tế tư bản  cuối thế kỷ 19 - đầu thế kỷ 20, coi đó là cơ sở lý luận chung về xu hướng tập trung  sản xuất và tư bản. Sau đó, nghiên cứu phân tích thực trạng hoạt động M&amp;A tại Việt  Nam và việc QLNN đối với M&amp;A theo Luật Cạnh tranh 2004, tiếp đến là những đổi  mới trong Luật Cạnh tranh 2018. Tác giả nhận định rằng Luật Cạnh tranh 2018 đã  hoàn thiện hơn cơ chế kiểm soát M&amp;A, góp phần ngăn chặn việc hình thành các  doanh nghiệp độc quyền, qua đó duy trì môi trường cạnh tranh cho các doanh nghiệp  vừa và nhỏ. Nghiên cứu cũng cho thấy một xu hướng kết nối giữa tư duy lập pháp  với học thuyết kinh tế: pháp luật về TTKT được xây dựng nhằm kiềm chế mặt trái  của quy luật tập trung tư bản trong nền kinh tế thị trường, và nhiệm vụ của QLNN là  giữ cho quá trình tập trung không đi quá xa đến mức triệt tiêu cạnh tranh. </w:t>
      </w:r>
    </w:p>
    <w:p w14:paraId="36B58B0D" w14:textId="77777777" w:rsidR="00F60F67" w:rsidRDefault="00000000">
      <w:pPr>
        <w:widowControl w:val="0"/>
        <w:pBdr>
          <w:top w:val="nil"/>
          <w:left w:val="nil"/>
          <w:bottom w:val="nil"/>
          <w:right w:val="nil"/>
          <w:between w:val="nil"/>
        </w:pBdr>
        <w:spacing w:before="149" w:line="345" w:lineRule="auto"/>
        <w:ind w:left="443" w:right="366" w:firstLine="57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Tổng quan các nghiên cứu về PLCT và QLNN đối với TTKT ở Việt Nam cho  thấy sự tiến bộ rõ rệt: từ chỗ chưa có khung pháp lý, Việt Nam đã xây dựng được luật  và liên </w:t>
      </w:r>
      <w:r>
        <w:rPr>
          <w:rFonts w:ascii="Times New Roman" w:eastAsia="Times New Roman" w:hAnsi="Times New Roman" w:cs="Times New Roman"/>
          <w:color w:val="000000"/>
          <w:sz w:val="25"/>
          <w:szCs w:val="25"/>
        </w:rPr>
        <w:lastRenderedPageBreak/>
        <w:t xml:space="preserve">tục cải cách để tiệm cận thông lệ tốt trên thế giới. Các nghiên cứu đã góp phần  chỉ ra hạn chế của giai đoạn trước (Luật Cạnh tranh 2004) và đề xuất những cải cách  then chốt áp dụng trong Luật Cạnh tranh 2018 (như thay đổi tiêu chí đánh giá, tăng  thẩm quyền cho cơ quan quản lý, v.v.). Tuy nhiên, vẫn còn một số điểm các nghiên  cứu này chưa đề cập đầy đủ hoặc chưa giải quyết triệt để, đặc biệt khi phân tích lĩnh  vực bán lẻ. </w:t>
      </w:r>
    </w:p>
    <w:p w14:paraId="6DA44650" w14:textId="77777777" w:rsidR="00F60F67" w:rsidRDefault="00000000">
      <w:pPr>
        <w:widowControl w:val="0"/>
        <w:pBdr>
          <w:top w:val="nil"/>
          <w:left w:val="nil"/>
          <w:bottom w:val="nil"/>
          <w:right w:val="nil"/>
          <w:between w:val="nil"/>
        </w:pBdr>
        <w:spacing w:before="154" w:line="344" w:lineRule="auto"/>
        <w:ind w:left="443" w:right="368" w:firstLine="3"/>
        <w:rPr>
          <w:rFonts w:ascii="Times New Roman" w:eastAsia="Times New Roman" w:hAnsi="Times New Roman" w:cs="Times New Roman"/>
          <w:b/>
          <w:bCs/>
          <w:i/>
          <w:iCs/>
          <w:color w:val="000000"/>
          <w:sz w:val="25"/>
          <w:szCs w:val="25"/>
        </w:rPr>
      </w:pPr>
      <w:r>
        <w:rPr>
          <w:rFonts w:ascii="Times New Roman" w:eastAsia="Times New Roman" w:hAnsi="Times New Roman" w:cs="Times New Roman"/>
          <w:b/>
          <w:bCs/>
          <w:i/>
          <w:iCs/>
          <w:color w:val="000000"/>
          <w:sz w:val="25"/>
          <w:szCs w:val="25"/>
        </w:rPr>
        <w:t xml:space="preserve">1.1.3. Các nghiên cứu về quản lý nhà nước đối với tập trung kinh tế trong lĩnh vực  bán lẻ </w:t>
      </w:r>
    </w:p>
    <w:p w14:paraId="522A6E09" w14:textId="77777777" w:rsidR="00F60F67" w:rsidRDefault="00000000">
      <w:pPr>
        <w:widowControl w:val="0"/>
        <w:pBdr>
          <w:top w:val="nil"/>
          <w:left w:val="nil"/>
          <w:bottom w:val="nil"/>
          <w:right w:val="nil"/>
          <w:between w:val="nil"/>
        </w:pBdr>
        <w:spacing w:before="151" w:line="348" w:lineRule="auto"/>
        <w:ind w:left="446" w:right="368" w:firstLine="56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Lĩnh vực bán lẻ (phân phối hàng hóa đến người tiêu dùng cuối cùng) có những  đặc thù về cơ cấu thị trường và hành vi cạnh tranh, do đó thu hút sự quan tâm riêng </w:t>
      </w:r>
    </w:p>
    <w:p w14:paraId="40CC3C97"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15 </w:t>
      </w:r>
    </w:p>
    <w:p w14:paraId="763D4737" w14:textId="77777777" w:rsidR="00F60F67" w:rsidRDefault="00000000">
      <w:pPr>
        <w:widowControl w:val="0"/>
        <w:pBdr>
          <w:top w:val="nil"/>
          <w:left w:val="nil"/>
          <w:bottom w:val="nil"/>
          <w:right w:val="nil"/>
          <w:between w:val="nil"/>
        </w:pBdr>
        <w:spacing w:before="652" w:line="346" w:lineRule="auto"/>
        <w:ind w:left="441" w:right="368" w:firstLine="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của các nhà nghiên cứu khi xem xét vấn đề TTKT. Ngay từ khá sớm, Nguyễn Như  Phát (2007) đã có một cách tiếp cận quan trọng: ông cho rằng TTKT là quá trình tất  yếu trong nền kinh tế thị trường, kể cả ở lĩnh vực bán lẻ, và mục tiêu của PLCT không  phải là cấm đoán hoàn toàn việc doanh nghiệp sáp nhập hay mua lại lẫn nhau, mà là  kiểm soát để ngăn ngừa hình thành sức mạnh thị trường quá lớn. Nhà nước không  can thiệp để cản trở những sáp nhập có lợi, nhưng phải có giới hạn rõ ràng - khi việc  tập trung đạt đến mức độ có thể tạo ra doanh nghiệp thống lĩnh, độc quyền thì cần  can thiệp ngăn chặn. Phương pháp luận của Nguyễn Như Phát đã đặt nền móng cho  nhiều nghiên cứu sau này về QLNN trong lĩnh vực bán lẻ, đó là nhận diện ngưỡng  tập trung chấp nhận được và thiết kế công cụ kiểm soát phù hợp. Đồng thời, ông cũng  lưu ý thách thức kép là làm sao hoàn thiện khung pháp lý cạnh tranh và phát triển thể chế thị trường để vừa thúc đẩy liên kết, tập trung lành mạnh, vừa phòng chống hiệu  quả các hành vi HCCT. </w:t>
      </w:r>
    </w:p>
    <w:p w14:paraId="27E20B6F" w14:textId="77777777" w:rsidR="00F60F67" w:rsidRDefault="00000000">
      <w:pPr>
        <w:widowControl w:val="0"/>
        <w:pBdr>
          <w:top w:val="nil"/>
          <w:left w:val="nil"/>
          <w:bottom w:val="nil"/>
          <w:right w:val="nil"/>
          <w:between w:val="nil"/>
        </w:pBdr>
        <w:spacing w:before="149" w:line="345" w:lineRule="auto"/>
        <w:ind w:left="441" w:right="368"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bối cảnh Luật Cạnh tranh 2004 vẫn còn hiệu lực, một số nghiên cứu khác  cũng đánh giá việc kiểm soát TTKT trong lĩnh vực bán lẻ theo quy định luật này.  Phạm Phương Thảo (2017) tập trung phân tích thực trạng kiểm soát TTKT trong lĩnh  vực bán lẻ Việt Nam dưới khung pháp lý của Luật Cạnh tranh 2004. Tác giả nhận  định rằng thị trường bán lẻ Việt Nam những năm 2010 chứng kiến sự gia tăng nhanh  chóng của các thương vụ sáp nhập chuỗi siêu thị, cửa hàng tiện lợi, dẫn đến lo ngại  về việc hình thành các nhà bán lẻ có thị phần đáng kể. Tuy nhiên, do hạn chế của  pháp luật khi đó, nhiều thương vụ không bị xem xét kỹ. Tác giả chỉ ra hai hạn chế lớn: thứ nhất, phạm vi chủ thể thực hiện TTKT chưa bao quát hết các dạng liên kết  trong lĩnh vực bán lẻ (ví dụ: hình thức liên minh, liên kết cổ phần giữa các công ty  bán lẻ có thể không rơi vào định nghĩa sáp nhập/mua lại truyền thống nên khó kiểm  soát); thứ hai, việc xác định thị trường sản phẩm liên quan trong lĩnh vực bán lẻ rất  phức tạp vì danh mục hàng hóa bán lẻ đa dạng, Luật Cạnh tranh 2004 không cung  cấp hướng dẫn cụ thể, dẫn tới tình trạng đánh giá tùy </w:t>
      </w:r>
      <w:r>
        <w:rPr>
          <w:rFonts w:ascii="Times New Roman" w:eastAsia="Times New Roman" w:hAnsi="Times New Roman" w:cs="Times New Roman"/>
          <w:color w:val="000000"/>
          <w:sz w:val="25"/>
          <w:szCs w:val="25"/>
        </w:rPr>
        <w:lastRenderedPageBreak/>
        <w:t>nghi. Bài viết của Phạm Phương  Thảo từ đó kiến nghị cần sớm sửa luật (đã được thực hiện vào năm 2018) để khắc  phục bất cập, đề xuât cơ quan quản lý nên chủ động giám sát những thương vụ lớn  trong ngành bán lẻ.</w:t>
      </w:r>
    </w:p>
    <w:p w14:paraId="25DD5DF1"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16 </w:t>
      </w:r>
    </w:p>
    <w:p w14:paraId="3869BE5E" w14:textId="77777777" w:rsidR="00F60F67" w:rsidRDefault="00000000">
      <w:pPr>
        <w:widowControl w:val="0"/>
        <w:pBdr>
          <w:top w:val="nil"/>
          <w:left w:val="nil"/>
          <w:bottom w:val="nil"/>
          <w:right w:val="nil"/>
          <w:between w:val="nil"/>
        </w:pBdr>
        <w:spacing w:before="652" w:line="346" w:lineRule="auto"/>
        <w:ind w:left="443" w:right="368" w:firstLine="56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Nhiều nghiên cứu được thực hiện vào giai đoạn thị trường bán lẻ Việt Nam bắt  đầu bùng nổ M&amp;A, đặc biệt khi Việt Nam mở cửa thị trường bán lẻ sau khi gia nhập  WTO (năm 2007). Đinh Thị Lan Chi &amp; Nguyễn Bảo Linh (2017) đã phân tích xu  hướng phát triển của hoạt động M&amp;A trong lĩnh vực bán lẻ gắn liền với quy định  kiểm soát TTKT của PLCT. Nghiên cứu này trước tiên làm rõ khái niệm, đặc điểm  của hoạt động mua lại và sáp nhập doanh nghiệp trong lĩnh vực bán lẻ, đồng thời mô  tả bức tranh thị trường bán lẻ Việt Nam với sự tham gia của nhiều tập đoàn lớn. Trọng  tâm của nghiên cứu là so sánh giữa thực trạng hoạt động M&amp;A trong lĩnh vực bán lẻ và khung pháp lý kiểm soát: các tác giả chỉ ra rằng nhiều thương vụ M&amp;A lớn trong </w:t>
      </w:r>
    </w:p>
    <w:p w14:paraId="4BB8F17E" w14:textId="77777777" w:rsidR="00F60F67" w:rsidRDefault="00000000">
      <w:pPr>
        <w:widowControl w:val="0"/>
        <w:pBdr>
          <w:top w:val="nil"/>
          <w:left w:val="nil"/>
          <w:bottom w:val="nil"/>
          <w:right w:val="nil"/>
          <w:between w:val="nil"/>
        </w:pBdr>
        <w:spacing w:before="29" w:line="345" w:lineRule="auto"/>
        <w:ind w:left="443" w:right="368" w:firstLine="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lĩnh vực bán lẻ giai đoạn 2014-2016 (như việc Central Group thâu tóm chuỗi Big C,  hay Vingroup thâu tóm Maximark, v.v.) đã đặt ra thách thức cho CQCT do quy mô  TTLQ khó xác định (bán lẻ là ngành rộng với nhiều phân khúc). Các tác giả nhận  thấy Luật Cạnh tranh 2004 còn bất cập khi đối mặt với các thương vụ dạng này: tiêu  chí thị phần ≥ 30% mới phải thông báo có thể bỏ sót những vụ tuy thị phần dưới 30%  nhưng hậu quả HCCT lớn trong phân khúc hẹp; việc đánh giá chủ yếu dựa trên thị </w:t>
      </w:r>
    </w:p>
    <w:p w14:paraId="11154458" w14:textId="77777777" w:rsidR="00F60F67" w:rsidRDefault="00000000">
      <w:pPr>
        <w:widowControl w:val="0"/>
        <w:pBdr>
          <w:top w:val="nil"/>
          <w:left w:val="nil"/>
          <w:bottom w:val="nil"/>
          <w:right w:val="nil"/>
          <w:between w:val="nil"/>
        </w:pBdr>
        <w:spacing w:before="34" w:line="345" w:lineRule="auto"/>
        <w:ind w:left="441" w:right="36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phần cũng không phản ánh đúng sức mạnh thị trường trong bán lẻ. Dựa trên kinh  nghiệm một số nước (các tác giả tham khảo kinh nghiệm Mỹ, EU về kiểm soát sáp  nhập siêu thị, chuỗi bán lẻ), nghiên cứu đề xuất Việt Nam cần: hoàn thiện tiêu chí  thông báo (kết hợp yếu tố doanh thu của doanh nghiệp bán lẻ, số lượng cửa hàng,  phạm vi địa lý), xây dựng hướng dẫn xác định TTLQ trong lĩnh vực bán lẻ (đặc biệt  là thị trường địa lý thường mang tính địa phương, bán kính phục vụ nhất định), và có  quy định chuyên biệt bảo vệ các nhà cung cấp nhỏ trước sức mạnh của các chuỗi bán  lẻ lớn.  </w:t>
      </w:r>
    </w:p>
    <w:p w14:paraId="77EBA813" w14:textId="77777777" w:rsidR="00F60F67" w:rsidRDefault="00000000">
      <w:pPr>
        <w:widowControl w:val="0"/>
        <w:pBdr>
          <w:top w:val="nil"/>
          <w:left w:val="nil"/>
          <w:bottom w:val="nil"/>
          <w:right w:val="nil"/>
          <w:between w:val="nil"/>
        </w:pBdr>
        <w:spacing w:before="149" w:line="345" w:lineRule="auto"/>
        <w:ind w:left="443" w:right="368" w:firstLine="58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Sau khi Luật Cạnh tranh 2018 ra đời với nhiều thay đổi quan trọng, các nghiên  cứu về bán lẻ bắt đầu cập nhật những nội dung này. Phạm Thị Vân Anh (2018) - thực  hiện trong thời điểm Luật mới đã được thông qua nhưng chưa có hiệu lực - đã kịp  thời phản ánh những điểm mới trong kiểm soát TTKT lĩnh vực bán lẻ. Nghiên cứu  của tác giả làm rõ đặc điểm thị trường bán lẻ và lý luận về sự cần thiết kiểm soát  TTKT trong lĩnh vực này (Phạm Thị Vân Anh, 2018). Quan trọng hơn, tác giả phân  tích các thương vụ M&amp;A tiêu biểu trong lĩnh vực bán lẻ từ khoảng năm 2014 đến  2018 tại Việt Nam (như thương vụ sáp nhập hệ thống điện máy Nguyễn Kim bởi </w:t>
      </w:r>
    </w:p>
    <w:p w14:paraId="269BE561"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17 </w:t>
      </w:r>
    </w:p>
    <w:p w14:paraId="45BB731C" w14:textId="77777777" w:rsidR="00F60F67" w:rsidRDefault="00000000">
      <w:pPr>
        <w:widowControl w:val="0"/>
        <w:pBdr>
          <w:top w:val="nil"/>
          <w:left w:val="nil"/>
          <w:bottom w:val="nil"/>
          <w:right w:val="nil"/>
          <w:between w:val="nil"/>
        </w:pBdr>
        <w:spacing w:before="652" w:line="345" w:lineRule="auto"/>
        <w:ind w:left="443" w:right="367" w:firstLine="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Central Group, hay Vingroup thâu tóm chuỗi siêu thị Fivimart), qua đó đánh giá thực  tiễn QLNN: nhiều thương vụ đã được doanh nghiệp chủ động thông báo hoặc tham  vấn Cục QLCT, nhưng cũng có những thương vụ doanh nghiệp không thông báo do  cho rằng không đạt ngưỡng, gây khó khăn cho quản lý. Nghiên cứu chỉ ra một số tồn  tại, bất cập của pháp luật về quản lý TTKT ảnh hưởng đến hiệu quả thực thi, như:  thiếu quy định về cơ sở dữ liệu để theo dõi hoạt động M&amp;A, dẫn đến cơ quan quản  lý bị động trong việc phát hiện giao dịch; chế tài xử lý vi phạm hành chính đối với  hành vi không thông báo giao dịch chưa đủ sức răn đe; và đặc biệt, chưa có quy định  riêng cho lĩnh vực bán lẻ mặc dù ngành này có những đặc thù (Phạm Thị Vân Anh,  2018). Từ đó, tác giả nhấn mạnh việc hoàn thiện hệ thống PLCT về kiểm soát TTKT  trong lĩnh vực bán lẻ là một đòi hỏi khách quan của quá trình phát triển kinh tế thị trường và hội nhập. Các giải pháp mà nghiên cứu đề xuất mang tính bổ trợ cho khung  mới: tăng cường tính độc lập và năng lực của CQCT; xây dựng cơ sở dữ liệu quốc  gia về TTKT (đặc biệt theo dõi các ngành đang có nhiều M&amp;A như bán lẻ, ngân  hàng…); đẩy mạnh tuyên truyền pháp luật để doanh nghiệp hiểu rõ nghĩa vụ. Tuy  nhiên, cũng như nhiều nghiên cứu pháp lý khác, phạm vi nghiên cứu chủ yếu xoay  quanh các quy định pháp luật; chưa phân tích khía cạnh kinh tế - ví dụ cấu trúc thị trường bán lẻ, hoặc ảnh hưởng cụ thể của các thương vụ tới giá cả, lựa chọn của người  tiêu dùng. </w:t>
      </w:r>
    </w:p>
    <w:p w14:paraId="433BCDD7" w14:textId="77777777" w:rsidR="00F60F67" w:rsidRDefault="00000000">
      <w:pPr>
        <w:widowControl w:val="0"/>
        <w:pBdr>
          <w:top w:val="nil"/>
          <w:left w:val="nil"/>
          <w:bottom w:val="nil"/>
          <w:right w:val="nil"/>
          <w:between w:val="nil"/>
        </w:pBdr>
        <w:spacing w:before="154" w:line="345" w:lineRule="auto"/>
        <w:ind w:left="441" w:right="368" w:firstLine="57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Bên cạnh những nghiên cứu mang tính tổng quan, một số nghiên cứu tập trung  vào vụ việc cụ thể trong lĩnh vực bán lẻ để rút ra bài học thực tiễn. Trần Mạnh Dũng  và cộng sự (2020) đã nghiên cứu trường hợp chuỗi siêu thị Fivimart - một hệ thống  siêu thị nội địa - trải qua hai thương vụ M&amp;A liên tiếp: đầu tiên là bán cổ phần cho  nhà đầu tư Nhật Bản (AEON Vietnam), sau đó được chuyển nhượng lại cho tập đoàn  VinCommerce. Bài nghiên cứu trình bày khung lý thuyết về các loại hình TTKT (theo  chiều ngang, dọc), tổng quan về ngành bán lẻ Việt Nam, và tập trung phân tích diễn  biến thương vụ Fivimart. Qua trường hợp này, các tác giả rút ra bài học về chiến lược  M&amp;A cho doanh nghiệp bán lẻ: tầm quan trọng của việc tìm đối tác phù hợp, thẩm  định giá trị doanh nghiệp, và vấn đề hậu sáp nhập (đồng bộ hệ thống, quản trị…). Tuy  nhiên, nghiên cứu này không phân tích pháp luật kiểm soát TTKT; vai trò CQCT hầu </w:t>
      </w:r>
    </w:p>
    <w:p w14:paraId="685494AF"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18 </w:t>
      </w:r>
    </w:p>
    <w:p w14:paraId="0FD8E6C7" w14:textId="77777777" w:rsidR="00F60F67" w:rsidRDefault="00000000">
      <w:pPr>
        <w:widowControl w:val="0"/>
        <w:pBdr>
          <w:top w:val="nil"/>
          <w:left w:val="nil"/>
          <w:bottom w:val="nil"/>
          <w:right w:val="nil"/>
          <w:between w:val="nil"/>
        </w:pBdr>
        <w:spacing w:before="652" w:line="348" w:lineRule="auto"/>
        <w:ind w:left="450" w:right="368" w:hanging="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như không được đề cập. Do đó, giá trị của nghiên cứu nghiêng về khía cạnh kinh  doanh hơn là QLNN. </w:t>
      </w:r>
    </w:p>
    <w:p w14:paraId="0F1A14AC" w14:textId="77777777" w:rsidR="00F60F67" w:rsidRDefault="00000000">
      <w:pPr>
        <w:widowControl w:val="0"/>
        <w:pBdr>
          <w:top w:val="nil"/>
          <w:left w:val="nil"/>
          <w:bottom w:val="nil"/>
          <w:right w:val="nil"/>
          <w:between w:val="nil"/>
        </w:pBdr>
        <w:spacing w:before="147" w:line="345" w:lineRule="auto"/>
        <w:ind w:left="441" w:right="368"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Trên thế giới, có nhiều nghiên cứu và báo cáo chuyên sâu về TTKT trong lĩnh  vực bán lẻ - đặc biệt là bán lẻ thực phẩm và hàng tiêu dùng nhanh - do đây là ngành  ảnh hưởng trực tiếp đến người dân và dễ xảy ra hiện tượng doanh nghiệp lớn thống  lĩnh chuỗi </w:t>
      </w:r>
      <w:r>
        <w:rPr>
          <w:rFonts w:ascii="Times New Roman" w:eastAsia="Times New Roman" w:hAnsi="Times New Roman" w:cs="Times New Roman"/>
          <w:color w:val="000000"/>
          <w:sz w:val="25"/>
          <w:szCs w:val="25"/>
        </w:rPr>
        <w:lastRenderedPageBreak/>
        <w:t xml:space="preserve">cung ứng. Báo cáo của UNCTAD (2016) nhấn mạnh rằng tại nhiều nước  đang phát triển, lĩnh vực bán lẻ đang chuyển đổi từ mô hình truyền thống (chợ, cửa  hàng nhỏ lẻ) sang mô hình hiện đại với sự trỗi dậy của các chuỗi siêu thị, đại siêu thị.  Quá trình này thường dẫn đến mức độ tập trung thị trường cao: một số ít chuỗi lớn có  thể chiếm thị phần đáng kể toàn thị trường bán lẻ hiện đại. Kéo theo đó là rào cản gia  nhập lớn đối với doanh nghiệp bán lẻ mới (do chi phí đầu tư mạng lưới cửa hàng cao,  khó tiếp cận nguồn hàng với giá cạnh tranh bằng các chuỗi lớn). UNCTAD (2016)  cảnh báo một số hành vi có khả năng cản trở cạnh tranh do các nhà bán lẻ lớn thực  hiện, ví dụ như ép giá nhà cung cấp (do nắm quyền lực mua quá mạnh), độc quyền  phân phối nhãn hiệu riêng, hoặc thâu tóm đối thủ nhỏ trước khi họ lớn mạnh. Báo cáo  kêu gọi các quốc gia bổ sung quy định nhằm giám sát các hành vi này. Đặc biệt,  UNCTAD đề xuất xem xét luật chuyên ngành hoặc hướng dẫn riêng cho lĩnh vực bán  lẻ, bởi lẽ nếu chỉ dựa vào PLCT có thể chưa đủ để xử lý các vấn đề đặc thù trong  chuỗi cung ứng bán lẻ.  </w:t>
      </w:r>
    </w:p>
    <w:p w14:paraId="7697BCAF" w14:textId="77777777" w:rsidR="00F60F67" w:rsidRDefault="00000000">
      <w:pPr>
        <w:widowControl w:val="0"/>
        <w:pBdr>
          <w:top w:val="nil"/>
          <w:left w:val="nil"/>
          <w:bottom w:val="nil"/>
          <w:right w:val="nil"/>
          <w:between w:val="nil"/>
        </w:pBdr>
        <w:spacing w:before="154" w:line="345" w:lineRule="auto"/>
        <w:ind w:left="441" w:right="367" w:firstLine="56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Về ảnh hưởng của TTKT trong lĩnh vực bán lẻ đến người tiêu dùng, Hosken,  Olson &amp; Smith (2018) đã tiến hành nghiên cứu định lượng ở Hoa Kỳ để đo lường tác  động của các vụ sáp nhập chuỗi siêu thị đến giá cả bán lẻ. Nhóm tác giả sử dụng  phương pháp so sánh biến động giá theo thời gian ở các thị trường địa phương có xảy  ra sáp nhập so với các thị trường không có sáp nhập, đồng thời kiểm soát các yếu tố </w:t>
      </w:r>
    </w:p>
    <w:p w14:paraId="362E7A3D" w14:textId="77777777" w:rsidR="00F60F67" w:rsidRDefault="00000000">
      <w:pPr>
        <w:widowControl w:val="0"/>
        <w:pBdr>
          <w:top w:val="nil"/>
          <w:left w:val="nil"/>
          <w:bottom w:val="nil"/>
          <w:right w:val="nil"/>
          <w:between w:val="nil"/>
        </w:pBdr>
        <w:spacing w:before="35" w:line="345" w:lineRule="auto"/>
        <w:ind w:left="443" w:right="36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khác. Kết quả cho thấy, trong những khu vực mà mức độ tập trung ban đầu đã cao,  việc hai chuỗi lớn sáp nhập (tập trung theo chiều ngang) thường dẫn đến tăng giá bán  lẻ rõ rệt, do giảm đi một đối thủ cạnh tranh quan trọng khiến áp lực cạnh tranh yếu  đi. Ngược lại, ở các khu vực thị trường mà trước sáp nhập còn phân mảnh (nhiều  người bán, không ai chiếm thị phần quá lớn), một số vụ sáp nhập lại dẫn đến giảm  giá hoặc không có thay đổi đáng kể, có thể do hiệu quả kinh tế đạt được giúp doanh  nghiệp giảm chi phí và giá thành. Kết luận này khẳng định một nguyên lý: tác động </w:t>
      </w:r>
    </w:p>
    <w:p w14:paraId="301448F5"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19 </w:t>
      </w:r>
    </w:p>
    <w:p w14:paraId="153FADD5" w14:textId="77777777" w:rsidR="00F60F67" w:rsidRDefault="00000000">
      <w:pPr>
        <w:widowControl w:val="0"/>
        <w:pBdr>
          <w:top w:val="nil"/>
          <w:left w:val="nil"/>
          <w:bottom w:val="nil"/>
          <w:right w:val="nil"/>
          <w:between w:val="nil"/>
        </w:pBdr>
        <w:spacing w:before="652" w:line="346" w:lineRule="auto"/>
        <w:ind w:left="443" w:right="368" w:firstLine="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của TTKT đến cạnh tranh không đồng nhất, mà phụ thuộc vào bối cảnh thị trường - nếu thị trường đã tập trung cao thì thêm TTKT sẽ gây hại nhiều hơn, còn thị trường  cạnh tranh tốt thì TTKT vừa phải có thể đem lại lợi ích. Do đó, cơ quan quản lý cần  đặc biệt cảnh giác với những vụ sáp nhập trên thị trường đã tập trung, và có thể linh  hoạt hơn đối với thị trường còn cạnh tranh mạnh. </w:t>
      </w:r>
    </w:p>
    <w:p w14:paraId="46FC7B27" w14:textId="77777777" w:rsidR="00F60F67" w:rsidRDefault="00000000">
      <w:pPr>
        <w:widowControl w:val="0"/>
        <w:pBdr>
          <w:top w:val="nil"/>
          <w:left w:val="nil"/>
          <w:bottom w:val="nil"/>
          <w:right w:val="nil"/>
          <w:between w:val="nil"/>
        </w:pBdr>
        <w:spacing w:before="154" w:line="345" w:lineRule="auto"/>
        <w:ind w:left="438" w:right="367" w:firstLine="57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Một vấn đề kỹ thuật quan trọng trong kiểm soát TTKT là xác định TTLQ (sản  phẩm và địa lý) trong bán lẻ. Jasminka P. Kaufman (2013) đã nghiên cứu trường hợp  Croatia - một thị trường bán lẻ nhỏ nhưng chịu sự thống trị của một số chuỗi siêu thị lớn - để minh họa cách CQCT xác định thị trường và áp dụng các biện pháp khắc  phục. </w:t>
      </w:r>
      <w:r>
        <w:rPr>
          <w:rFonts w:ascii="Times New Roman" w:eastAsia="Times New Roman" w:hAnsi="Times New Roman" w:cs="Times New Roman"/>
          <w:color w:val="000000"/>
          <w:sz w:val="25"/>
          <w:szCs w:val="25"/>
        </w:rPr>
        <w:lastRenderedPageBreak/>
        <w:t xml:space="preserve">Theo Kaufman (2013), thị trường sản phẩm liên quan trong lĩnh vực bán lẻ thường được định nghĩa dựa trên khả năng thay thế từ phía người tiêu dùng: ví dụ,  các siêu thị tổng hợp được coi thuộc cùng một thị trường, còn cửa hàng tiện lợi nhỏ có thể là thị trường khác nếu tập khách hàng và loại hàng hóa khác biệt. Về thị trường  địa lý, cơ quan cạnh tranh Croatia (cũng như nhiều nước EU) xem xét bán kính phục  vụ của một cửa hàng bán lẻ: thường lấy khoảng cách hoặc thời gian di chuyển của  người tiêu dùng làm căn cứ vẽ ranh giới thị trường địa lý. Trong các vụ sáp nhập  chuỗi siêu thị giai đoạn 2004-2009 tại Croatia, CQCT đã phải phân tích rất chi tiết  từng thành phố, khu vực nơi hai chuỗi cùng hiện diện để đánh giá mức độ chồng lấn  cạnh tranh. Kaufman nhận xét cơ quan này thường áp dụng cả biện pháp khắc phục  cấu trúc (yêu cầu bán bớt một số cửa hàng ở khu vực quá tập trung) và biện pháp  hành vi (cam kết không tăng giá trong một thời gian, duy trì hoạt động mua hàng từ nhà cung cấp nhỏ địa phương…) để đảm bảo sau sáp nhập thị trường vẫn cạnh tranh. Nghiên cứu này cho thấy tính phức tạp trong việc kiểm soát TTKT bán lẻ: cơ quan  chức năng phải đi vào vi mô (từng địa bàn cụ thể) và đôi khi phải giám sát liên tục  sau khi cho phép sáp nhập kèm điều kiện. </w:t>
      </w:r>
    </w:p>
    <w:p w14:paraId="5F0D588A" w14:textId="77777777" w:rsidR="00F60F67" w:rsidRDefault="00000000">
      <w:pPr>
        <w:widowControl w:val="0"/>
        <w:pBdr>
          <w:top w:val="nil"/>
          <w:left w:val="nil"/>
          <w:bottom w:val="nil"/>
          <w:right w:val="nil"/>
          <w:between w:val="nil"/>
        </w:pBdr>
        <w:spacing w:before="149" w:line="345" w:lineRule="auto"/>
        <w:ind w:left="443" w:right="368"/>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Kinh nghiệm từ các quốc gia phát triển cũng rất đáng chú ý. Một nghiên cứu  trong OECD (2019) tập trung phân tích trường hợp Mexico - một thị trường có nét  tương đồng với Việt Nam khi chuyển đổi sang mô hình siêu thị. OECD lưu ý rằng để đánh giá cạnh tranh trong bán lẻ, việc xác định thị trường sản phẩm liên quan cần cân  nhắc các định dạng cửa hàng (siêu thị lớn, cửa hàng tiện lợi, chợ truyền thống) xem  chúng có cạnh tranh với nhau không, còn thị trường địa lý liên quan có thể xác định </w:t>
      </w:r>
    </w:p>
    <w:p w14:paraId="1E0A8A04"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20 </w:t>
      </w:r>
    </w:p>
    <w:p w14:paraId="155D73CD" w14:textId="77777777" w:rsidR="00F60F67" w:rsidRDefault="00000000">
      <w:pPr>
        <w:widowControl w:val="0"/>
        <w:pBdr>
          <w:top w:val="nil"/>
          <w:left w:val="nil"/>
          <w:bottom w:val="nil"/>
          <w:right w:val="nil"/>
          <w:between w:val="nil"/>
        </w:pBdr>
        <w:spacing w:before="652" w:line="346" w:lineRule="auto"/>
        <w:ind w:left="441" w:right="368" w:hanging="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bằng khoảng cách hoặc thời gian di chuyển tối đa của người tiêu dùng (ví dụ: người  mua sẵn sàng đi tối đa 5 km hoặc 15 phút để tới siêu thị, ngoài phạm vi đó coi như  thị trường khác). Một điểm thú vị OECD nêu ra: một số CQCT chấp nhận cách tiếp  cận “phân tích địa lý theo điểm” - tức là lấy từng cửa hàng trong chuỗi làm tâm, vẽ </w:t>
      </w:r>
    </w:p>
    <w:p w14:paraId="3D3049BA" w14:textId="77777777" w:rsidR="00F60F67" w:rsidRDefault="00000000">
      <w:pPr>
        <w:widowControl w:val="0"/>
        <w:pBdr>
          <w:top w:val="nil"/>
          <w:left w:val="nil"/>
          <w:bottom w:val="nil"/>
          <w:right w:val="nil"/>
          <w:between w:val="nil"/>
        </w:pBdr>
        <w:spacing w:before="28" w:line="345" w:lineRule="auto"/>
        <w:ind w:left="441" w:right="36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bán kính (hoặc vùng đi lại) xung quanh, coi đó là một “thị trường” riêng khi phân tích  sáp nhập. Cách làm này khác với phương pháp truyền thống (phân chia theo ranh giới  hành chính hoặc toàn thành phố), nhưng phản ánh thực tế cạnh tranh mang tính cục  bộ trong bán lẻ. Về đánh giá tác động cạnh tranh, OECD cho thấy các cơ quan đã bắt  đầu sử dụng các công cụ kinh tế: ví dụ, phân tích áp lực tăng giá sau sáp nhập (UPP,  GUPPI) để định lượng nguy cơ tăng giá; hoặc mô hình định lượng tác động lên phúc  lợi dựa trên dữ liệu hành vi tiêu dùng (thị phần doanh thu kết hợp với mức độ khách  hàng trung thành, độ co giãn cầu,...). Nhờ đó, quyết định chấp thuận hay cấm một vụ sáp nhập được đưa ra trên cơ sở khoa học hơn chứ không chỉ trực giác hay ngưỡng  thị phần cố định. Đây là </w:t>
      </w:r>
      <w:r>
        <w:rPr>
          <w:rFonts w:ascii="Times New Roman" w:eastAsia="Times New Roman" w:hAnsi="Times New Roman" w:cs="Times New Roman"/>
          <w:color w:val="000000"/>
          <w:sz w:val="25"/>
          <w:szCs w:val="25"/>
        </w:rPr>
        <w:lastRenderedPageBreak/>
        <w:t xml:space="preserve">kinh nghiệm mà Việt Nam có thể tham khảo khi đối mặt với  các vụ TTKT phức tạp trong lĩnh vực bán lẻ. </w:t>
      </w:r>
    </w:p>
    <w:p w14:paraId="00893EA3" w14:textId="77777777" w:rsidR="00F60F67" w:rsidRDefault="00000000">
      <w:pPr>
        <w:widowControl w:val="0"/>
        <w:pBdr>
          <w:top w:val="nil"/>
          <w:left w:val="nil"/>
          <w:bottom w:val="nil"/>
          <w:right w:val="nil"/>
          <w:between w:val="nil"/>
        </w:pBdr>
        <w:spacing w:before="154" w:line="345" w:lineRule="auto"/>
        <w:ind w:left="441" w:right="367"/>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Đối với thị trường bán lẻ châu Âu, Benoît Durand (2021) đã thực hiện nghiên  cứu so sánh cách tiếp cận của ba CQCT hàng đầu là Anh, Đức và Pháp trong đánh  giá sáp nhập chuỗi bán lẻ thực phẩm. Qua việc xem xét các vụ sáp nhập điển hình bị cấm hoặc bị rút (ví dụ: vụ Sainsbury’s mua Asda ở Anh bị CMA chặn năm 2019; vụ Edeka mua Kaiser’s Tengelmann ở Đức 2015 bị Cơ quan chống độc quyền Đức  (BkartA) phản đối; hay các vụ Carrefour thâu tóm siêu thị địa phương ở Pháp),  Durand nhận thấy một quy trình chung hai bước: (1) Sàng lọc và xác định TTLQ - các cơ quan đều bắt đầu bằng việc xác định rõ thị trường sản phẩm (thường là bán lẻ thực phẩm ở các định dạng siêu thị, cửa hàng tiện lợi tách riêng) và thị trường địa lý  (thường là từng khu vực bán kính vài km hoặc khu vực đô thị cụ thể); (2) Đánh giá  tác động cạnh tranh trong từng thị trường đó. Tuy nhiên, sự khác biệt nằm ở phương  pháp đánh giá: CMA (Anh) áp dụng cách tiếp cận rất thiên về phân tích giá - họ sử dụng công cụ kiểm tra áp lực tăng giá (UPP) và đặt ngưỡng can thiệp rất thấp (chỉ cần dự báo giá tăng nhỏ cũng lo ngại). Trong khi đó, Autorité de la Concurrence  (Pháp) và Bundeskartellamt (Đức) có xu hướng định tính nhiều hơn: họ xem xét thị phần kết hợp sau sáp nhập và chỉ số HHI, nếu vượt quá ngưỡng sẽ giả định có vấn đề</w:t>
      </w:r>
    </w:p>
    <w:p w14:paraId="2C34B36E"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21 </w:t>
      </w:r>
    </w:p>
    <w:p w14:paraId="7CD44FFC" w14:textId="77777777" w:rsidR="00F60F67" w:rsidRDefault="00000000">
      <w:pPr>
        <w:widowControl w:val="0"/>
        <w:pBdr>
          <w:top w:val="nil"/>
          <w:left w:val="nil"/>
          <w:bottom w:val="nil"/>
          <w:right w:val="nil"/>
          <w:between w:val="nil"/>
        </w:pBdr>
        <w:spacing w:before="652" w:line="346" w:lineRule="auto"/>
        <w:ind w:left="441" w:right="366" w:firstLine="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cạnh tranh, còn nếu dưới ngưỡng thì thường chấp thuận. Ví dụ, Cơ quan cạnh tranh  Pháp từng không lo ngại một vụ sáp nhập dù sau đó doanh nghiệp chiếm 50% thị phần ở địa phương - điều mà CMA không bao giờ chấp nhận - do cách tính thị phần  và đánh giá thị trường khác nhau. Qua nghiên cứu này, Durand đề xuất rằng không  có một công thức chung, nhưng tính minh bạch và nhất quán trong tiêu chí đánh giá  là quan trọng: doanh nghiệp cần biết rõ ngưỡng hay tiêu chí nào có thể khiến thương  vụ bị chặn. </w:t>
      </w:r>
    </w:p>
    <w:p w14:paraId="780D77C2" w14:textId="77777777" w:rsidR="00F60F67" w:rsidRDefault="00000000">
      <w:pPr>
        <w:widowControl w:val="0"/>
        <w:pBdr>
          <w:top w:val="nil"/>
          <w:left w:val="nil"/>
          <w:bottom w:val="nil"/>
          <w:right w:val="nil"/>
          <w:between w:val="nil"/>
        </w:pBdr>
        <w:spacing w:before="149" w:line="345" w:lineRule="auto"/>
        <w:ind w:left="443" w:right="367" w:firstLine="57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Cũng trong bối cảnh Anh quốc, Andrew Taylor &amp; Nick Warren (2021) - hai  chuyên gia từng làm việc tại Cơ quan cạnh tranh Anh - đã phân tích chi tiết cách  CMA xác định thị trường bán lẻ địa phương. Theo Taylor &amp; Warren (2021), kinh  nghiệm từ các cuộc điều tra thị trường và vụ việc sáp nhập của CMA cho thấy rằng  đối với siêu thị, mỗi cửa hàng có một "vùng ảnh hưởng" nhất định. CMA thường sử dụng dữ liệu như mã bưu điện khách hàng, khảo sát hành vi mua sắm, để vẽ ra vùng  mà 80-90% khách của siêu thị đến từ đó. Vùng này được gọi là vùng thị trường địa  lý của siêu thị. Khi hai chuỗi định sáp nhập, CMA sẽ kiểm tra xem trong cùng một  vùng thị trường địa lý, hai bên có cửa hàng nào cạnh tranh trực tiếp không. Nếu có,  CMA sẽ xem xét mức độ cạnh tranh hiện tại và hậu sáp nhập (liệu khách hàng còn  lựa chọn thay thế khác gần đó không). Nếu hai chuỗi </w:t>
      </w:r>
      <w:r>
        <w:rPr>
          <w:rFonts w:ascii="Times New Roman" w:eastAsia="Times New Roman" w:hAnsi="Times New Roman" w:cs="Times New Roman"/>
          <w:color w:val="000000"/>
          <w:sz w:val="25"/>
          <w:szCs w:val="25"/>
        </w:rPr>
        <w:lastRenderedPageBreak/>
        <w:t xml:space="preserve">hầu như không có cửa hàng  cạnh tranh trong cùng khu vực, CMA có thể cho qua. Cách làm này cho thấy tầm  quan trọng của việc xác định đúng thị trường địa lý: nếu làm quá rộng (ví dụ coi cả thành phố là một thị trường) có thể bỏ sót chi tiết quan trọng; ngược lại, nếu làm quá  hẹp không xem tác động tổng thể. Taylor &amp; Warren đề xuất một số công cụ CMA đã  dùng như phân tích trung tâm - ngoại vi (xác định cửa hàng trung tâm, sau đó phân  tích đối thủ trong vùng ngoại vi xung quanh) và chỉ số tổng hợp để đo mức độ tập  trung bán lẻ tại một địa phương. Những kinh nghiệm này cung cấp bài học về tính  khoa học trong đánh giá TTKT bán lẻ. </w:t>
      </w:r>
    </w:p>
    <w:p w14:paraId="37B843CA" w14:textId="77777777" w:rsidR="00F60F67" w:rsidRDefault="00000000">
      <w:pPr>
        <w:widowControl w:val="0"/>
        <w:pBdr>
          <w:top w:val="nil"/>
          <w:left w:val="nil"/>
          <w:bottom w:val="nil"/>
          <w:right w:val="nil"/>
          <w:between w:val="nil"/>
        </w:pBdr>
        <w:spacing w:before="154" w:line="345" w:lineRule="auto"/>
        <w:ind w:left="446" w:right="367" w:firstLine="57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nghiên cứu gần đây còn mở rộng góc nhìn tới những thay đổi nhanh chóng  của môi trường bán lẻ hiện đại. Dimitropoulos và cộng sự (2022) đề cập rằng thói  quen tiêu dùng đang dịch chuyển sang kênh mua sắm trực tuyến, dẫn tới việc xác  định TTLQ không thể chỉ tách biệt kênh truyền thống và trực tuyến (online). CQCT </w:t>
      </w:r>
    </w:p>
    <w:p w14:paraId="330D6F08" w14:textId="77777777" w:rsidR="00F60F67" w:rsidRDefault="00000000">
      <w:pPr>
        <w:widowControl w:val="0"/>
        <w:pBdr>
          <w:top w:val="nil"/>
          <w:left w:val="nil"/>
          <w:bottom w:val="nil"/>
          <w:right w:val="nil"/>
          <w:between w:val="nil"/>
        </w:pBdr>
        <w:spacing w:before="29"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tiên tiến như FTC của Mỹ đã xem xét khả năng thay thế giữa mua hàng online và mua </w:t>
      </w:r>
    </w:p>
    <w:p w14:paraId="256946CC"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22 </w:t>
      </w:r>
    </w:p>
    <w:p w14:paraId="52CDBF20" w14:textId="77777777" w:rsidR="00F60F67" w:rsidRDefault="00000000">
      <w:pPr>
        <w:widowControl w:val="0"/>
        <w:pBdr>
          <w:top w:val="nil"/>
          <w:left w:val="nil"/>
          <w:bottom w:val="nil"/>
          <w:right w:val="nil"/>
          <w:between w:val="nil"/>
        </w:pBdr>
        <w:spacing w:before="652" w:line="346" w:lineRule="auto"/>
        <w:ind w:left="441" w:right="368" w:firstLine="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tại cửa hàng khi đánh giá sáp nhập bán lẻ. Hơn nữa, Dimitropoulos và cộng sự đề xuất sử dụng các công cụ định lượng như chỉ số GUPPI (Gross Upward Pricing  Pressure Index) và tỷ lệ chuyển đổi khách hàng giữa các kênh để dự báo hiệu ứng giá  sau sáp nhập trong bối cảnh bán lẻ đa kênh. Tương tự, nghiên cứu trong CPI Antitrust  Chronicle của Durand và cộng sự (2021) đã tổng hợp kinh nghiệm của nhiều nước  (Anh, Bồ Đào Nha, New Zealand) về kiểm soát TTKT trong lĩnh vực bán lẻ thực  phẩm. Một điểm chung là các nước này đều phải tính đến đặc điểm địa lý - nhân khẩu  (mật độ dân cư, giao thông) và cấu trúc hệ thống siêu thị hiện có tại địa phương khi  đánh giá tác động sáp nhập.  </w:t>
      </w:r>
    </w:p>
    <w:p w14:paraId="3A29FF40" w14:textId="77777777" w:rsidR="00F60F67" w:rsidRDefault="00000000">
      <w:pPr>
        <w:widowControl w:val="0"/>
        <w:pBdr>
          <w:top w:val="nil"/>
          <w:left w:val="nil"/>
          <w:bottom w:val="nil"/>
          <w:right w:val="nil"/>
          <w:between w:val="nil"/>
        </w:pBdr>
        <w:spacing w:before="149" w:line="346" w:lineRule="auto"/>
        <w:ind w:left="443" w:right="367" w:firstLine="57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Tổng hợp lại, các nghiên cứu về TTKT trong lĩnh vực bán lẻ cả ở trong nước  lẫn quốc tế đã cung cấp một lượng lớn kiến thức và kinh nghiệm. Từ góc độ trong  nước, chúng ta thấy được hiện trạng thị trường bán lẻ Việt Nam đang trong quá trình  tập trung hóa, các vấn đề pháp lý và thực tiễn quản lý đi kèm, cũng như những nỗ lực  cải cách gần đây. Từ góc độ quốc tế, những bài học quý như tầm quan trọng của xác  định thị trường địa phương, việc sử dụng công cụ định lượng, và chú ý đến hiệu ứng  của TTKT lên chuỗi cung ứng đều rất hữu ích để Việt Nam tham khảo. Tuy nhiên,  vẫn còn đó những khoảng trống nhất định mà phần tiếp theo sẽ phân tích, tạo tiền đề cho hướng nghiên cứu của Luận án. </w:t>
      </w:r>
    </w:p>
    <w:p w14:paraId="7831FECE" w14:textId="77777777" w:rsidR="00F60F67" w:rsidRDefault="00000000">
      <w:pPr>
        <w:widowControl w:val="0"/>
        <w:pBdr>
          <w:top w:val="nil"/>
          <w:left w:val="nil"/>
          <w:bottom w:val="nil"/>
          <w:right w:val="nil"/>
          <w:between w:val="nil"/>
        </w:pBdr>
        <w:spacing w:before="149" w:line="240" w:lineRule="auto"/>
        <w:ind w:left="458"/>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1.2. Khoảng trống nghiên cứu  </w:t>
      </w:r>
    </w:p>
    <w:p w14:paraId="31092CC2" w14:textId="77777777" w:rsidR="00F60F67" w:rsidRDefault="00000000">
      <w:pPr>
        <w:widowControl w:val="0"/>
        <w:pBdr>
          <w:top w:val="nil"/>
          <w:left w:val="nil"/>
          <w:bottom w:val="nil"/>
          <w:right w:val="nil"/>
          <w:between w:val="nil"/>
        </w:pBdr>
        <w:spacing w:before="268" w:line="344" w:lineRule="auto"/>
        <w:ind w:left="443" w:right="368" w:firstLine="57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Từ việc hệ thống hóa các công trình nghiên cứu nói trên, có thể rút ra một số nhận xét khái quát và xác định những khoảng trống nghiên cứu trong lĩnh vực QLNN  về </w:t>
      </w:r>
      <w:r>
        <w:rPr>
          <w:rFonts w:ascii="Times New Roman" w:eastAsia="Times New Roman" w:hAnsi="Times New Roman" w:cs="Times New Roman"/>
          <w:color w:val="000000"/>
          <w:sz w:val="25"/>
          <w:szCs w:val="25"/>
        </w:rPr>
        <w:lastRenderedPageBreak/>
        <w:t xml:space="preserve">TTKT (đặc biệt trong bán lẻ) cần tiếp tục được nghiên cứu. </w:t>
      </w:r>
    </w:p>
    <w:p w14:paraId="4806D522" w14:textId="77777777" w:rsidR="00F60F67" w:rsidRDefault="00000000">
      <w:pPr>
        <w:widowControl w:val="0"/>
        <w:pBdr>
          <w:top w:val="nil"/>
          <w:left w:val="nil"/>
          <w:bottom w:val="nil"/>
          <w:right w:val="nil"/>
          <w:between w:val="nil"/>
        </w:pBdr>
        <w:spacing w:before="156" w:line="346" w:lineRule="auto"/>
        <w:ind w:left="443" w:right="368" w:firstLine="583"/>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Thứ nhất, về cơ sở lý luận: </w:t>
      </w:r>
      <w:r>
        <w:rPr>
          <w:rFonts w:ascii="Times New Roman" w:eastAsia="Times New Roman" w:hAnsi="Times New Roman" w:cs="Times New Roman"/>
          <w:color w:val="000000"/>
          <w:sz w:val="25"/>
          <w:szCs w:val="25"/>
        </w:rPr>
        <w:t xml:space="preserve">Các nghiên cứu trước đây đã đề cập nhiều khía cạnh  nền tảng của TTKT và quản lý cạnh tranh, như mô hình SCP, lý thuyết tổ chức công  nghiệp, quan điểm về vai trò Nhà nước trong kiểm soát độc quyền. Tuy nhiên, chưa  có công trình nào xây dựng một hệ thống lý luận toàn diện đối với công tác QLNN  về TTKT trong lĩnh vực bán lẻ. </w:t>
      </w:r>
    </w:p>
    <w:p w14:paraId="492B5E34" w14:textId="77777777" w:rsidR="00F60F67" w:rsidRDefault="00000000">
      <w:pPr>
        <w:widowControl w:val="0"/>
        <w:pBdr>
          <w:top w:val="nil"/>
          <w:left w:val="nil"/>
          <w:bottom w:val="nil"/>
          <w:right w:val="nil"/>
          <w:between w:val="nil"/>
        </w:pBdr>
        <w:spacing w:before="149" w:line="346" w:lineRule="auto"/>
        <w:ind w:left="444" w:right="367" w:firstLine="582"/>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Thứ hai, về nghiên cứu thực nghiệm và dữ liệu: </w:t>
      </w:r>
      <w:r>
        <w:rPr>
          <w:rFonts w:ascii="Times New Roman" w:eastAsia="Times New Roman" w:hAnsi="Times New Roman" w:cs="Times New Roman"/>
          <w:color w:val="000000"/>
          <w:sz w:val="25"/>
          <w:szCs w:val="25"/>
        </w:rPr>
        <w:t>tại Việt Nam, chưa có công  trình nào nghiên cứu toàn diện về cấu trúc thị trường bán lẻ tại Việt Nam, tình hình  TTKT trong lĩnh vực bán lẻ và QLNN về TTKT trong lĩnh vực bán lẻ tại Việt Nam.</w:t>
      </w:r>
    </w:p>
    <w:p w14:paraId="1FC9DD77"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23 </w:t>
      </w:r>
    </w:p>
    <w:p w14:paraId="1E41D947" w14:textId="77777777" w:rsidR="00F60F67" w:rsidRDefault="00000000">
      <w:pPr>
        <w:widowControl w:val="0"/>
        <w:pBdr>
          <w:top w:val="nil"/>
          <w:left w:val="nil"/>
          <w:bottom w:val="nil"/>
          <w:right w:val="nil"/>
          <w:between w:val="nil"/>
        </w:pBdr>
        <w:spacing w:before="652" w:line="346" w:lineRule="auto"/>
        <w:ind w:left="438" w:right="368" w:firstLine="588"/>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Thứ ba, về so sánh và học hỏi kinh nghiệm quốc tế: </w:t>
      </w:r>
      <w:r>
        <w:rPr>
          <w:rFonts w:ascii="Times New Roman" w:eastAsia="Times New Roman" w:hAnsi="Times New Roman" w:cs="Times New Roman"/>
          <w:color w:val="000000"/>
          <w:sz w:val="25"/>
          <w:szCs w:val="25"/>
        </w:rPr>
        <w:t xml:space="preserve">Mặc dù một số nghiên cứu  đã trích dẫn kinh nghiệm nước ngoài, nhưng cách tiếp cận còn thiếu hệ thống. Chưa  có nghiên cứu nào nghiên cứu về QLNN về TTKT trong lĩnh vực bán lẻ giữa Việt  Nam và các nước tiêu biểu. Do điều kiện mỗi nước khác nhau, việc học hỏi kinh  nghiệm đòi hỏi phải phân tích sâu bối cảnh và kết quả thực thi PLCT ở các nước khác  nhau trên thế giới, sau đó liên hệ với Việt Nam.  </w:t>
      </w:r>
    </w:p>
    <w:p w14:paraId="5F39315D" w14:textId="77777777" w:rsidR="00F60F67" w:rsidRDefault="00000000">
      <w:pPr>
        <w:widowControl w:val="0"/>
        <w:pBdr>
          <w:top w:val="nil"/>
          <w:left w:val="nil"/>
          <w:bottom w:val="nil"/>
          <w:right w:val="nil"/>
          <w:between w:val="nil"/>
        </w:pBdr>
        <w:spacing w:before="148" w:line="345" w:lineRule="auto"/>
        <w:ind w:left="438" w:right="367" w:firstLine="56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Những khoảng trống nêu trên chính là định hướng cho nghiên cứu của Luận án.  Nhận diện được chúng giúp Luận án có cơ sở khoa học để tập trung giải quyết các  vấn đề còn bỏ ngỏ, tránh lặp lại những gì đã được nghiên cứu kỹ, đồng thời đóng góp  mới về mặt học thuật và thực tiễn. </w:t>
      </w:r>
    </w:p>
    <w:p w14:paraId="30279BF2" w14:textId="77777777" w:rsidR="00F60F67" w:rsidRDefault="00000000">
      <w:pPr>
        <w:widowControl w:val="0"/>
        <w:pBdr>
          <w:top w:val="nil"/>
          <w:left w:val="nil"/>
          <w:bottom w:val="nil"/>
          <w:right w:val="nil"/>
          <w:between w:val="nil"/>
        </w:pBdr>
        <w:spacing w:before="154" w:line="436" w:lineRule="auto"/>
        <w:ind w:left="447" w:right="1510" w:firstLine="11"/>
        <w:rPr>
          <w:rFonts w:ascii="Times New Roman" w:eastAsia="Times New Roman" w:hAnsi="Times New Roman" w:cs="Times New Roman"/>
          <w:b/>
          <w:bCs/>
          <w:i/>
          <w:iCs/>
          <w:color w:val="000000"/>
          <w:sz w:val="25"/>
          <w:szCs w:val="25"/>
        </w:rPr>
      </w:pPr>
      <w:r>
        <w:rPr>
          <w:rFonts w:ascii="Times New Roman" w:eastAsia="Times New Roman" w:hAnsi="Times New Roman" w:cs="Times New Roman"/>
          <w:b/>
          <w:bCs/>
          <w:color w:val="000000"/>
          <w:sz w:val="25"/>
          <w:szCs w:val="25"/>
        </w:rPr>
        <w:t xml:space="preserve">1.3. Những giá trị Luận án kế thừa và hướng nghiên cứu của Luận án </w:t>
      </w:r>
      <w:r>
        <w:rPr>
          <w:rFonts w:ascii="Times New Roman" w:eastAsia="Times New Roman" w:hAnsi="Times New Roman" w:cs="Times New Roman"/>
          <w:b/>
          <w:bCs/>
          <w:i/>
          <w:iCs/>
          <w:color w:val="000000"/>
          <w:sz w:val="25"/>
          <w:szCs w:val="25"/>
        </w:rPr>
        <w:t xml:space="preserve">1.3.1. Những giá trị Luận án kế thừa  </w:t>
      </w:r>
    </w:p>
    <w:p w14:paraId="7A96609D" w14:textId="77777777" w:rsidR="00F60F67" w:rsidRDefault="00000000">
      <w:pPr>
        <w:widowControl w:val="0"/>
        <w:pBdr>
          <w:top w:val="nil"/>
          <w:left w:val="nil"/>
          <w:bottom w:val="nil"/>
          <w:right w:val="nil"/>
          <w:between w:val="nil"/>
        </w:pBdr>
        <w:spacing w:before="56" w:line="344" w:lineRule="auto"/>
        <w:ind w:left="454" w:right="368" w:firstLine="56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Từ tổng quan các công trình trong và ngoài nước, Luận án có thể kế thừa một  số kết quả nghiên cứu quan trọng sau: </w:t>
      </w:r>
    </w:p>
    <w:p w14:paraId="76054EBC" w14:textId="77777777" w:rsidR="00F60F67" w:rsidRDefault="00000000">
      <w:pPr>
        <w:widowControl w:val="0"/>
        <w:pBdr>
          <w:top w:val="nil"/>
          <w:left w:val="nil"/>
          <w:bottom w:val="nil"/>
          <w:right w:val="nil"/>
          <w:between w:val="nil"/>
        </w:pBdr>
        <w:spacing w:before="151" w:line="346" w:lineRule="auto"/>
        <w:ind w:left="444" w:right="368" w:firstLine="582"/>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Thứ nhất</w:t>
      </w:r>
      <w:r>
        <w:rPr>
          <w:rFonts w:ascii="Times New Roman" w:eastAsia="Times New Roman" w:hAnsi="Times New Roman" w:cs="Times New Roman"/>
          <w:color w:val="000000"/>
          <w:sz w:val="25"/>
          <w:szCs w:val="25"/>
        </w:rPr>
        <w:t xml:space="preserve">, về cơ sở lý luận, các công trình trước đã đề cập đến những vấn đề nền  tảng của TTKT và QLNN về TTKT, bao gồm: khái niệm, bản chất, mục tiêu và vai  trò của QLNN. Đây là những tiền đề khoa học quan trọng để Luận án tiếp tục phát  triển hệ thống lý luận đặc thù cho lĩnh vực bán lẻ. </w:t>
      </w:r>
    </w:p>
    <w:p w14:paraId="44AA6B1F" w14:textId="77777777" w:rsidR="00F60F67" w:rsidRDefault="00000000">
      <w:pPr>
        <w:widowControl w:val="0"/>
        <w:pBdr>
          <w:top w:val="nil"/>
          <w:left w:val="nil"/>
          <w:bottom w:val="nil"/>
          <w:right w:val="nil"/>
          <w:between w:val="nil"/>
        </w:pBdr>
        <w:spacing w:before="148" w:line="345" w:lineRule="auto"/>
        <w:ind w:left="443" w:right="368" w:firstLine="583"/>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Thứ hai</w:t>
      </w:r>
      <w:r>
        <w:rPr>
          <w:rFonts w:ascii="Times New Roman" w:eastAsia="Times New Roman" w:hAnsi="Times New Roman" w:cs="Times New Roman"/>
          <w:color w:val="000000"/>
          <w:sz w:val="25"/>
          <w:szCs w:val="25"/>
        </w:rPr>
        <w:t xml:space="preserve">, về cơ sở pháp lý, các nghiên cứu trong nước và quốc tế đã phân tích  khung pháp lý về kiểm soát TTKT, từ đó chỉ ra ưu điểm và hạn chế của từng hệ thống.  Luận án có thể kế thừa các kết quả này để đối chiếu, so sánh, đồng thời xác định cơ  sở pháp luật phù hợp với Việt Nam. </w:t>
      </w:r>
    </w:p>
    <w:p w14:paraId="58DC6298" w14:textId="77777777" w:rsidR="00F60F67" w:rsidRDefault="00000000">
      <w:pPr>
        <w:widowControl w:val="0"/>
        <w:pBdr>
          <w:top w:val="nil"/>
          <w:left w:val="nil"/>
          <w:bottom w:val="nil"/>
          <w:right w:val="nil"/>
          <w:between w:val="nil"/>
        </w:pBdr>
        <w:spacing w:before="154" w:line="345" w:lineRule="auto"/>
        <w:ind w:left="443" w:right="368" w:firstLine="583"/>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lastRenderedPageBreak/>
        <w:t>Thứ ba</w:t>
      </w:r>
      <w:r>
        <w:rPr>
          <w:rFonts w:ascii="Times New Roman" w:eastAsia="Times New Roman" w:hAnsi="Times New Roman" w:cs="Times New Roman"/>
          <w:color w:val="000000"/>
          <w:sz w:val="25"/>
          <w:szCs w:val="25"/>
        </w:rPr>
        <w:t xml:space="preserve">, về kinh nghiệm thực tiễn, một số nghiên cứu và báo cáo thực tiễn (ví  dụ báo cáo của Cục QLCT, UNCTAD, OECD, CMA) đã cung cấp dữ liệu và bài học  kinh nghiệm trong xử lý TTKT. Luận án có thể kế thừa các số liệu và bài học này để minh họa và làm rõ thực trạng QLNN về TTKT trong lĩnh vực bán lẻ. </w:t>
      </w:r>
    </w:p>
    <w:p w14:paraId="19BF555C" w14:textId="77777777" w:rsidR="00F60F67" w:rsidRDefault="00000000">
      <w:pPr>
        <w:widowControl w:val="0"/>
        <w:pBdr>
          <w:top w:val="nil"/>
          <w:left w:val="nil"/>
          <w:bottom w:val="nil"/>
          <w:right w:val="nil"/>
          <w:between w:val="nil"/>
        </w:pBdr>
        <w:spacing w:before="154" w:line="344" w:lineRule="auto"/>
        <w:ind w:left="441" w:right="368" w:firstLine="585"/>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Thứ tư</w:t>
      </w:r>
      <w:r>
        <w:rPr>
          <w:rFonts w:ascii="Times New Roman" w:eastAsia="Times New Roman" w:hAnsi="Times New Roman" w:cs="Times New Roman"/>
          <w:color w:val="000000"/>
          <w:sz w:val="25"/>
          <w:szCs w:val="25"/>
        </w:rPr>
        <w:t xml:space="preserve">, về phương pháp nghiên cứu, các công trình đã vận dụng đa dạng phương  pháp, từ phân tích pháp lý, tổng hợp lý luận, đến so sánh quốc tế. Đây là nguồn tham </w:t>
      </w:r>
    </w:p>
    <w:p w14:paraId="5C3A72BA"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24 </w:t>
      </w:r>
    </w:p>
    <w:p w14:paraId="49502E46" w14:textId="77777777" w:rsidR="00F60F67" w:rsidRDefault="00000000">
      <w:pPr>
        <w:widowControl w:val="0"/>
        <w:pBdr>
          <w:top w:val="nil"/>
          <w:left w:val="nil"/>
          <w:bottom w:val="nil"/>
          <w:right w:val="nil"/>
          <w:between w:val="nil"/>
        </w:pBdr>
        <w:spacing w:before="652" w:line="348" w:lineRule="auto"/>
        <w:ind w:left="444" w:right="36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khảo quan trọng để Luận án lựa chọn và kết hợp các phương pháp phù hợp, đảm bảo  tính toàn diện trong nghiên cứu. </w:t>
      </w:r>
    </w:p>
    <w:p w14:paraId="240C1211" w14:textId="77777777" w:rsidR="00F60F67" w:rsidRDefault="00000000">
      <w:pPr>
        <w:widowControl w:val="0"/>
        <w:pBdr>
          <w:top w:val="nil"/>
          <w:left w:val="nil"/>
          <w:bottom w:val="nil"/>
          <w:right w:val="nil"/>
          <w:between w:val="nil"/>
        </w:pBdr>
        <w:spacing w:before="147" w:line="346" w:lineRule="auto"/>
        <w:ind w:left="446" w:right="368" w:firstLine="56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Đó là kết quả nghiên cứu quan trọng mà Luận án sẽ kế thừa để làm cơ sở tiền  đề cho việc phân tích chuyên sâu những vấn đề lý luận và thực tiễn về QLNN về TTKT trong lĩnh vực bán lẻ của Việt Nam.  </w:t>
      </w:r>
    </w:p>
    <w:p w14:paraId="7E1DD975" w14:textId="77777777" w:rsidR="00F60F67" w:rsidRDefault="00000000">
      <w:pPr>
        <w:widowControl w:val="0"/>
        <w:pBdr>
          <w:top w:val="nil"/>
          <w:left w:val="nil"/>
          <w:bottom w:val="nil"/>
          <w:right w:val="nil"/>
          <w:between w:val="nil"/>
        </w:pBdr>
        <w:spacing w:before="154" w:line="240" w:lineRule="auto"/>
        <w:ind w:left="447"/>
        <w:rPr>
          <w:rFonts w:ascii="Times New Roman" w:eastAsia="Times New Roman" w:hAnsi="Times New Roman" w:cs="Times New Roman"/>
          <w:b/>
          <w:bCs/>
          <w:i/>
          <w:iCs/>
          <w:color w:val="000000"/>
          <w:sz w:val="25"/>
          <w:szCs w:val="25"/>
        </w:rPr>
      </w:pPr>
      <w:r>
        <w:rPr>
          <w:rFonts w:ascii="Times New Roman" w:eastAsia="Times New Roman" w:hAnsi="Times New Roman" w:cs="Times New Roman"/>
          <w:b/>
          <w:bCs/>
          <w:i/>
          <w:iCs/>
          <w:color w:val="000000"/>
          <w:sz w:val="25"/>
          <w:szCs w:val="25"/>
        </w:rPr>
        <w:t xml:space="preserve">1.3.2. Hướng nghiên cứu của Luận án </w:t>
      </w:r>
    </w:p>
    <w:p w14:paraId="5A2C620D" w14:textId="77777777" w:rsidR="00F60F67" w:rsidRDefault="00000000">
      <w:pPr>
        <w:widowControl w:val="0"/>
        <w:pBdr>
          <w:top w:val="nil"/>
          <w:left w:val="nil"/>
          <w:bottom w:val="nil"/>
          <w:right w:val="nil"/>
          <w:between w:val="nil"/>
        </w:pBdr>
        <w:spacing w:before="263" w:line="346" w:lineRule="auto"/>
        <w:ind w:left="441" w:right="368"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Trên cơ sở tổng quan tình hình nghiên cứu và những khoảng trống đã xác định,  Luận án xác định một số hướng nghiên cứu trọng tâm nhằm giải quyết các vấn đề còn  bỏ ngỏ, đồng thời đáp ứng mục tiêu, phạm vi nghiên cứu đã đề ra trong phần mở đầu. </w:t>
      </w:r>
    </w:p>
    <w:p w14:paraId="73BA72FF" w14:textId="77777777" w:rsidR="00F60F67" w:rsidRDefault="00000000">
      <w:pPr>
        <w:widowControl w:val="0"/>
        <w:pBdr>
          <w:top w:val="nil"/>
          <w:left w:val="nil"/>
          <w:bottom w:val="nil"/>
          <w:right w:val="nil"/>
          <w:between w:val="nil"/>
        </w:pBdr>
        <w:spacing w:before="149" w:line="345" w:lineRule="auto"/>
        <w:ind w:left="441" w:right="367" w:firstLine="599"/>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Về mặt lý luận</w:t>
      </w:r>
      <w:r>
        <w:rPr>
          <w:rFonts w:ascii="Times New Roman" w:eastAsia="Times New Roman" w:hAnsi="Times New Roman" w:cs="Times New Roman"/>
          <w:color w:val="000000"/>
          <w:sz w:val="25"/>
          <w:szCs w:val="25"/>
        </w:rPr>
        <w:t xml:space="preserve">, Luận án xây dựng một cơ sở khoa học toàn diện cho QLNN đối  với TTKT trong lĩnh vực bán lẻ. Trước hết, Luận án hệ thống hóa và phân tích khái  niệm, đặc điểm, thước đo và tác động của TTKT, qua đó làm rõ mối quan hệ giữa  TTKT, cấu trúc thị trường và mức độ cạnh tranh trong lĩnh vực bán lẻ. Tiếp đó, Luận  án nghiên cứu các khái niệm, mục tiêu, nguyên tắc, nội dung và phương pháp QLNN  đối với TTKT trong bán lẻ; xác định vai trò, chức năng và công cụ của Nhà nước  trong việc kiểm soát TTKT, đảm bảo cạnh tranh lành mạnh và bảo vệ phúc lợi người  tiêu dùng. Về cơ sở lý thuyết, Luận án vận dụng và phát triển các mô hình kinh điển  như Cấu trúc – Hành vi – Kết quả (SCP), Lý thuyết độc quyền, Lý thuyết cạnh tranh  hoàn hảo và Tiêu chuẩn phúc lợi người tiêu dùng để lý giải nền tảng kinh tế – pháp  lý của QLNN về TTKT. Đồng thời, nghiên cứu tổng hợp kinh nghiệm quốc tế về QLNN đối với TTKT trong lĩnh vực bán lẻ tại các quốc gia có hệ thống pháp luật  cạnh tranh phát triển như Hoa Kỳ, Liên minh châu Âu, Nhật Bản, Trung Quốc, từ đó  đánh giá các xu hướng mới trong quy định và thực thi, như cơ chế đánh giá tác động,  ngưỡng thông báo, và mô hình phối hợp giữa các cơ quan cạnh tranh. Thông qua việc  phân tích các vụ việc điển hình và rút ra bài học kinh nghiệm, Luận án góp phần bổ sung và hoàn thiện cơ sở lý luận cho việc xây dựng, thực thi và nâng cao hiệu quả </w:t>
      </w:r>
    </w:p>
    <w:p w14:paraId="52DA9E84" w14:textId="77777777" w:rsidR="00F60F67" w:rsidRDefault="00000000">
      <w:pPr>
        <w:widowControl w:val="0"/>
        <w:pBdr>
          <w:top w:val="nil"/>
          <w:left w:val="nil"/>
          <w:bottom w:val="nil"/>
          <w:right w:val="nil"/>
          <w:between w:val="nil"/>
        </w:pBdr>
        <w:spacing w:before="34" w:line="240" w:lineRule="auto"/>
        <w:ind w:left="45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QLNN về TTKT trong lĩnh vực bán lẻ tại Việt Nam..  </w:t>
      </w:r>
    </w:p>
    <w:p w14:paraId="28000DCA" w14:textId="77777777" w:rsidR="00F60F67" w:rsidRDefault="00000000">
      <w:pPr>
        <w:widowControl w:val="0"/>
        <w:pBdr>
          <w:top w:val="nil"/>
          <w:left w:val="nil"/>
          <w:bottom w:val="nil"/>
          <w:right w:val="nil"/>
          <w:between w:val="nil"/>
        </w:pBdr>
        <w:spacing w:before="263" w:line="346" w:lineRule="auto"/>
        <w:ind w:left="447" w:right="368" w:firstLine="593"/>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lastRenderedPageBreak/>
        <w:t>Về mặt thực tiễn</w:t>
      </w:r>
      <w:r>
        <w:rPr>
          <w:rFonts w:ascii="Times New Roman" w:eastAsia="Times New Roman" w:hAnsi="Times New Roman" w:cs="Times New Roman"/>
          <w:color w:val="000000"/>
          <w:sz w:val="25"/>
          <w:szCs w:val="25"/>
        </w:rPr>
        <w:t xml:space="preserve">, Luận án tiến hành phân tích toàn diện thực trạng hoạt động  TTKT và công tác QLNN về TTKT trong lĩnh vực bán lẻ tại Việt Nam giai đoạn  2007–2024. Trước hết, trên cơ sở mô hình SCP, Luận án phân tích cấu trúc thị trường </w:t>
      </w:r>
    </w:p>
    <w:p w14:paraId="251DBE13"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25 </w:t>
      </w:r>
    </w:p>
    <w:p w14:paraId="0111A185" w14:textId="77777777" w:rsidR="00F60F67" w:rsidRDefault="00000000">
      <w:pPr>
        <w:widowControl w:val="0"/>
        <w:pBdr>
          <w:top w:val="nil"/>
          <w:left w:val="nil"/>
          <w:bottom w:val="nil"/>
          <w:right w:val="nil"/>
          <w:between w:val="nil"/>
        </w:pBdr>
        <w:spacing w:before="652" w:line="346" w:lineRule="auto"/>
        <w:ind w:left="443" w:right="367" w:hanging="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bán lẻ Việt Nam theo từng phân ngành chuyên doanh để đánh giá mức độ tập trung  thông qua các chỉ số CR, HHI và sự biến động của thị phần giữa các nhóm doanh  nghiệp lớn trong và ngoài nước. Luận án cũng khảo sát hành vi doanh nghiệp và xu  hướng TTKT trong lĩnh vực bán lẻ, chỉ ra đặc điểm nổi bật là sự gia tăng nhanh các  thương vụ sáp nhập, mua lại của các tập đoàn nước ngoài như Central Group, Thế </w:t>
      </w:r>
    </w:p>
    <w:p w14:paraId="1C6E0ACA" w14:textId="77777777" w:rsidR="00F60F67" w:rsidRDefault="00000000">
      <w:pPr>
        <w:widowControl w:val="0"/>
        <w:pBdr>
          <w:top w:val="nil"/>
          <w:left w:val="nil"/>
          <w:bottom w:val="nil"/>
          <w:right w:val="nil"/>
          <w:between w:val="nil"/>
        </w:pBdr>
        <w:spacing w:before="34" w:line="345" w:lineRule="auto"/>
        <w:ind w:left="441" w:right="368" w:firstLine="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giới di động, VinCommerce, Phúc Long…, qua đó phản ánh xu hướng tập trung ngày  càng cao và sự dịch chuyển cán cân cạnh tranh trên thị trường. Tiếp đó, Luận án đánh  giá thực trạng QLNN về TTKT trong lĩnh vực bán lẻ, bao gồm khung pháp lý hiện  hành (Luật Cạnh tranh 2018, Nghị định 35/2020, cùng các văn bản hướng dẫn) và  quá trình tổ chức thực thi của UBCTQG. Luận án cũng làm rõ các hạn chế của QLNN  về TTKT. Trên cơ sở đó, Luận án đưa ra cơ sở thực tiễn quan trọng để đề xuất các  quan điểm, định hướng và giải pháp hoàn thiện công tác QLNN về TTKT trong lĩnh  vực bán lẻ tại Việt Nam, hướng tới bảo đảm môi trường cạnh tranh công bằng, minh  bạch và phù hợp với thông lệ quốc tế. </w:t>
      </w:r>
    </w:p>
    <w:p w14:paraId="44A0A5F3" w14:textId="77777777" w:rsidR="00F60F67" w:rsidRDefault="00000000">
      <w:pPr>
        <w:widowControl w:val="0"/>
        <w:pBdr>
          <w:top w:val="nil"/>
          <w:left w:val="nil"/>
          <w:bottom w:val="nil"/>
          <w:right w:val="nil"/>
          <w:between w:val="nil"/>
        </w:pBdr>
        <w:spacing w:before="720"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KẾT LUẬN CHƯƠNG 1 </w:t>
      </w:r>
    </w:p>
    <w:p w14:paraId="620B33F4" w14:textId="77777777" w:rsidR="00F60F67" w:rsidRDefault="00000000">
      <w:pPr>
        <w:widowControl w:val="0"/>
        <w:pBdr>
          <w:top w:val="nil"/>
          <w:left w:val="nil"/>
          <w:bottom w:val="nil"/>
          <w:right w:val="nil"/>
          <w:between w:val="nil"/>
        </w:pBdr>
        <w:spacing w:before="417" w:line="346" w:lineRule="auto"/>
        <w:ind w:left="441" w:right="367"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Trên cơ sở hệ thống hóa tình hình nghiên cứu, Chương 1 đã tổng hợp các công  trình tiêu biểu theo ba hướng chính: (i) phương pháp luận và chuẩn mực thẩm định  TTKT; (ii) PLCT và khung pháp lý kiểm soát TTKT; và (iii) QLNN về TTKT, đặc  biệt trong lĩnh vực bán lẻ. Cách phân loại này vừa phản ánh sự phát triển của PLCT </w:t>
      </w:r>
    </w:p>
    <w:p w14:paraId="62D50389" w14:textId="77777777" w:rsidR="00F60F67" w:rsidRDefault="00000000">
      <w:pPr>
        <w:widowControl w:val="0"/>
        <w:pBdr>
          <w:top w:val="nil"/>
          <w:left w:val="nil"/>
          <w:bottom w:val="nil"/>
          <w:right w:val="nil"/>
          <w:between w:val="nil"/>
        </w:pBdr>
        <w:spacing w:before="28" w:line="345" w:lineRule="auto"/>
        <w:ind w:left="443" w:right="368" w:firstLine="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của Việt Nam, vừa cho thấy định hướng nghiên cứu chủ đạo trong và ngoài nước.  Trên cơ sở đó, tác giả đã chỉ ra ba khoảng trống cần tiếp tục giải quyết: khoảng trống  về cơ sở lý luận; khoảng trống về thực tiễn và khoảng trống về so sánh kinh nghiệm  quốc tế. </w:t>
      </w:r>
    </w:p>
    <w:p w14:paraId="20F58E31"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26 </w:t>
      </w:r>
    </w:p>
    <w:p w14:paraId="075CA51A" w14:textId="77777777" w:rsidR="00F60F67" w:rsidRDefault="00000000">
      <w:pPr>
        <w:widowControl w:val="0"/>
        <w:pBdr>
          <w:top w:val="nil"/>
          <w:left w:val="nil"/>
          <w:bottom w:val="nil"/>
          <w:right w:val="nil"/>
          <w:between w:val="nil"/>
        </w:pBdr>
        <w:spacing w:before="652" w:line="240" w:lineRule="auto"/>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CHƯƠNG 2.  </w:t>
      </w:r>
    </w:p>
    <w:p w14:paraId="08368BDF" w14:textId="77777777" w:rsidR="00F60F67" w:rsidRDefault="00000000">
      <w:pPr>
        <w:widowControl w:val="0"/>
        <w:pBdr>
          <w:top w:val="nil"/>
          <w:left w:val="nil"/>
          <w:bottom w:val="nil"/>
          <w:right w:val="nil"/>
          <w:between w:val="nil"/>
        </w:pBdr>
        <w:spacing w:before="148" w:line="344" w:lineRule="auto"/>
        <w:ind w:left="650" w:right="643"/>
        <w:jc w:val="center"/>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CƠ SỞ LÝ LUẬN VỀ QUẢN LÝ NHÀ NƯỚC VỀ TẬP TRUNG KINH TẾ TRONG LĨNH VỰC BÁN LẺ </w:t>
      </w:r>
    </w:p>
    <w:p w14:paraId="2FA0B10C" w14:textId="77777777" w:rsidR="00F60F67" w:rsidRDefault="00000000">
      <w:pPr>
        <w:widowControl w:val="0"/>
        <w:pBdr>
          <w:top w:val="nil"/>
          <w:left w:val="nil"/>
          <w:bottom w:val="nil"/>
          <w:right w:val="nil"/>
          <w:between w:val="nil"/>
        </w:pBdr>
        <w:spacing w:before="309" w:line="240" w:lineRule="auto"/>
        <w:ind w:left="447"/>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2.1. Tổng quan về tập trung kinh tế </w:t>
      </w:r>
    </w:p>
    <w:p w14:paraId="42B4D454" w14:textId="77777777" w:rsidR="00F60F67" w:rsidRDefault="00000000">
      <w:pPr>
        <w:widowControl w:val="0"/>
        <w:pBdr>
          <w:top w:val="nil"/>
          <w:left w:val="nil"/>
          <w:bottom w:val="nil"/>
          <w:right w:val="nil"/>
          <w:between w:val="nil"/>
        </w:pBdr>
        <w:spacing w:before="263" w:line="240" w:lineRule="auto"/>
        <w:ind w:left="442"/>
        <w:rPr>
          <w:rFonts w:ascii="Times New Roman" w:eastAsia="Times New Roman" w:hAnsi="Times New Roman" w:cs="Times New Roman"/>
          <w:b/>
          <w:bCs/>
          <w:i/>
          <w:iCs/>
          <w:color w:val="000000"/>
          <w:sz w:val="25"/>
          <w:szCs w:val="25"/>
        </w:rPr>
      </w:pPr>
      <w:r>
        <w:rPr>
          <w:rFonts w:ascii="Times New Roman" w:eastAsia="Times New Roman" w:hAnsi="Times New Roman" w:cs="Times New Roman"/>
          <w:b/>
          <w:bCs/>
          <w:i/>
          <w:iCs/>
          <w:color w:val="000000"/>
          <w:sz w:val="25"/>
          <w:szCs w:val="25"/>
        </w:rPr>
        <w:lastRenderedPageBreak/>
        <w:t xml:space="preserve">2.1.1. Khái niệm về tập trung kinh tế </w:t>
      </w:r>
    </w:p>
    <w:p w14:paraId="2E42727C" w14:textId="77777777" w:rsidR="00F60F67" w:rsidRDefault="00000000">
      <w:pPr>
        <w:widowControl w:val="0"/>
        <w:pBdr>
          <w:top w:val="nil"/>
          <w:left w:val="nil"/>
          <w:bottom w:val="nil"/>
          <w:right w:val="nil"/>
          <w:between w:val="nil"/>
        </w:pBdr>
        <w:spacing w:before="268" w:line="345" w:lineRule="auto"/>
        <w:ind w:left="443" w:right="368" w:firstLine="72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Trong kinh tế học chính trị cổ điển, khái niệm “</w:t>
      </w:r>
      <w:r>
        <w:rPr>
          <w:rFonts w:ascii="Times New Roman" w:eastAsia="Times New Roman" w:hAnsi="Times New Roman" w:cs="Times New Roman"/>
          <w:i/>
          <w:iCs/>
          <w:color w:val="000000"/>
          <w:sz w:val="25"/>
          <w:szCs w:val="25"/>
        </w:rPr>
        <w:t>tập trung kinh tế</w:t>
      </w:r>
      <w:r>
        <w:rPr>
          <w:rFonts w:ascii="Times New Roman" w:eastAsia="Times New Roman" w:hAnsi="Times New Roman" w:cs="Times New Roman"/>
          <w:color w:val="000000"/>
          <w:sz w:val="25"/>
          <w:szCs w:val="25"/>
        </w:rPr>
        <w:t xml:space="preserve">” chưa được  định nghĩa trực tiếp, nhưng hiện tượng tập trung và tích tụ tư bản đã được Karl Marx  (1867) phân tích như một xu hướng tất yếu của chủ nghĩa tư bản, khi nhiều tư bản  nhỏ dần bị hợp nhất thành những khối lớn hơn, làm suy giảm số lượng chủ thể độc  lập trên thị trường. Đây có thể coi là nền tảng lý luận ban đầu để nhận diện bản chất  của TTKT. </w:t>
      </w:r>
    </w:p>
    <w:p w14:paraId="462EBBF7" w14:textId="77777777" w:rsidR="00F60F67" w:rsidRDefault="00000000">
      <w:pPr>
        <w:widowControl w:val="0"/>
        <w:pBdr>
          <w:top w:val="nil"/>
          <w:left w:val="nil"/>
          <w:bottom w:val="nil"/>
          <w:right w:val="nil"/>
          <w:between w:val="nil"/>
        </w:pBdr>
        <w:spacing w:before="29" w:line="346" w:lineRule="auto"/>
        <w:ind w:left="443" w:right="368"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Bước sang thế kỷ XX, cùng với sự phát triển của kinh tế học công nghiệp, khái  niệm TTKT được tiếp cận rõ ràng hơn từ góc độ cấu trúc thị trường. Bain (1956) cho  rằng mức độ tập trung doanh nghiệp có mối liên hệ mật thiết với rào cản gia nhập:  khi một số ít doanh nghiệp chiếm giữ phần lớn thị phần, họ có thể duy trì lợi nhuận  siêu ngạch bằng cách HCCT. Stigler (1964) nhấn mạnh TTKT gắn với thị trường độc  quyền nhóm, nơi quyền lực thị trường tập trung vào một số doanh nghiệp lớn có khả năng phối hợp để kiểm soát giá cả và sản lượng. Scherer và Ross (1990) phân tích  hiện tượng này như hệ quả của hành vi doanh nghiệp, khi các công ty sử dụng hình  thức sáp nhập, mua lại hoặc liên doanh để mở rộng quy mô, kiểm soát chuỗi giá trị </w:t>
      </w:r>
    </w:p>
    <w:p w14:paraId="09EDC00F" w14:textId="77777777" w:rsidR="00F60F67" w:rsidRDefault="00000000">
      <w:pPr>
        <w:widowControl w:val="0"/>
        <w:pBdr>
          <w:top w:val="nil"/>
          <w:left w:val="nil"/>
          <w:bottom w:val="nil"/>
          <w:right w:val="nil"/>
          <w:between w:val="nil"/>
        </w:pBdr>
        <w:spacing w:before="29" w:line="346" w:lineRule="auto"/>
        <w:ind w:left="450" w:right="368" w:hanging="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và ngăn cản đối thủ tiềm năng. Các nghiên cứu gần đây đi theo hướng đo lường, ví  dụ Cortés và cộng sự (2021) phân biệt TTKT theo ngành và TTKT toàn nền kinh tế,  còn Ahern (2024) phát triển chỉ số tổng hợp nhằm phản ánh số lượng doanh nghiệp  cùng mức độ bất bình đẳng trong phân bổ thị phần (i.e, xem xét việc thị phần được  chia đều hay dồn vào tay một số doanh nghiệp lớn). </w:t>
      </w:r>
    </w:p>
    <w:p w14:paraId="00EDC450" w14:textId="77777777" w:rsidR="00F60F67" w:rsidRDefault="00000000">
      <w:pPr>
        <w:widowControl w:val="0"/>
        <w:pBdr>
          <w:top w:val="nil"/>
          <w:left w:val="nil"/>
          <w:bottom w:val="nil"/>
          <w:right w:val="nil"/>
          <w:between w:val="nil"/>
        </w:pBdr>
        <w:spacing w:before="29" w:line="346" w:lineRule="auto"/>
        <w:ind w:left="443" w:right="368"/>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Từ góc độ khoa học pháp lý, TTKT được coi là một hành vi kinh doanh có khả năng ảnh hưởng trực tiếp đến cấu trúc thị trường và mức độ cạnh tranh, do đó hầu hết  các hệ thống PLCT trên thế giới đều thiết lập cơ chế kiểm soát hiện tượng này. </w:t>
      </w:r>
    </w:p>
    <w:p w14:paraId="3C90E1C4" w14:textId="77777777" w:rsidR="00F60F67" w:rsidRDefault="00000000">
      <w:pPr>
        <w:widowControl w:val="0"/>
        <w:pBdr>
          <w:top w:val="nil"/>
          <w:left w:val="nil"/>
          <w:bottom w:val="nil"/>
          <w:right w:val="nil"/>
          <w:between w:val="nil"/>
        </w:pBdr>
        <w:spacing w:before="34" w:line="344" w:lineRule="auto"/>
        <w:ind w:left="449" w:right="368" w:firstLine="71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Trước hết, theo Luật mẫu về cạnh tranh của Hội nghị Liên Hợp Quốc về Thương mại và Phát triển (UNCTAD), các thuật ngữ “sáp nhập” và “mua lại” được </w:t>
      </w:r>
    </w:p>
    <w:p w14:paraId="1D31F898"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27 </w:t>
      </w:r>
    </w:p>
    <w:p w14:paraId="211A9CBD" w14:textId="77777777" w:rsidR="00F60F67" w:rsidRDefault="00000000">
      <w:pPr>
        <w:widowControl w:val="0"/>
        <w:pBdr>
          <w:top w:val="nil"/>
          <w:left w:val="nil"/>
          <w:bottom w:val="nil"/>
          <w:right w:val="nil"/>
          <w:between w:val="nil"/>
        </w:pBdr>
        <w:spacing w:before="652" w:line="345" w:lineRule="auto"/>
        <w:ind w:left="441" w:right="368" w:firstLine="1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sử dụng để chỉ các giao dịch hợp pháp giữa hai hay nhiều doanh nghiệp, theo đó  quyền sở hữu đối với tài sản, cổ phần hoặc phần vốn góp, vốn trước đây thuộc sự kiểm soát riêng biệt được hợp nhất lại. Các hình thức này bao gồm thâu tóm, thành  lập liên doanh và những hành vi giành quyền kiểm soát khác, cụ thể là việc một cá  nhân cùng lúc nắm giữ vị trí quản lý trong nhiều doanh nghiệp (UNCTAD, 2010). Tại Mỹ, PLCT tiếp cận TTKT dưới dạng kiểm soát hành vi sáp nhập (merger control).  Đạo luật Chống độc quyền Clayton năm 1914, cụ thể là Điều 7, nghiêm cấm các giao  dịch mua lại cổ phần hoặc tài sản nếu những giao dịch này có thể làm suy giảm đáng  kể mức độ cạnh tranh hoặc dẫn đến nguy cơ hình thành độc quyền (Posner, 2001).  Điểm đáng chú ý là pháp luật Mỹ </w:t>
      </w:r>
      <w:r>
        <w:rPr>
          <w:rFonts w:ascii="Times New Roman" w:eastAsia="Times New Roman" w:hAnsi="Times New Roman" w:cs="Times New Roman"/>
          <w:color w:val="000000"/>
          <w:sz w:val="25"/>
          <w:szCs w:val="25"/>
        </w:rPr>
        <w:lastRenderedPageBreak/>
        <w:t xml:space="preserve">không đưa ra định nghĩa khái quát về TTKT, mà  điều chỉnh trực tiếp các hành vi cụ thể, đồng thời đánh giá tác động cạnh tranh của  các giao dịch để xác định khả năng gây HCCT. Trong Liên minh châu Âu, Quy chế số 139/2004 của Ủy ban châu Âu quy định rõ TTKT là các giao dịch như sáp nhập,  hợp nhất hoặc mua lại, thông qua đó một hay nhiều doanh nghiệp có thể giành quyền  kiểm soát toàn bộ hoặc một phần đối với doanh nghiệp khác, từ đó làm thay đổi cấu  trúc kiểm soát thị trường (European Commission, 2004). Quy chế này coi quyền kiểm  soát là dấu hiệu pháp lý cốt lõi để nhận diện TTKT, đồng thời thiết lập ngưỡng thông  báo và thủ tục thẩm định nhằm bảo đảm rằng những giao dịch có quy mô lớn phải  chịu sự giám sát của Cơ quan cạnh tranh EU. Pháp luật Cộng hòa Pháp có cách tiếp  cận tương đồng như luật chung của EU. Điều L430-1 Bộ luật Thương mại quy định  TTKT có thể diễn ra trong hai trường hợp: (i) hai hoặc nhiều doanh nghiệp độc lập  tiến hành sáp nhập hoặc hợp nhất; hoặc (ii) một hay nhiều doanh nghiệp, hoặc các  chủ thể đang nắm quyền kiểm soát, thực hiện việc giành quyền kiểm soát trực tiếp  hoặc gián tiếp đối với toàn bộ hay một phần doanh nghiệp khác. Hình thức giành  quyền kiểm soát có thể thông qua góp vốn, mua lại tài sản, ký kết hợp đồng hoặc các  biện pháp pháp lý khác (Code de Commerce, 2020). </w:t>
      </w:r>
    </w:p>
    <w:p w14:paraId="14FBB702" w14:textId="77777777" w:rsidR="00F60F67" w:rsidRDefault="00000000">
      <w:pPr>
        <w:widowControl w:val="0"/>
        <w:pBdr>
          <w:top w:val="nil"/>
          <w:left w:val="nil"/>
          <w:bottom w:val="nil"/>
          <w:right w:val="nil"/>
          <w:between w:val="nil"/>
        </w:pBdr>
        <w:spacing w:before="34" w:line="345" w:lineRule="auto"/>
        <w:ind w:left="443" w:right="367"/>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Tại Việt Nam, TTKT lần đầu tiên được quy định trong Luật Cạnh tranh 2004 và được kế thừa trong Luật Cạnh tranh 2018. Tuy nhiên, khác với Mỹ và EU, pháp  luật Việt Nam không đưa ra một định nghĩa khái quát về TTKT, mà chỉ liệt kê các  hình thức bao gồm: sáp nhập, hợp nhất, mua lại, liên doanh giữa các doanh nghiệp,  và các hình thức khác theo quy định pháp luật (Cục CT&amp;BVNTD, 2018). Cách tiếp </w:t>
      </w:r>
    </w:p>
    <w:p w14:paraId="17A891FC"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28 </w:t>
      </w:r>
    </w:p>
    <w:p w14:paraId="38F52440" w14:textId="77777777" w:rsidR="00F60F67" w:rsidRDefault="00000000">
      <w:pPr>
        <w:widowControl w:val="0"/>
        <w:pBdr>
          <w:top w:val="nil"/>
          <w:left w:val="nil"/>
          <w:bottom w:val="nil"/>
          <w:right w:val="nil"/>
          <w:between w:val="nil"/>
        </w:pBdr>
        <w:spacing w:before="652" w:line="346" w:lineRule="auto"/>
        <w:ind w:left="444" w:right="368" w:firstLine="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cận này mang tính chất định danh hơn là định nghĩa, tức chỉ dừng ở việc nhận diện  các hành vi cụ thể mà chưa xác lập rõ bản chất pháp lý của TTKT. Ngoài ra, pháp  luật Việt Nam hiện chưa quy định về kiểm soát hình thức liên kết thông qua đội ngũ  quản lý chung vốn là một trong những cơ chế có khả năng tạo ra tác động HCCT trên  thị trường. </w:t>
      </w:r>
    </w:p>
    <w:p w14:paraId="2F7C6B77" w14:textId="77777777" w:rsidR="00F60F67" w:rsidRDefault="00000000">
      <w:pPr>
        <w:widowControl w:val="0"/>
        <w:pBdr>
          <w:top w:val="nil"/>
          <w:left w:val="nil"/>
          <w:bottom w:val="nil"/>
          <w:right w:val="nil"/>
          <w:between w:val="nil"/>
        </w:pBdr>
        <w:spacing w:before="34" w:line="345" w:lineRule="auto"/>
        <w:ind w:left="443" w:right="368" w:firstLine="726"/>
        <w:jc w:val="both"/>
        <w:rPr>
          <w:rFonts w:ascii="Times New Roman" w:eastAsia="Times New Roman" w:hAnsi="Times New Roman" w:cs="Times New Roman"/>
          <w:i/>
          <w:iCs/>
          <w:color w:val="000000"/>
          <w:sz w:val="25"/>
          <w:szCs w:val="25"/>
        </w:rPr>
      </w:pPr>
      <w:r>
        <w:rPr>
          <w:rFonts w:ascii="Times New Roman" w:eastAsia="Times New Roman" w:hAnsi="Times New Roman" w:cs="Times New Roman"/>
          <w:color w:val="000000"/>
          <w:sz w:val="25"/>
          <w:szCs w:val="25"/>
        </w:rPr>
        <w:t>Từ các phân tích trên, có thể nhận định rằng TTKT chủ yếu được tiếp cận từ góc độ chuyển giao quyền kiểm soát hoặc quyền điều hành doanh nghiệp, phát  sinh trên cơ sở quyền sở hữu tài sản, cổ phần hoặc phần vốn góp trong doanh  nghiệp. Theo đó, có thể hiểu “</w:t>
      </w:r>
      <w:r>
        <w:rPr>
          <w:rFonts w:ascii="Times New Roman" w:eastAsia="Times New Roman" w:hAnsi="Times New Roman" w:cs="Times New Roman"/>
          <w:i/>
          <w:iCs/>
          <w:color w:val="000000"/>
          <w:sz w:val="25"/>
          <w:szCs w:val="25"/>
        </w:rPr>
        <w:t xml:space="preserve">TTKT là tập trung quyền lực thị trường và việc tập  trung này được thực hiện dưới các hình thức khác nhau nhưng đều có chung dấu  hiệu là có khả năng giúp doanh nghiệp duy trì giá cả trên mức giá cạnh tranh  hoặc giảm chất lượng hoặc sản lượng xuống dưới mức cạnh tranh mà vẫn thu  được lợi nhuận”. </w:t>
      </w:r>
    </w:p>
    <w:p w14:paraId="53338142" w14:textId="77777777" w:rsidR="00F60F67" w:rsidRDefault="00000000">
      <w:pPr>
        <w:widowControl w:val="0"/>
        <w:pBdr>
          <w:top w:val="nil"/>
          <w:left w:val="nil"/>
          <w:bottom w:val="nil"/>
          <w:right w:val="nil"/>
          <w:between w:val="nil"/>
        </w:pBdr>
        <w:spacing w:before="149" w:line="240" w:lineRule="auto"/>
        <w:ind w:left="442"/>
        <w:rPr>
          <w:rFonts w:ascii="Times New Roman" w:eastAsia="Times New Roman" w:hAnsi="Times New Roman" w:cs="Times New Roman"/>
          <w:b/>
          <w:bCs/>
          <w:i/>
          <w:iCs/>
          <w:color w:val="000000"/>
          <w:sz w:val="25"/>
          <w:szCs w:val="25"/>
        </w:rPr>
      </w:pPr>
      <w:r>
        <w:rPr>
          <w:rFonts w:ascii="Times New Roman" w:eastAsia="Times New Roman" w:hAnsi="Times New Roman" w:cs="Times New Roman"/>
          <w:b/>
          <w:bCs/>
          <w:i/>
          <w:iCs/>
          <w:color w:val="000000"/>
          <w:sz w:val="25"/>
          <w:szCs w:val="25"/>
        </w:rPr>
        <w:t xml:space="preserve">2.1.2. Đặc điểm của tập trung kinh tế </w:t>
      </w:r>
    </w:p>
    <w:p w14:paraId="79F29053" w14:textId="77777777" w:rsidR="00F60F67" w:rsidRDefault="00000000">
      <w:pPr>
        <w:widowControl w:val="0"/>
        <w:pBdr>
          <w:top w:val="nil"/>
          <w:left w:val="nil"/>
          <w:bottom w:val="nil"/>
          <w:right w:val="nil"/>
          <w:between w:val="nil"/>
        </w:pBdr>
        <w:spacing w:before="263" w:line="346" w:lineRule="auto"/>
        <w:ind w:left="443" w:right="368" w:firstLine="72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Dù được nhìn nhận từ nhiều góc độ và diễn tả bằng những thuật ngữ pháp lý  khác </w:t>
      </w:r>
      <w:r>
        <w:rPr>
          <w:rFonts w:ascii="Times New Roman" w:eastAsia="Times New Roman" w:hAnsi="Times New Roman" w:cs="Times New Roman"/>
          <w:color w:val="000000"/>
          <w:sz w:val="25"/>
          <w:szCs w:val="25"/>
        </w:rPr>
        <w:lastRenderedPageBreak/>
        <w:t xml:space="preserve">nhau, song các nhà khoa học đều thống nhất với nhau về bản chất, đặc điểm của  TTKT với những nội dung như sau: </w:t>
      </w:r>
    </w:p>
    <w:p w14:paraId="6997A7B3" w14:textId="77777777" w:rsidR="00F60F67" w:rsidRDefault="00000000">
      <w:pPr>
        <w:widowControl w:val="0"/>
        <w:pBdr>
          <w:top w:val="nil"/>
          <w:left w:val="nil"/>
          <w:bottom w:val="nil"/>
          <w:right w:val="nil"/>
          <w:between w:val="nil"/>
        </w:pBdr>
        <w:spacing w:before="34" w:line="345" w:lineRule="auto"/>
        <w:ind w:left="443" w:right="368" w:firstLine="736"/>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Thứ nhất, </w:t>
      </w:r>
      <w:r>
        <w:rPr>
          <w:rFonts w:ascii="Times New Roman" w:eastAsia="Times New Roman" w:hAnsi="Times New Roman" w:cs="Times New Roman"/>
          <w:color w:val="000000"/>
          <w:sz w:val="25"/>
          <w:szCs w:val="25"/>
        </w:rPr>
        <w:t xml:space="preserve">TTKT chỉ có thể được hình thành khi có ít nhất hai doanh nghiệp  độc lập cùng tham gia. Đây là đặc trưng phân biệt TTKT với sự tích tụ tư bản (capital  accumulation) vốn diễn ra trong nội bộ một doanh nghiệp thông qua việc tái đầu tư  giá trị thặng dư để mở rộng quy mô sản xuất (Marx, 1990). Trong lĩnh vực bán lẻ,  chủ thể thực hiện TTKT có thể hoạt động trong cùng một TTLQ hoặc ở các thị trường  khác nhau, nhưng đều nhằm mục tiêu chung là mở rộng sức ảnh hưởng, chiếm lĩnh  thị phần và gia tăng quyền kiểm soát (Lê Viết Thái, 2005). Điều này cho thấy TTKT  mang tính “ngoại sinh” vì nó phát sinh từ sự kết hợp giữa các chủ thể độc lập, khác  với quá trình “nội sinh” của tích tụ tư bản. </w:t>
      </w:r>
    </w:p>
    <w:p w14:paraId="7A097F6D" w14:textId="77777777" w:rsidR="00F60F67" w:rsidRDefault="00000000">
      <w:pPr>
        <w:widowControl w:val="0"/>
        <w:pBdr>
          <w:top w:val="nil"/>
          <w:left w:val="nil"/>
          <w:bottom w:val="nil"/>
          <w:right w:val="nil"/>
          <w:between w:val="nil"/>
        </w:pBdr>
        <w:spacing w:before="34" w:line="344" w:lineRule="auto"/>
        <w:ind w:left="449" w:right="368" w:firstLine="730"/>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Thứ hai, </w:t>
      </w:r>
      <w:r>
        <w:rPr>
          <w:rFonts w:ascii="Times New Roman" w:eastAsia="Times New Roman" w:hAnsi="Times New Roman" w:cs="Times New Roman"/>
          <w:color w:val="000000"/>
          <w:sz w:val="25"/>
          <w:szCs w:val="25"/>
        </w:rPr>
        <w:t xml:space="preserve">TTKT diễn ra thông qua các hình thức như sáp nhập, hợp nhất, mua  lại hoặc liên doanh. Trong đó:  </w:t>
      </w:r>
    </w:p>
    <w:p w14:paraId="596A6D09" w14:textId="77777777" w:rsidR="00F60F67" w:rsidRDefault="00000000">
      <w:pPr>
        <w:widowControl w:val="0"/>
        <w:pBdr>
          <w:top w:val="nil"/>
          <w:left w:val="nil"/>
          <w:bottom w:val="nil"/>
          <w:right w:val="nil"/>
          <w:between w:val="nil"/>
        </w:pBdr>
        <w:spacing w:before="31" w:line="348" w:lineRule="auto"/>
        <w:ind w:left="441" w:right="368" w:firstLine="737"/>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(i) Sáp nhập doanh nghiệp </w:t>
      </w:r>
      <w:r>
        <w:rPr>
          <w:rFonts w:ascii="Times New Roman" w:eastAsia="Times New Roman" w:hAnsi="Times New Roman" w:cs="Times New Roman"/>
          <w:color w:val="000000"/>
          <w:sz w:val="25"/>
          <w:szCs w:val="25"/>
        </w:rPr>
        <w:t xml:space="preserve">là việc một hoặc một số doanh nghiệp chuyển toàn  bộ tài sản, quyền, nghĩa vụ và lợi ích hợp pháp của mình sang một doanh nghiệp khác, </w:t>
      </w:r>
    </w:p>
    <w:p w14:paraId="62E5D699"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29 </w:t>
      </w:r>
    </w:p>
    <w:p w14:paraId="26668DBD" w14:textId="77777777" w:rsidR="00F60F67" w:rsidRDefault="00000000">
      <w:pPr>
        <w:widowControl w:val="0"/>
        <w:pBdr>
          <w:top w:val="nil"/>
          <w:left w:val="nil"/>
          <w:bottom w:val="nil"/>
          <w:right w:val="nil"/>
          <w:between w:val="nil"/>
        </w:pBdr>
        <w:spacing w:before="652" w:line="348" w:lineRule="auto"/>
        <w:ind w:left="443" w:right="368" w:firstLine="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đồng thời chấm dứt hoạt động kinh doanh hoặc sự tồn tại của doanh nghiệp bị sáp  nhập. </w:t>
      </w:r>
    </w:p>
    <w:p w14:paraId="4758638D" w14:textId="77777777" w:rsidR="00F60F67" w:rsidRDefault="00000000">
      <w:pPr>
        <w:widowControl w:val="0"/>
        <w:pBdr>
          <w:top w:val="nil"/>
          <w:left w:val="nil"/>
          <w:bottom w:val="nil"/>
          <w:right w:val="nil"/>
          <w:between w:val="nil"/>
        </w:pBdr>
        <w:spacing w:before="27" w:line="346" w:lineRule="auto"/>
        <w:ind w:left="441" w:right="367" w:firstLine="737"/>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(ii) Hợp nhất doanh nghiệp </w:t>
      </w:r>
      <w:r>
        <w:rPr>
          <w:rFonts w:ascii="Times New Roman" w:eastAsia="Times New Roman" w:hAnsi="Times New Roman" w:cs="Times New Roman"/>
          <w:color w:val="000000"/>
          <w:sz w:val="25"/>
          <w:szCs w:val="25"/>
        </w:rPr>
        <w:t xml:space="preserve">là việc hai hoặc nhiều doanh nghiệp chuyển toàn  bộ tài sản, quyền, nghĩa vụ và lợi ích hợp pháp của mình để hình thành một doanh  nghiệp mới, đồng thời chấm dứt hoạt động kinh doanh hoặc sự tồn tại của các doanh  nghiệp bị hợp nhất. </w:t>
      </w:r>
    </w:p>
    <w:p w14:paraId="24EFF489" w14:textId="77777777" w:rsidR="00F60F67" w:rsidRDefault="00000000">
      <w:pPr>
        <w:widowControl w:val="0"/>
        <w:pBdr>
          <w:top w:val="nil"/>
          <w:left w:val="nil"/>
          <w:bottom w:val="nil"/>
          <w:right w:val="nil"/>
          <w:between w:val="nil"/>
        </w:pBdr>
        <w:spacing w:before="28" w:line="346" w:lineRule="auto"/>
        <w:ind w:left="443" w:right="368" w:firstLine="735"/>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(iii) Mua lại doanh nghiệp </w:t>
      </w:r>
      <w:r>
        <w:rPr>
          <w:rFonts w:ascii="Times New Roman" w:eastAsia="Times New Roman" w:hAnsi="Times New Roman" w:cs="Times New Roman"/>
          <w:color w:val="000000"/>
          <w:sz w:val="25"/>
          <w:szCs w:val="25"/>
        </w:rPr>
        <w:t xml:space="preserve">là việc một doanh nghiệp trực tiếp hoặc gián tiếp  mua toàn bộ hoặc một phần vốn góp, tài sản của doanh nghiệp khác đủ để kiểm soát,  chi phối doanh nghiệp hoặc một ngành, nghề của doanh nghiệp bị mua lại. </w:t>
      </w:r>
    </w:p>
    <w:p w14:paraId="2484FD38" w14:textId="77777777" w:rsidR="00F60F67" w:rsidRDefault="00000000">
      <w:pPr>
        <w:widowControl w:val="0"/>
        <w:pBdr>
          <w:top w:val="nil"/>
          <w:left w:val="nil"/>
          <w:bottom w:val="nil"/>
          <w:right w:val="nil"/>
          <w:between w:val="nil"/>
        </w:pBdr>
        <w:spacing w:before="29" w:line="346" w:lineRule="auto"/>
        <w:ind w:left="443" w:right="368" w:firstLine="736"/>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(iv)Liên doanh giữa các doanh nghiệp </w:t>
      </w:r>
      <w:r>
        <w:rPr>
          <w:rFonts w:ascii="Times New Roman" w:eastAsia="Times New Roman" w:hAnsi="Times New Roman" w:cs="Times New Roman"/>
          <w:color w:val="000000"/>
          <w:sz w:val="25"/>
          <w:szCs w:val="25"/>
        </w:rPr>
        <w:t xml:space="preserve">là việc hai hoặc nhiều doanh nghiệp  cùng nhau góp một phần tài sản, quyền, nghĩa vụ và lợi ích hợp pháp của mình để hình thành một doanh nghiệp mới.  </w:t>
      </w:r>
    </w:p>
    <w:p w14:paraId="1CF311D5" w14:textId="77777777" w:rsidR="00F60F67" w:rsidRDefault="00000000">
      <w:pPr>
        <w:widowControl w:val="0"/>
        <w:pBdr>
          <w:top w:val="nil"/>
          <w:left w:val="nil"/>
          <w:bottom w:val="nil"/>
          <w:right w:val="nil"/>
          <w:between w:val="nil"/>
        </w:pBdr>
        <w:spacing w:before="34" w:line="345" w:lineRule="auto"/>
        <w:ind w:left="443" w:right="368" w:firstLine="72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hình thức TTKT được doanh nghiệp sử dụng như một công cụ chiến lược  nhằm rút ngắn quá trình tích lũy tư bản. Thay vì cần thời gian dài để mở rộng hoạt  động nội tại, doanh nghiệp có thể nhanh chóng tăng quy mô, nguồn lực và thị phần  thông qua các vụ việc TTKT (Scherer &amp; Ross, 1990). Trong lĩnh vực bán lẻ, hình  thức phổ biến nhất của TTKT là M&amp;A.  </w:t>
      </w:r>
    </w:p>
    <w:p w14:paraId="33FFCC9B" w14:textId="77777777" w:rsidR="00F60F67" w:rsidRDefault="00000000">
      <w:pPr>
        <w:widowControl w:val="0"/>
        <w:pBdr>
          <w:top w:val="nil"/>
          <w:left w:val="nil"/>
          <w:bottom w:val="nil"/>
          <w:right w:val="nil"/>
          <w:between w:val="nil"/>
        </w:pBdr>
        <w:spacing w:before="35" w:line="345" w:lineRule="auto"/>
        <w:ind w:left="443" w:right="367" w:firstLine="801"/>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Thứ ba, </w:t>
      </w:r>
      <w:r>
        <w:rPr>
          <w:rFonts w:ascii="Times New Roman" w:eastAsia="Times New Roman" w:hAnsi="Times New Roman" w:cs="Times New Roman"/>
          <w:color w:val="000000"/>
          <w:sz w:val="25"/>
          <w:szCs w:val="25"/>
        </w:rPr>
        <w:t xml:space="preserve">về tác động kinh tế - thương mại, TTKT tạo ra những doanh nghiệp  hoặc nhóm doanh nghiệp có sức mạnh thị trường đáng kể, từ đó làm thay đổi cấu trúc  cạnh </w:t>
      </w:r>
      <w:r>
        <w:rPr>
          <w:rFonts w:ascii="Times New Roman" w:eastAsia="Times New Roman" w:hAnsi="Times New Roman" w:cs="Times New Roman"/>
          <w:color w:val="000000"/>
          <w:sz w:val="25"/>
          <w:szCs w:val="25"/>
        </w:rPr>
        <w:lastRenderedPageBreak/>
        <w:t>tranh. Bain (1956) chỉ ra rằng sự tập trung làm gia tăng rào cản gia nhập thị trường, khiến doanh nghiệp mới khó chen chân. Stigler (1964) cũng cho rằng TTKT  là điều kiện thuận lợi để hình thành các cấu trúc thị trường độc quyền nhóm, khi một  số ít doanh nghiệp lớn có thể phối hợp ngầm trong việc kiểm soát giá và sản lượng.  Trong lĩnh vực bán lẻ, TTKT có thể đem lại lợi ích như tối ưu hóa chi phí mở rộng  hệ thống phân phối, nâng cao hiệu quả quản lý, tạo điều kiện phát triển các chuỗi bán  lẻ hiện đại và giảm rủi ro phá sản của doanh nghiệp nhỏ lẻ (Lê Danh Vĩnh, 2006).  Tuy nhiên, ngược lại, TTKT cũng tiềm ẩn nguy cơ hình thành các tập đoàn thống  lĩnh, làm suy giảm tính cạnh tranh bình đẳng, hạn chế lựa chọn của người tiêu dùng  và gây bất lợi cho doanh nghiệp nhỏ (Cortés et al., 2021). Như vậy, tác động của  TTKT mang tính “hai mặt”, vừa thúc đẩy hiệu quả kinh doanh, vừa tiềm ẩn rủi ro đối  với sự đa dạng cạnh tranh.</w:t>
      </w:r>
    </w:p>
    <w:p w14:paraId="775920EF"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30 </w:t>
      </w:r>
    </w:p>
    <w:p w14:paraId="31516DBB" w14:textId="77777777" w:rsidR="00F60F67" w:rsidRDefault="00000000">
      <w:pPr>
        <w:widowControl w:val="0"/>
        <w:pBdr>
          <w:top w:val="nil"/>
          <w:left w:val="nil"/>
          <w:bottom w:val="nil"/>
          <w:right w:val="nil"/>
          <w:between w:val="nil"/>
        </w:pBdr>
        <w:spacing w:before="652" w:line="346" w:lineRule="auto"/>
        <w:ind w:left="443" w:right="368" w:firstLine="736"/>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Thứ tư, </w:t>
      </w:r>
      <w:r>
        <w:rPr>
          <w:rFonts w:ascii="Times New Roman" w:eastAsia="Times New Roman" w:hAnsi="Times New Roman" w:cs="Times New Roman"/>
          <w:color w:val="000000"/>
          <w:sz w:val="25"/>
          <w:szCs w:val="25"/>
        </w:rPr>
        <w:t xml:space="preserve">về mục tiêu sở hữu và kiểm soát, TTKT luôn hướng đến việc giành  được một phần hoặc toàn bộ quyền sở hữu doanh nghiệp, hoặc nắm giữ tỷ lệ cổ phần  đủ lớn để ảnh hưởng đến quyết định quản trị và định hướng kinh doanh. Đây là đặc  trưng giúp phân biệt TTKT với các hành vi chống cạnh tranh khác, ví dụ như thỏa  thuận HCCT hay lạm dụng vị trí thống lĩnh, vốn không nhất thiết gắn với sự thay đổi  trong cơ cấu sở hữu hoặc quyền kiểm soát doanh nghiệp (Posner, 2001). Đặc điểm  này càng nổi bật trong các giao dịch M&amp;A xuyên biên giới, khi mục tiêu chính của  doanh nghiệp đi mua là mở rộng phạm vi kiểm soát tại các thị trường mới, thay vì chỉ tăng trưởng nội tại (Ahern, 2024). </w:t>
      </w:r>
    </w:p>
    <w:p w14:paraId="1BEB70FC" w14:textId="77777777" w:rsidR="00F60F67" w:rsidRDefault="00000000">
      <w:pPr>
        <w:widowControl w:val="0"/>
        <w:pBdr>
          <w:top w:val="nil"/>
          <w:left w:val="nil"/>
          <w:bottom w:val="nil"/>
          <w:right w:val="nil"/>
          <w:between w:val="nil"/>
        </w:pBdr>
        <w:spacing w:before="29" w:line="345" w:lineRule="auto"/>
        <w:ind w:left="441" w:right="366" w:firstLine="738"/>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Thứ năm</w:t>
      </w:r>
      <w:r>
        <w:rPr>
          <w:rFonts w:ascii="Times New Roman" w:eastAsia="Times New Roman" w:hAnsi="Times New Roman" w:cs="Times New Roman"/>
          <w:color w:val="000000"/>
          <w:sz w:val="25"/>
          <w:szCs w:val="25"/>
        </w:rPr>
        <w:t xml:space="preserve">, về khía cạnh pháp lý, TTKT vừa là biểu hiện của quyền tự do kinh  doanh, vừa là hành vi chịu sự kiểm soát của PLCT. Ở Việt Nam, nếu Luật Cạnh tranh  2004 mới chỉ điều chỉnh TTKT trong phạm vi các doanh nghiệp trong nước, thì Luật  Cạnh tranh 2018 đã mở rộng phạm vi áp dụng, bao gồm cả các doanh nghiệp nước  ngoài có hoạt động hoặc tác động đến thị trường Việt Nam (Cục CT&amp;BVNTD, 2018).  Tại Mỹ, Đạo luật Clayton năm 1914 (Điều 7) nghiêm cấm các giao dịch mua lại có  khả năng làm suy giảm đáng kể cạnh tranh (Posner, 2001). Trong Liên minh châu  Âu, Quy chế số 139/2004 của Ủy ban châu Âu xác định quyền kiểm soát là dấu hiệu  pháp lý cốt lõi để nhận diện TTKT, đồng thời đặt ra cơ chế thông báo và thẩm định  đối với các giao dịch có quy mô lớn (European Commission, 2004). Các quy định  này cho thấy, mặc dù TTKT được coi là hoạt động hợp pháp và tất yếu trong môi  trường kinh doanh, song luôn cần có sự kiểm soát chặt chẽ của Nhà nước để bảo đảm  cân bằng giữa quyền lợi của doanh nghiệp và lợi ích công cộng về cạnh tranh. </w:t>
      </w:r>
    </w:p>
    <w:p w14:paraId="325A230D" w14:textId="77777777" w:rsidR="00F60F67" w:rsidRDefault="00000000">
      <w:pPr>
        <w:widowControl w:val="0"/>
        <w:pBdr>
          <w:top w:val="nil"/>
          <w:left w:val="nil"/>
          <w:bottom w:val="nil"/>
          <w:right w:val="nil"/>
          <w:between w:val="nil"/>
        </w:pBdr>
        <w:spacing w:before="34" w:line="345" w:lineRule="auto"/>
        <w:ind w:left="443" w:right="367" w:firstLine="72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Từ các phân tích trên có thể khái quát rằng TTKT có năm đặc điểm cơ bản: (i)  chủ thể là từ hai doanh nghiệp độc lập trở lên; (ii) phương thức thực hiện thông qua  các </w:t>
      </w:r>
      <w:r>
        <w:rPr>
          <w:rFonts w:ascii="Times New Roman" w:eastAsia="Times New Roman" w:hAnsi="Times New Roman" w:cs="Times New Roman"/>
          <w:color w:val="000000"/>
          <w:sz w:val="25"/>
          <w:szCs w:val="25"/>
        </w:rPr>
        <w:lastRenderedPageBreak/>
        <w:t xml:space="preserve">giao dịch kết hợp pháp lý cụ thể; (iii) tác động kinh tế - thương mại mang tính hai  mặt, vừa tích cực vừa tiêu cực; (iv) mục tiêu cốt lõi là quyền sở hữu và kiểm soát  doanh nghiệp; và (v) về mặt pháp lý, TTKT là hành vi hợp pháp nhưng phải chịu sự kiểm soát nhằm ngăn ngừa HCCT. </w:t>
      </w:r>
    </w:p>
    <w:p w14:paraId="46FF89B5" w14:textId="77777777" w:rsidR="00F60F67" w:rsidRDefault="00000000">
      <w:pPr>
        <w:widowControl w:val="0"/>
        <w:pBdr>
          <w:top w:val="nil"/>
          <w:left w:val="nil"/>
          <w:bottom w:val="nil"/>
          <w:right w:val="nil"/>
          <w:between w:val="nil"/>
        </w:pBdr>
        <w:spacing w:before="149" w:line="240" w:lineRule="auto"/>
        <w:ind w:left="442"/>
        <w:rPr>
          <w:rFonts w:ascii="Times New Roman" w:eastAsia="Times New Roman" w:hAnsi="Times New Roman" w:cs="Times New Roman"/>
          <w:b/>
          <w:bCs/>
          <w:i/>
          <w:iCs/>
          <w:color w:val="000000"/>
          <w:sz w:val="25"/>
          <w:szCs w:val="25"/>
        </w:rPr>
      </w:pPr>
      <w:r>
        <w:rPr>
          <w:rFonts w:ascii="Times New Roman" w:eastAsia="Times New Roman" w:hAnsi="Times New Roman" w:cs="Times New Roman"/>
          <w:b/>
          <w:bCs/>
          <w:i/>
          <w:iCs/>
          <w:color w:val="000000"/>
          <w:sz w:val="25"/>
          <w:szCs w:val="25"/>
        </w:rPr>
        <w:t xml:space="preserve">2.1.3. Đo lường mức độ tập trung kinh tế </w:t>
      </w:r>
    </w:p>
    <w:p w14:paraId="5452B261" w14:textId="77777777" w:rsidR="00F60F67" w:rsidRDefault="00000000">
      <w:pPr>
        <w:widowControl w:val="0"/>
        <w:pBdr>
          <w:top w:val="nil"/>
          <w:left w:val="nil"/>
          <w:bottom w:val="nil"/>
          <w:right w:val="nil"/>
          <w:between w:val="nil"/>
        </w:pBdr>
        <w:spacing w:before="268" w:line="344" w:lineRule="auto"/>
        <w:ind w:left="454" w:right="368" w:firstLine="55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Việc đo lường mức độ TTKT là một trong những cơ sở quan trọng để đánh giá  sức mạnh thị trường, nguy cơ lạm dụng vị trí thống lĩnh cũng như tác động của các </w:t>
      </w:r>
    </w:p>
    <w:p w14:paraId="039213FA"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31 </w:t>
      </w:r>
    </w:p>
    <w:p w14:paraId="1614FE0B" w14:textId="77777777" w:rsidR="00F60F67" w:rsidRDefault="00000000">
      <w:pPr>
        <w:widowControl w:val="0"/>
        <w:pBdr>
          <w:top w:val="nil"/>
          <w:left w:val="nil"/>
          <w:bottom w:val="nil"/>
          <w:right w:val="nil"/>
          <w:between w:val="nil"/>
        </w:pBdr>
        <w:spacing w:before="652" w:line="346" w:lineRule="auto"/>
        <w:ind w:left="447" w:right="368" w:hanging="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vụ việc TTKT đến mức độ cạnh tranh trên thị trường. Các chỉ số phổ biến được sử dụng rộng rãi trong nghiên cứu và thực tiễn quản lý bao gồm chỉ số tỷ trọng tập trung  (CR), chỉ số Herfindahl-Hirschman (HHI). Ngoài ra còn một số chỉ số khác như  Entropy Index, Lerner Index hay Panzar-Rosse H-Statistic. </w:t>
      </w:r>
    </w:p>
    <w:p w14:paraId="3E62A385" w14:textId="77777777" w:rsidR="00F60F67" w:rsidRDefault="00000000">
      <w:pPr>
        <w:widowControl w:val="0"/>
        <w:pBdr>
          <w:top w:val="nil"/>
          <w:left w:val="nil"/>
          <w:bottom w:val="nil"/>
          <w:right w:val="nil"/>
          <w:between w:val="nil"/>
        </w:pBdr>
        <w:spacing w:before="148" w:line="240" w:lineRule="auto"/>
        <w:ind w:left="1012"/>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2.1.3.1. Chỉ số CR (k) </w:t>
      </w:r>
    </w:p>
    <w:p w14:paraId="6927EFA5" w14:textId="77777777" w:rsidR="00F60F67" w:rsidRDefault="00000000">
      <w:pPr>
        <w:widowControl w:val="0"/>
        <w:pBdr>
          <w:top w:val="nil"/>
          <w:left w:val="nil"/>
          <w:bottom w:val="nil"/>
          <w:right w:val="nil"/>
          <w:between w:val="nil"/>
        </w:pBdr>
        <w:spacing w:before="268" w:line="333" w:lineRule="auto"/>
        <w:ind w:left="443" w:right="368" w:firstLine="57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Chỉ số tỷ trọng tập trung (Concentration Ratio - CR) là công cụ được sử dụng  sớm nhất để đo lường mức độ tập trung, phản ánh thị phần gộp của một số doanh  nghiệp lớn nhất trong thị trường.  </w:t>
      </w:r>
    </w:p>
    <w:p w14:paraId="3C216DF9" w14:textId="77777777" w:rsidR="00F60F67" w:rsidRDefault="00000000">
      <w:pPr>
        <w:widowControl w:val="0"/>
        <w:pBdr>
          <w:top w:val="nil"/>
          <w:left w:val="nil"/>
          <w:bottom w:val="nil"/>
          <w:right w:val="nil"/>
          <w:between w:val="nil"/>
        </w:pBdr>
        <w:spacing w:before="28" w:line="334" w:lineRule="auto"/>
        <w:ind w:left="443" w:right="368" w:firstLine="57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CR được tính bằng tổng thị phần của một nhóm doanh nghiệp có thị phần lớn  nhất. Tính đơn giản và số lượng dữ liệu ít đã giúp cho chỉ số tập trung CR (k) trở thành một trong những chỉ số thường được dùng nhiều nhất để đo lường độ tập trung  trong thực tiễn. Chỉ số này đánh giá mức độ tập trung thị phần xác định liệu có rơi  vào nhóm một số doanh nghiệp bán lẻ hay không. Chỉ số này được xác định thông  qua thị phần của k doanh nghiệp bán lẻ lớn nhất trên thị trường, công thức đo lường  mức độ tập trung thị phần như sau: </w:t>
      </w:r>
    </w:p>
    <w:p w14:paraId="6984CBE9" w14:textId="77777777" w:rsidR="00F60F67" w:rsidRDefault="00000000">
      <w:pPr>
        <w:widowControl w:val="0"/>
        <w:pBdr>
          <w:top w:val="nil"/>
          <w:left w:val="nil"/>
          <w:bottom w:val="nil"/>
          <w:right w:val="nil"/>
          <w:between w:val="nil"/>
        </w:pBdr>
        <w:spacing w:before="32" w:line="240" w:lineRule="auto"/>
        <w:ind w:left="352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đó: </w:t>
      </w:r>
      <w:r>
        <w:rPr>
          <w:noProof/>
        </w:rPr>
        <w:drawing>
          <wp:anchor distT="19050" distB="19050" distL="19050" distR="19050" simplePos="0" relativeHeight="251695104" behindDoc="0" locked="0" layoutInCell="1" hidden="0" allowOverlap="1" wp14:anchorId="66F1AFB3" wp14:editId="60EE4D6D">
            <wp:simplePos x="0" y="0"/>
            <wp:positionH relativeFrom="column">
              <wp:posOffset>19050</wp:posOffset>
            </wp:positionH>
            <wp:positionV relativeFrom="paragraph">
              <wp:posOffset>27728</wp:posOffset>
            </wp:positionV>
            <wp:extent cx="1319530" cy="694690"/>
            <wp:effectExtent l="0" t="0" r="0" b="0"/>
            <wp:wrapSquare wrapText="right" distT="19050" distB="19050" distL="19050" distR="19050"/>
            <wp:docPr id="130"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5"/>
                    <a:srcRect/>
                    <a:stretch>
                      <a:fillRect/>
                    </a:stretch>
                  </pic:blipFill>
                  <pic:spPr>
                    <a:xfrm>
                      <a:off x="0" y="0"/>
                      <a:ext cx="1319530" cy="694690"/>
                    </a:xfrm>
                    <a:prstGeom prst="rect">
                      <a:avLst/>
                    </a:prstGeom>
                    <a:ln/>
                  </pic:spPr>
                </pic:pic>
              </a:graphicData>
            </a:graphic>
          </wp:anchor>
        </w:drawing>
      </w:r>
    </w:p>
    <w:p w14:paraId="268F9D69" w14:textId="77777777" w:rsidR="00F60F67" w:rsidRDefault="00000000">
      <w:pPr>
        <w:widowControl w:val="0"/>
        <w:pBdr>
          <w:top w:val="nil"/>
          <w:left w:val="nil"/>
          <w:bottom w:val="nil"/>
          <w:right w:val="nil"/>
          <w:between w:val="nil"/>
        </w:pBdr>
        <w:spacing w:before="143" w:line="240" w:lineRule="auto"/>
        <w:ind w:right="1210"/>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CRk : Chỉ số tập trung (Concentration ratio); </w:t>
      </w:r>
    </w:p>
    <w:p w14:paraId="6E9690F8" w14:textId="77777777" w:rsidR="00F60F67" w:rsidRDefault="00000000">
      <w:pPr>
        <w:widowControl w:val="0"/>
        <w:pBdr>
          <w:top w:val="nil"/>
          <w:left w:val="nil"/>
          <w:bottom w:val="nil"/>
          <w:right w:val="nil"/>
          <w:between w:val="nil"/>
        </w:pBdr>
        <w:spacing w:before="148" w:line="240" w:lineRule="auto"/>
        <w:ind w:right="1798"/>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Si: Thị phần doanh nghiệp bán lẻ thứ I; </w:t>
      </w:r>
    </w:p>
    <w:p w14:paraId="21447368" w14:textId="77777777" w:rsidR="00F60F67" w:rsidRDefault="00000000">
      <w:pPr>
        <w:widowControl w:val="0"/>
        <w:pBdr>
          <w:top w:val="nil"/>
          <w:left w:val="nil"/>
          <w:bottom w:val="nil"/>
          <w:right w:val="nil"/>
          <w:between w:val="nil"/>
        </w:pBdr>
        <w:spacing w:before="143" w:line="240" w:lineRule="auto"/>
        <w:ind w:right="1164"/>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k: Số lượng doanh nghiệp bán lẻ trong nhóm. </w:t>
      </w:r>
    </w:p>
    <w:p w14:paraId="5A0C1341" w14:textId="77777777" w:rsidR="00F60F67" w:rsidRDefault="00000000">
      <w:pPr>
        <w:widowControl w:val="0"/>
        <w:pBdr>
          <w:top w:val="nil"/>
          <w:left w:val="nil"/>
          <w:bottom w:val="nil"/>
          <w:right w:val="nil"/>
          <w:between w:val="nil"/>
        </w:pBdr>
        <w:spacing w:before="143" w:line="346" w:lineRule="auto"/>
        <w:ind w:left="443" w:right="368" w:firstLine="57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Thông thường, chỉ số này được tính dựa trên số lượng từ 03 doanh nghiệp bán  lẻ trở lên tuỳ thuộc vào quy mô thị trường. Chỉ số tập trung có giá trị từ 0% đến 100%.  Dựa vào mức độ tập trung, có thể phân thành các thị trường như sau: (1) Cạnh tranh  hoàn hảo, với tỷ lệ tập trung rất nhỏ; (2) Cạnh tranh một cách tương đối, CR3 &lt; 65%,  mức độ tập trung trung bình; (3) Độc quyền nhóm hoặc có vị trí thống lĩnh thị trường,  CR3 &gt; 65%, mức độ tập trung cao; (4) Độc quyền, CR1 xấp xỉ 100%. </w:t>
      </w:r>
    </w:p>
    <w:p w14:paraId="1C4B807A" w14:textId="77777777" w:rsidR="00F60F67" w:rsidRDefault="00000000">
      <w:pPr>
        <w:widowControl w:val="0"/>
        <w:pBdr>
          <w:top w:val="nil"/>
          <w:left w:val="nil"/>
          <w:bottom w:val="nil"/>
          <w:right w:val="nil"/>
          <w:between w:val="nil"/>
        </w:pBdr>
        <w:spacing w:before="28" w:line="345" w:lineRule="auto"/>
        <w:ind w:left="441" w:right="368"/>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Theo Bain (1956), chỉ số này có ý nghĩa quan trọng trong mô hình Structure Conduct-</w:t>
      </w:r>
      <w:r>
        <w:rPr>
          <w:rFonts w:ascii="Times New Roman" w:eastAsia="Times New Roman" w:hAnsi="Times New Roman" w:cs="Times New Roman"/>
          <w:color w:val="000000"/>
          <w:sz w:val="25"/>
          <w:szCs w:val="25"/>
        </w:rPr>
        <w:lastRenderedPageBreak/>
        <w:t xml:space="preserve">Performance (SCP), bởi nó cho phép đánh giá nhanh cấu trúc thị trường và  khả năng xuất hiện quyền lực độc quyền. Shepherd (1997) cũng khẳng định rằng CR  là công cụ hữu ích để nhận diện tình trạng tập trung cao, mặc dù hạn chế ở chỗ không  phản ánh chính xác sự phân bổ thị phần giữa các doanh nghiệp nhỏ còn lại. Trong  lĩnh vực bán lẻ, Dobson (2002) khẳng định rằng chỉ số CR phản ánh đúng thực tiễn </w:t>
      </w:r>
    </w:p>
    <w:p w14:paraId="178C9653"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32 </w:t>
      </w:r>
    </w:p>
    <w:p w14:paraId="076FA501" w14:textId="77777777" w:rsidR="00F60F67" w:rsidRDefault="00000000">
      <w:pPr>
        <w:widowControl w:val="0"/>
        <w:pBdr>
          <w:top w:val="nil"/>
          <w:left w:val="nil"/>
          <w:bottom w:val="nil"/>
          <w:right w:val="nil"/>
          <w:between w:val="nil"/>
        </w:pBdr>
        <w:spacing w:before="652" w:line="346" w:lineRule="auto"/>
        <w:ind w:left="443" w:right="368" w:firstLine="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“quyền lực người mua” (buyer power) của các tập đoàn bán lẻ lớn ở châu Âu. Tuy  nhiên, một hạn chế quan trọng của CR là tính chất “cắt cụt” (cut-off nature): nó bỏ qua sự phân bổ thị phần giữa các doanh nghiệp ngoài nhóm dẫn đầu. Điều này có thể dẫn đến sai lệch trong đánh giá khi các doanh nghiệp nhỏ và vừa vẫn chiếm tỷ trọng  đáng kể và có vai trò quan trọng trong duy trì tính cạnh tranh (Davies &amp; Clarke,  2018). </w:t>
      </w:r>
    </w:p>
    <w:p w14:paraId="6119C957" w14:textId="77777777" w:rsidR="00F60F67" w:rsidRDefault="00000000">
      <w:pPr>
        <w:widowControl w:val="0"/>
        <w:pBdr>
          <w:top w:val="nil"/>
          <w:left w:val="nil"/>
          <w:bottom w:val="nil"/>
          <w:right w:val="nil"/>
          <w:between w:val="nil"/>
        </w:pBdr>
        <w:spacing w:before="148" w:line="240" w:lineRule="auto"/>
        <w:ind w:left="1012"/>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2.1.3.2. Chỉ số Herfindahl-Hirschman (HHI) </w:t>
      </w:r>
    </w:p>
    <w:p w14:paraId="354DEE5D" w14:textId="77777777" w:rsidR="00F60F67" w:rsidRDefault="00000000">
      <w:pPr>
        <w:widowControl w:val="0"/>
        <w:pBdr>
          <w:top w:val="nil"/>
          <w:left w:val="nil"/>
          <w:bottom w:val="nil"/>
          <w:right w:val="nil"/>
          <w:between w:val="nil"/>
        </w:pBdr>
        <w:spacing w:before="263" w:line="346" w:lineRule="auto"/>
        <w:ind w:left="443" w:right="368" w:firstLine="56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Khác với CR, chỉ số HHI tính đến toàn bộ phân bổ thị phần của tất cả các doanh  nghiệp trên thị trường, thông qua công thức tổng bình phương thị phần (HHI = Σsi²,  với si là thị phần của doanh nghiệp i). Herfindahl (1950) và Hirschman (1945) được  ghi nhận là những học giả đầu tiên xây dựng và ứng dụng chỉ số này.  </w:t>
      </w:r>
    </w:p>
    <w:p w14:paraId="09BE44DF" w14:textId="77777777" w:rsidR="00F60F67" w:rsidRDefault="00000000">
      <w:pPr>
        <w:widowControl w:val="0"/>
        <w:pBdr>
          <w:top w:val="nil"/>
          <w:left w:val="nil"/>
          <w:bottom w:val="nil"/>
          <w:right w:val="nil"/>
          <w:between w:val="nil"/>
        </w:pBdr>
        <w:spacing w:before="28" w:line="346" w:lineRule="auto"/>
        <w:ind w:left="444" w:right="368" w:firstLine="57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Chỉ số Herfindahl-Hirschman (HHI) được sử dụng đề nhận biết mức độ cạnh  tranh của thị trường là hoàn hảo hay độc quyền cao, chỉ số này được CQCT sử dụng  để đánh giá mức độ độc quyền hay độc quyền nhóm trong hoạt động M&amp;A giữa  doanh nghiệp. HHI xác định bằng tổng bình phương thị phần của mỗi doanh nghiệp  trong toàn thị trường. Công thức xác định:  </w:t>
      </w:r>
    </w:p>
    <w:p w14:paraId="6364E5BE" w14:textId="77777777" w:rsidR="00F60F67" w:rsidRDefault="00000000">
      <w:pPr>
        <w:widowControl w:val="0"/>
        <w:pBdr>
          <w:top w:val="nil"/>
          <w:left w:val="nil"/>
          <w:bottom w:val="nil"/>
          <w:right w:val="nil"/>
          <w:between w:val="nil"/>
        </w:pBdr>
        <w:spacing w:before="29" w:line="240" w:lineRule="auto"/>
        <w:ind w:left="338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đó: </w:t>
      </w:r>
      <w:r>
        <w:rPr>
          <w:noProof/>
        </w:rPr>
        <w:drawing>
          <wp:anchor distT="19050" distB="19050" distL="19050" distR="19050" simplePos="0" relativeHeight="251696128" behindDoc="0" locked="0" layoutInCell="1" hidden="0" allowOverlap="1" wp14:anchorId="311D41EA" wp14:editId="4A767663">
            <wp:simplePos x="0" y="0"/>
            <wp:positionH relativeFrom="column">
              <wp:posOffset>19050</wp:posOffset>
            </wp:positionH>
            <wp:positionV relativeFrom="paragraph">
              <wp:posOffset>29459</wp:posOffset>
            </wp:positionV>
            <wp:extent cx="1624311" cy="427990"/>
            <wp:effectExtent l="0" t="0" r="0" b="0"/>
            <wp:wrapSquare wrapText="right" distT="19050" distB="19050" distL="19050" distR="19050"/>
            <wp:docPr id="133"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5"/>
                    <a:srcRect/>
                    <a:stretch>
                      <a:fillRect/>
                    </a:stretch>
                  </pic:blipFill>
                  <pic:spPr>
                    <a:xfrm>
                      <a:off x="0" y="0"/>
                      <a:ext cx="1624311" cy="427990"/>
                    </a:xfrm>
                    <a:prstGeom prst="rect">
                      <a:avLst/>
                    </a:prstGeom>
                    <a:ln/>
                  </pic:spPr>
                </pic:pic>
              </a:graphicData>
            </a:graphic>
          </wp:anchor>
        </w:drawing>
      </w:r>
    </w:p>
    <w:p w14:paraId="30CE95D9" w14:textId="77777777" w:rsidR="00F60F67" w:rsidRDefault="00000000">
      <w:pPr>
        <w:widowControl w:val="0"/>
        <w:pBdr>
          <w:top w:val="nil"/>
          <w:left w:val="nil"/>
          <w:bottom w:val="nil"/>
          <w:right w:val="nil"/>
          <w:between w:val="nil"/>
        </w:pBdr>
        <w:spacing w:before="148" w:line="240" w:lineRule="auto"/>
        <w:ind w:right="2129"/>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Si: Thị phần doanh nghiệp bán lẻ thứ i </w:t>
      </w:r>
    </w:p>
    <w:p w14:paraId="005767EC" w14:textId="77777777" w:rsidR="00F60F67" w:rsidRDefault="00000000">
      <w:pPr>
        <w:widowControl w:val="0"/>
        <w:pBdr>
          <w:top w:val="nil"/>
          <w:left w:val="nil"/>
          <w:bottom w:val="nil"/>
          <w:right w:val="nil"/>
          <w:between w:val="nil"/>
        </w:pBdr>
        <w:spacing w:before="143" w:line="240" w:lineRule="auto"/>
        <w:ind w:right="587"/>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n: Số lượng doanh nghiệp bán lẻ trên toàn thị trường  </w:t>
      </w:r>
    </w:p>
    <w:p w14:paraId="343A8427" w14:textId="77777777" w:rsidR="00F60F67" w:rsidRDefault="00000000">
      <w:pPr>
        <w:widowControl w:val="0"/>
        <w:pBdr>
          <w:top w:val="nil"/>
          <w:left w:val="nil"/>
          <w:bottom w:val="nil"/>
          <w:right w:val="nil"/>
          <w:between w:val="nil"/>
        </w:pBdr>
        <w:spacing w:before="148" w:line="357" w:lineRule="auto"/>
        <w:ind w:left="444" w:right="368" w:firstLine="57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Chỉ số HHI có giá trị từ 1/n đến 1, chỉ số có giá trị thấp nhất (1/m) khi tất cả doanh nghiệp trong thị trường đều có quy mô như nhau, và có giá trị bằng 1 trong  trường hợp độc quyền. </w:t>
      </w:r>
    </w:p>
    <w:p w14:paraId="43ECA795" w14:textId="77777777" w:rsidR="00F60F67" w:rsidRDefault="00000000">
      <w:pPr>
        <w:widowControl w:val="0"/>
        <w:pBdr>
          <w:top w:val="nil"/>
          <w:left w:val="nil"/>
          <w:bottom w:val="nil"/>
          <w:right w:val="nil"/>
          <w:between w:val="nil"/>
        </w:pBdr>
        <w:spacing w:before="31" w:line="240" w:lineRule="auto"/>
        <w:ind w:left="101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Chỉ số HHI có thể xác định bằng cách khác: </w:t>
      </w:r>
    </w:p>
    <w:p w14:paraId="68E5D811" w14:textId="77777777" w:rsidR="00F60F67" w:rsidRDefault="00000000">
      <w:pPr>
        <w:widowControl w:val="0"/>
        <w:pBdr>
          <w:top w:val="nil"/>
          <w:left w:val="nil"/>
          <w:bottom w:val="nil"/>
          <w:right w:val="nil"/>
          <w:between w:val="nil"/>
        </w:pBdr>
        <w:spacing w:before="163" w:line="240" w:lineRule="auto"/>
        <w:ind w:left="1122"/>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HHI = 1/n +nV </w:t>
      </w:r>
      <w:r>
        <w:rPr>
          <w:rFonts w:ascii="Times New Roman" w:eastAsia="Times New Roman" w:hAnsi="Times New Roman" w:cs="Times New Roman"/>
          <w:color w:val="000000"/>
          <w:sz w:val="25"/>
          <w:szCs w:val="25"/>
        </w:rPr>
        <w:t xml:space="preserve">(2) Trong đó: </w:t>
      </w:r>
    </w:p>
    <w:p w14:paraId="549EF551" w14:textId="77777777" w:rsidR="00F60F67" w:rsidRDefault="00000000">
      <w:pPr>
        <w:widowControl w:val="0"/>
        <w:pBdr>
          <w:top w:val="nil"/>
          <w:left w:val="nil"/>
          <w:bottom w:val="nil"/>
          <w:right w:val="nil"/>
          <w:between w:val="nil"/>
        </w:pBdr>
        <w:spacing w:before="158" w:line="240" w:lineRule="auto"/>
        <w:ind w:right="1283"/>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n: Số lượng doanh nghiệp trong lĩnh vực bán lẻ </w:t>
      </w:r>
    </w:p>
    <w:p w14:paraId="713608E7" w14:textId="77777777" w:rsidR="00F60F67" w:rsidRDefault="00000000">
      <w:pPr>
        <w:widowControl w:val="0"/>
        <w:pBdr>
          <w:top w:val="nil"/>
          <w:left w:val="nil"/>
          <w:bottom w:val="nil"/>
          <w:right w:val="nil"/>
          <w:between w:val="nil"/>
        </w:pBdr>
        <w:spacing w:before="163" w:line="240" w:lineRule="auto"/>
        <w:ind w:right="486"/>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V: Phương sai thống kê thị phần của tất cả doanh  </w:t>
      </w:r>
    </w:p>
    <w:p w14:paraId="41007603" w14:textId="77777777" w:rsidR="00F60F67" w:rsidRDefault="00000000">
      <w:pPr>
        <w:widowControl w:val="0"/>
        <w:pBdr>
          <w:top w:val="nil"/>
          <w:left w:val="nil"/>
          <w:bottom w:val="nil"/>
          <w:right w:val="nil"/>
          <w:between w:val="nil"/>
        </w:pBdr>
        <w:spacing w:before="158" w:line="240" w:lineRule="auto"/>
        <w:ind w:left="338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nghiệp bán lẻ </w:t>
      </w:r>
    </w:p>
    <w:p w14:paraId="49BC20BD" w14:textId="77777777" w:rsidR="00F60F67" w:rsidRDefault="00000000">
      <w:pPr>
        <w:widowControl w:val="0"/>
        <w:pBdr>
          <w:top w:val="nil"/>
          <w:left w:val="nil"/>
          <w:bottom w:val="nil"/>
          <w:right w:val="nil"/>
          <w:between w:val="nil"/>
        </w:pBdr>
        <w:spacing w:before="163" w:line="355" w:lineRule="auto"/>
        <w:ind w:left="444" w:right="439" w:firstLine="56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Nếu tất cả doanh nghiệp có thị phần bằng nhau (có nghĩa là nếu cấu trúc thị trường là hoàn toàn cân xứng, tức si = 1/n đối với mọi i) V = 0 và H = 1/n.</w:t>
      </w:r>
    </w:p>
    <w:p w14:paraId="5140CFB8"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33 </w:t>
      </w:r>
    </w:p>
    <w:p w14:paraId="3E6DB69C" w14:textId="77777777" w:rsidR="00F60F67" w:rsidRDefault="00000000">
      <w:pPr>
        <w:widowControl w:val="0"/>
        <w:pBdr>
          <w:top w:val="nil"/>
          <w:left w:val="nil"/>
          <w:bottom w:val="nil"/>
          <w:right w:val="nil"/>
          <w:between w:val="nil"/>
        </w:pBdr>
        <w:spacing w:before="652" w:line="357" w:lineRule="auto"/>
        <w:ind w:left="441" w:right="367"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Theo Scherer và Ross (1990), HHI không chỉ đo lường mức độ tập trung mà  còn cung cấp cái nhìn định lượng về “quyền lực thị trường” (market power). Werden  và Froeb (1994) chứng minh rằng HHI đặc biệt hữu ích trong dự báo tác động cạnh  tranh của các giao dịch sáp nhập, nhất là trong các thị trường sản phẩm khác biệt  (differentiated products industries). Chính vì vậy, trong thực tiễn PLCT quốc tế, HHI  đã được công nhận là chỉ số chuẩn mực. Bộ Tư pháp Mỹ (2010) trong Horizontal  Merger Guidelines quy định rõ các ngưỡng HHI: dưới 1.500 điểm là thị trường cạnh  tranh, từ 1.500 đến 2.500 là mức độ tập trung trung bình, và trên 2.500 là tập trung  cao; đồng thời, mức gia tăng HHI trên 200 điểm sau một giao dịch sáp nhập thường  bị xem xét chặt chẽ. </w:t>
      </w:r>
    </w:p>
    <w:p w14:paraId="120366AD" w14:textId="77777777" w:rsidR="00F60F67" w:rsidRDefault="00000000">
      <w:pPr>
        <w:widowControl w:val="0"/>
        <w:pBdr>
          <w:top w:val="nil"/>
          <w:left w:val="nil"/>
          <w:bottom w:val="nil"/>
          <w:right w:val="nil"/>
          <w:between w:val="nil"/>
        </w:pBdr>
        <w:spacing w:before="36" w:line="357" w:lineRule="auto"/>
        <w:ind w:left="443" w:right="368" w:firstLine="57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lĩnh vực bán lẻ, nhiều nghiên cứu thực nghiệm đã sử dụng HHI để phân  tích cấu trúc thị trường. Dobson và Waterson (1999) áp dụng HHI để nghiên cứu sự mở rộng của các chuỗi siêu thị lớn tại Anh và Pháp, cho thấy HHI tăng nhanh qua  các thập kỷ, kéo theo rủi ro gia tăng hành vi HCCT, hình thành “siêu quyền lực người  mua” (super buyer power), tạo sức ép lớn đối với nhà cung ứng. </w:t>
      </w:r>
    </w:p>
    <w:p w14:paraId="2786B2D2" w14:textId="77777777" w:rsidR="00F60F67" w:rsidRDefault="00000000">
      <w:pPr>
        <w:widowControl w:val="0"/>
        <w:pBdr>
          <w:top w:val="nil"/>
          <w:left w:val="nil"/>
          <w:bottom w:val="nil"/>
          <w:right w:val="nil"/>
          <w:between w:val="nil"/>
        </w:pBdr>
        <w:spacing w:before="156" w:line="240" w:lineRule="auto"/>
        <w:ind w:left="1012"/>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2.1.3.3. Các chỉ số khác </w:t>
      </w:r>
    </w:p>
    <w:p w14:paraId="7586F010" w14:textId="77777777" w:rsidR="00F60F67" w:rsidRDefault="00000000">
      <w:pPr>
        <w:widowControl w:val="0"/>
        <w:pBdr>
          <w:top w:val="nil"/>
          <w:left w:val="nil"/>
          <w:bottom w:val="nil"/>
          <w:right w:val="nil"/>
          <w:between w:val="nil"/>
        </w:pBdr>
        <w:spacing w:before="263" w:line="240" w:lineRule="auto"/>
        <w:ind w:left="1014"/>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a) Chỉ số Entropy  </w:t>
      </w:r>
    </w:p>
    <w:p w14:paraId="54B4847B" w14:textId="77777777" w:rsidR="00F60F67" w:rsidRDefault="00000000">
      <w:pPr>
        <w:widowControl w:val="0"/>
        <w:pBdr>
          <w:top w:val="nil"/>
          <w:left w:val="nil"/>
          <w:bottom w:val="nil"/>
          <w:right w:val="nil"/>
          <w:between w:val="nil"/>
        </w:pBdr>
        <w:spacing w:before="263" w:line="339" w:lineRule="auto"/>
        <w:ind w:left="441" w:right="368" w:firstLine="57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Khái niệm </w:t>
      </w:r>
      <w:r>
        <w:rPr>
          <w:rFonts w:ascii="Times New Roman" w:eastAsia="Times New Roman" w:hAnsi="Times New Roman" w:cs="Times New Roman"/>
          <w:i/>
          <w:iCs/>
          <w:color w:val="000000"/>
          <w:sz w:val="25"/>
          <w:szCs w:val="25"/>
        </w:rPr>
        <w:t xml:space="preserve">entropy </w:t>
      </w:r>
      <w:r>
        <w:rPr>
          <w:rFonts w:ascii="Times New Roman" w:eastAsia="Times New Roman" w:hAnsi="Times New Roman" w:cs="Times New Roman"/>
          <w:color w:val="000000"/>
          <w:sz w:val="25"/>
          <w:szCs w:val="25"/>
        </w:rPr>
        <w:t>vốn được Claude Shannon (1948) phát triển trong lý thuyết  thông tin, dùng để đo mức độ bất định (uncertainty) hay lượng thông tin trong một  phân phối xác suất và sau đó được đưa vào phân tích cấu trúc thị trường/đa dạng hóa  doanh nghiệp bởi Jacquemin và Berry (1979). Đối với phân bổ thị phần (S</w:t>
      </w:r>
      <w:r>
        <w:rPr>
          <w:rFonts w:ascii="Times New Roman" w:eastAsia="Times New Roman" w:hAnsi="Times New Roman" w:cs="Times New Roman"/>
          <w:color w:val="000000"/>
          <w:sz w:val="16"/>
          <w:szCs w:val="16"/>
        </w:rPr>
        <w:t>i</w:t>
      </w:r>
      <w:r>
        <w:rPr>
          <w:rFonts w:ascii="Times New Roman" w:eastAsia="Times New Roman" w:hAnsi="Times New Roman" w:cs="Times New Roman"/>
          <w:color w:val="000000"/>
          <w:sz w:val="25"/>
          <w:szCs w:val="25"/>
        </w:rPr>
        <w:t>) của N  doanh nghiệp (</w:t>
      </w:r>
      <w:r>
        <w:rPr>
          <w:rFonts w:ascii="Gungsuh" w:eastAsia="Gungsuh" w:hAnsi="Gungsuh" w:cs="Gungsuh"/>
          <w:b/>
          <w:bCs/>
          <w:color w:val="000000"/>
          <w:sz w:val="25"/>
          <w:szCs w:val="25"/>
        </w:rPr>
        <w:t>∑</w:t>
      </w:r>
      <w:r>
        <w:rPr>
          <w:rFonts w:ascii="Times New Roman" w:eastAsia="Times New Roman" w:hAnsi="Times New Roman" w:cs="Times New Roman"/>
          <w:b/>
          <w:bCs/>
          <w:color w:val="000000"/>
          <w:sz w:val="16"/>
          <w:szCs w:val="16"/>
        </w:rPr>
        <w:t xml:space="preserve">i </w:t>
      </w:r>
      <w:r>
        <w:rPr>
          <w:rFonts w:ascii="Times New Roman" w:eastAsia="Times New Roman" w:hAnsi="Times New Roman" w:cs="Times New Roman"/>
          <w:b/>
          <w:bCs/>
          <w:color w:val="000000"/>
          <w:sz w:val="25"/>
          <w:szCs w:val="25"/>
        </w:rPr>
        <w:t>S</w:t>
      </w:r>
      <w:r>
        <w:rPr>
          <w:rFonts w:ascii="Times New Roman" w:eastAsia="Times New Roman" w:hAnsi="Times New Roman" w:cs="Times New Roman"/>
          <w:b/>
          <w:bCs/>
          <w:color w:val="000000"/>
          <w:sz w:val="16"/>
          <w:szCs w:val="16"/>
        </w:rPr>
        <w:t xml:space="preserve">i </w:t>
      </w:r>
      <w:r>
        <w:rPr>
          <w:rFonts w:ascii="Times New Roman" w:eastAsia="Times New Roman" w:hAnsi="Times New Roman" w:cs="Times New Roman"/>
          <w:b/>
          <w:bCs/>
          <w:color w:val="000000"/>
          <w:sz w:val="25"/>
          <w:szCs w:val="25"/>
        </w:rPr>
        <w:t>= 1</w:t>
      </w:r>
      <w:r>
        <w:rPr>
          <w:rFonts w:ascii="Times New Roman" w:eastAsia="Times New Roman" w:hAnsi="Times New Roman" w:cs="Times New Roman"/>
          <w:color w:val="000000"/>
          <w:sz w:val="25"/>
          <w:szCs w:val="25"/>
        </w:rPr>
        <w:t xml:space="preserve">) chỉ số entropy được xác định là:  </w:t>
      </w:r>
    </w:p>
    <w:p w14:paraId="2C4B4777" w14:textId="77777777" w:rsidR="00F60F67" w:rsidRDefault="00000000">
      <w:pPr>
        <w:widowControl w:val="0"/>
        <w:pBdr>
          <w:top w:val="nil"/>
          <w:left w:val="nil"/>
          <w:bottom w:val="nil"/>
          <w:right w:val="nil"/>
          <w:between w:val="nil"/>
        </w:pBdr>
        <w:spacing w:before="119" w:line="240" w:lineRule="auto"/>
        <w:ind w:right="2874"/>
        <w:jc w:val="right"/>
        <w:rPr>
          <w:rFonts w:ascii="Cambria Math" w:eastAsia="Cambria Math" w:hAnsi="Cambria Math" w:cs="Cambria Math"/>
          <w:color w:val="000000"/>
          <w:sz w:val="18"/>
          <w:szCs w:val="18"/>
        </w:rPr>
      </w:pP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30"/>
          <w:szCs w:val="30"/>
          <w:vertAlign w:val="subscript"/>
        </w:rPr>
        <w:t xml:space="preserve">!#$ </w:t>
      </w:r>
      <w:r>
        <w:rPr>
          <w:rFonts w:ascii="Times New Roman" w:eastAsia="Times New Roman" w:hAnsi="Times New Roman" w:cs="Times New Roman"/>
          <w:color w:val="000000"/>
          <w:sz w:val="25"/>
          <w:szCs w:val="25"/>
        </w:rPr>
        <w:t xml:space="preserve">= </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w:t>
      </w:r>
      <w:r>
        <w:rPr>
          <w:rFonts w:ascii="Cambria Math" w:eastAsia="Cambria Math" w:hAnsi="Cambria Math" w:cs="Cambria Math"/>
          <w:color w:val="000000"/>
          <w:sz w:val="25"/>
          <w:szCs w:val="25"/>
        </w:rPr>
        <w:t>ln (</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18"/>
          <w:szCs w:val="18"/>
        </w:rPr>
        <w:t>%</w:t>
      </w:r>
      <w:r>
        <w:rPr>
          <w:rFonts w:ascii="Cambria Math" w:eastAsia="Cambria Math" w:hAnsi="Cambria Math" w:cs="Cambria Math"/>
          <w:color w:val="000000"/>
          <w:sz w:val="24"/>
          <w:szCs w:val="24"/>
          <w:vertAlign w:val="subscript"/>
        </w:rPr>
        <w:t>!</w:t>
      </w:r>
      <w:r>
        <w:rPr>
          <w:rFonts w:ascii="Cambria Math" w:eastAsia="Cambria Math" w:hAnsi="Cambria Math" w:cs="Cambria Math"/>
          <w:color w:val="000000"/>
          <w:sz w:val="25"/>
          <w:szCs w:val="25"/>
        </w:rPr>
        <w:t xml:space="preserve">) </w:t>
      </w:r>
      <w:r>
        <w:rPr>
          <w:rFonts w:ascii="Cambria Math" w:eastAsia="Cambria Math" w:hAnsi="Cambria Math" w:cs="Cambria Math"/>
          <w:color w:val="000000"/>
          <w:sz w:val="30"/>
          <w:szCs w:val="30"/>
          <w:vertAlign w:val="superscript"/>
        </w:rPr>
        <w:t>"</w:t>
      </w:r>
      <w:r>
        <w:rPr>
          <w:rFonts w:ascii="Cambria Math" w:eastAsia="Cambria Math" w:hAnsi="Cambria Math" w:cs="Cambria Math"/>
          <w:color w:val="000000"/>
          <w:sz w:val="18"/>
          <w:szCs w:val="18"/>
        </w:rPr>
        <w:t xml:space="preserve">!#$ </w:t>
      </w:r>
    </w:p>
    <w:p w14:paraId="5F015F78" w14:textId="77777777" w:rsidR="00F60F67" w:rsidRDefault="00000000">
      <w:pPr>
        <w:widowControl w:val="0"/>
        <w:pBdr>
          <w:top w:val="nil"/>
          <w:left w:val="nil"/>
          <w:bottom w:val="nil"/>
          <w:right w:val="nil"/>
          <w:between w:val="nil"/>
        </w:pBdr>
        <w:spacing w:line="240" w:lineRule="auto"/>
        <w:ind w:left="3431"/>
        <w:rPr>
          <w:rFonts w:ascii="Cambria Math" w:eastAsia="Cambria Math" w:hAnsi="Cambria Math" w:cs="Cambria Math"/>
          <w:color w:val="000000"/>
          <w:sz w:val="18"/>
          <w:szCs w:val="18"/>
        </w:rPr>
      </w:pPr>
      <w:r>
        <w:rPr>
          <w:rFonts w:ascii="Times New Roman" w:eastAsia="Times New Roman" w:hAnsi="Times New Roman" w:cs="Times New Roman"/>
          <w:color w:val="000000"/>
          <w:sz w:val="25"/>
          <w:szCs w:val="25"/>
        </w:rPr>
        <w:t xml:space="preserve">E = - </w:t>
      </w:r>
      <w:r>
        <w:rPr>
          <w:rFonts w:ascii="Cambria Math" w:eastAsia="Cambria Math" w:hAnsi="Cambria Math" w:cs="Cambria Math"/>
          <w:color w:val="000000"/>
          <w:sz w:val="25"/>
          <w:szCs w:val="25"/>
        </w:rPr>
        <w:t>∑ ��</w:t>
      </w:r>
      <w:r>
        <w:rPr>
          <w:rFonts w:ascii="Cambria Math" w:eastAsia="Cambria Math" w:hAnsi="Cambria Math" w:cs="Cambria Math"/>
          <w:color w:val="000000"/>
          <w:sz w:val="30"/>
          <w:szCs w:val="30"/>
          <w:vertAlign w:val="subscript"/>
        </w:rPr>
        <w:t>!</w:t>
      </w:r>
      <w:r>
        <w:rPr>
          <w:rFonts w:ascii="Cambria Math" w:eastAsia="Cambria Math" w:hAnsi="Cambria Math" w:cs="Cambria Math"/>
          <w:color w:val="000000"/>
          <w:sz w:val="25"/>
          <w:szCs w:val="25"/>
        </w:rPr>
        <w:t>������</w:t>
      </w:r>
      <w:r>
        <w:rPr>
          <w:rFonts w:ascii="Cambria Math" w:eastAsia="Cambria Math" w:hAnsi="Cambria Math" w:cs="Cambria Math"/>
          <w:color w:val="000000"/>
          <w:sz w:val="30"/>
          <w:szCs w:val="30"/>
          <w:vertAlign w:val="subscript"/>
        </w:rPr>
        <w:t>!</w:t>
      </w:r>
      <w:r>
        <w:rPr>
          <w:rFonts w:ascii="Cambria Math" w:eastAsia="Cambria Math" w:hAnsi="Cambria Math" w:cs="Cambria Math"/>
          <w:color w:val="000000"/>
          <w:sz w:val="18"/>
          <w:szCs w:val="18"/>
        </w:rPr>
        <w:t xml:space="preserve"> </w:t>
      </w:r>
    </w:p>
    <w:p w14:paraId="52B8641F" w14:textId="77777777" w:rsidR="00F60F67" w:rsidRDefault="00000000">
      <w:pPr>
        <w:widowControl w:val="0"/>
        <w:pBdr>
          <w:top w:val="nil"/>
          <w:left w:val="nil"/>
          <w:bottom w:val="nil"/>
          <w:right w:val="nil"/>
          <w:between w:val="nil"/>
        </w:pBdr>
        <w:spacing w:before="320" w:line="346" w:lineRule="auto"/>
        <w:ind w:left="447" w:right="368" w:firstLine="57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Giá trị E càng cao phản ánh phân bổ thị phần càng phân tán (ít tập trung), còn  E thấp hàm ý tập trung cao. Để thuận tiện so sánh giữa các thị trường có số lượng  doanh nghiệp khác nhau, nhiều nghiên cứu chuẩn hóa entropy theo </w:t>
      </w:r>
      <w:r>
        <w:rPr>
          <w:rFonts w:ascii="Times New Roman" w:eastAsia="Times New Roman" w:hAnsi="Times New Roman" w:cs="Times New Roman"/>
          <w:b/>
          <w:bCs/>
          <w:color w:val="000000"/>
          <w:sz w:val="25"/>
          <w:szCs w:val="25"/>
        </w:rPr>
        <w:t xml:space="preserve">lnN, </w:t>
      </w:r>
      <w:r>
        <w:rPr>
          <w:rFonts w:ascii="Times New Roman" w:eastAsia="Times New Roman" w:hAnsi="Times New Roman" w:cs="Times New Roman"/>
          <w:color w:val="000000"/>
          <w:sz w:val="25"/>
          <w:szCs w:val="25"/>
        </w:rPr>
        <w:t xml:space="preserve">tạo ra chỉ số </w:t>
      </w:r>
      <w:r>
        <w:rPr>
          <w:rFonts w:ascii="Cambria Math" w:eastAsia="Cambria Math" w:hAnsi="Cambria Math" w:cs="Cambria Math"/>
          <w:color w:val="000000"/>
          <w:sz w:val="25"/>
          <w:szCs w:val="25"/>
        </w:rPr>
        <w:t>��</w:t>
      </w:r>
      <w:r>
        <w:rPr>
          <w:rFonts w:ascii="Times New Roman" w:eastAsia="Times New Roman" w:hAnsi="Times New Roman" w:cs="Times New Roman"/>
          <w:color w:val="000000"/>
          <w:sz w:val="25"/>
          <w:szCs w:val="25"/>
        </w:rPr>
        <w:t xml:space="preserve">*= </w:t>
      </w:r>
      <w:r>
        <w:rPr>
          <w:rFonts w:ascii="Cambria Math" w:eastAsia="Cambria Math" w:hAnsi="Cambria Math" w:cs="Cambria Math"/>
          <w:color w:val="000000"/>
          <w:sz w:val="25"/>
          <w:szCs w:val="25"/>
        </w:rPr>
        <w:t xml:space="preserve">�� </w:t>
      </w:r>
      <w:r>
        <w:rPr>
          <w:rFonts w:ascii="Times New Roman" w:eastAsia="Times New Roman" w:hAnsi="Times New Roman" w:cs="Times New Roman"/>
          <w:color w:val="000000"/>
          <w:sz w:val="25"/>
          <w:szCs w:val="25"/>
        </w:rPr>
        <w:t>/ln</w:t>
      </w:r>
      <w:r>
        <w:rPr>
          <w:rFonts w:ascii="Cambria Math" w:eastAsia="Cambria Math" w:hAnsi="Cambria Math" w:cs="Cambria Math"/>
          <w:color w:val="000000"/>
          <w:sz w:val="25"/>
          <w:szCs w:val="25"/>
        </w:rPr>
        <w:t xml:space="preserve">�� ∈ </w:t>
      </w:r>
      <w:r>
        <w:rPr>
          <w:rFonts w:ascii="Times New Roman" w:eastAsia="Times New Roman" w:hAnsi="Times New Roman" w:cs="Times New Roman"/>
          <w:color w:val="000000"/>
          <w:sz w:val="25"/>
          <w:szCs w:val="25"/>
        </w:rPr>
        <w:t xml:space="preserve">[0, 1].  </w:t>
      </w:r>
    </w:p>
    <w:p w14:paraId="06E5D7D3" w14:textId="77777777" w:rsidR="00F60F67" w:rsidRDefault="00000000">
      <w:pPr>
        <w:widowControl w:val="0"/>
        <w:pBdr>
          <w:top w:val="nil"/>
          <w:left w:val="nil"/>
          <w:bottom w:val="nil"/>
          <w:right w:val="nil"/>
          <w:between w:val="nil"/>
        </w:pBdr>
        <w:spacing w:before="158" w:line="344" w:lineRule="auto"/>
        <w:ind w:left="449" w:right="368" w:firstLine="56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Một đặc điểm nổi bật của Entropy Index so với các chỉ số tập trung truyền thống  là tính phân rã (decomposability). Điều này có nghĩa là chỉ số entropy không chỉ cung </w:t>
      </w:r>
    </w:p>
    <w:p w14:paraId="3A9575F8"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34 </w:t>
      </w:r>
    </w:p>
    <w:p w14:paraId="12DB8D67" w14:textId="77777777" w:rsidR="00F60F67" w:rsidRDefault="00000000">
      <w:pPr>
        <w:widowControl w:val="0"/>
        <w:pBdr>
          <w:top w:val="nil"/>
          <w:left w:val="nil"/>
          <w:bottom w:val="nil"/>
          <w:right w:val="nil"/>
          <w:between w:val="nil"/>
        </w:pBdr>
        <w:spacing w:before="652" w:line="345" w:lineRule="auto"/>
        <w:ind w:left="446" w:right="368" w:firstLine="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cấp một thước đo tổng quát về mức độ tập trung trên toàn thị trường, mà còn có thể được </w:t>
      </w:r>
      <w:r>
        <w:rPr>
          <w:rFonts w:ascii="Times New Roman" w:eastAsia="Times New Roman" w:hAnsi="Times New Roman" w:cs="Times New Roman"/>
          <w:color w:val="000000"/>
          <w:sz w:val="25"/>
          <w:szCs w:val="25"/>
        </w:rPr>
        <w:lastRenderedPageBreak/>
        <w:t xml:space="preserve">tách thành hai thành phần: tập trung trong nhóm (within-group) và tập trung  giữa các nhóm (between-group). Điều này xuất phát từ nền tảng đo lường bất bình  đẳng và đa dạng hóa trong kinh tế học thông tin và phân phối thu nhập (Theil, 1967),  sau đó được Jacquemin và Berry (1979) vận dụng vào phân tích. Ví dụ, trong bối  cảnh lĩnh vực bán lẻ có cấu trúc phân đoạn, cụ thể là việc phân chia thành các kênh  siêu thị, cửa hàng tiện lợi và TMĐT - tính phân rã của entropy cho phép cơ quan quản  lý nhận diện được liệu sự tập trung chủ yếu đến từ một số doanh nghiệp thống trị </w:t>
      </w:r>
    </w:p>
    <w:p w14:paraId="0BCC67E3" w14:textId="77777777" w:rsidR="00F60F67" w:rsidRDefault="00000000">
      <w:pPr>
        <w:widowControl w:val="0"/>
        <w:pBdr>
          <w:top w:val="nil"/>
          <w:left w:val="nil"/>
          <w:bottom w:val="nil"/>
          <w:right w:val="nil"/>
          <w:between w:val="nil"/>
        </w:pBdr>
        <w:spacing w:before="34" w:line="346" w:lineRule="auto"/>
        <w:ind w:left="446" w:right="368" w:hanging="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từng kênh hay do sự mất cân đối thị phần giữa các kênh. Nhờ vậy, Entropy  Index không chỉ phản ánh mức độ tập trung nói chung, mà còn là công cụ quan trọng  để xác định mức độ tập trung và để từ đó hỗ trợ xây dựng PLCT. </w:t>
      </w:r>
    </w:p>
    <w:p w14:paraId="3BBA1D2C" w14:textId="77777777" w:rsidR="00F60F67" w:rsidRDefault="00000000">
      <w:pPr>
        <w:widowControl w:val="0"/>
        <w:pBdr>
          <w:top w:val="nil"/>
          <w:left w:val="nil"/>
          <w:bottom w:val="nil"/>
          <w:right w:val="nil"/>
          <w:between w:val="nil"/>
        </w:pBdr>
        <w:spacing w:before="149" w:line="240" w:lineRule="auto"/>
        <w:ind w:left="101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b) Chỉ số Lerner </w:t>
      </w:r>
    </w:p>
    <w:p w14:paraId="6DFDF32E" w14:textId="77777777" w:rsidR="00F60F67" w:rsidRDefault="00000000">
      <w:pPr>
        <w:widowControl w:val="0"/>
        <w:pBdr>
          <w:top w:val="nil"/>
          <w:left w:val="nil"/>
          <w:bottom w:val="nil"/>
          <w:right w:val="nil"/>
          <w:between w:val="nil"/>
        </w:pBdr>
        <w:spacing w:before="268" w:line="344" w:lineRule="auto"/>
        <w:ind w:left="452" w:right="368" w:firstLine="56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Lerner (1934) đề xuất thước đo quyền lực thị trường từ mức chênh giữa giá bán  (</w:t>
      </w:r>
      <w:r>
        <w:rPr>
          <w:rFonts w:ascii="Cambria Math" w:eastAsia="Cambria Math" w:hAnsi="Cambria Math" w:cs="Cambria Math"/>
          <w:color w:val="000000"/>
          <w:sz w:val="25"/>
          <w:szCs w:val="25"/>
        </w:rPr>
        <w:t xml:space="preserve">��) </w:t>
      </w:r>
      <w:r>
        <w:rPr>
          <w:rFonts w:ascii="Times New Roman" w:eastAsia="Times New Roman" w:hAnsi="Times New Roman" w:cs="Times New Roman"/>
          <w:color w:val="000000"/>
          <w:sz w:val="25"/>
          <w:szCs w:val="25"/>
        </w:rPr>
        <w:t xml:space="preserve">và chi phí cận biên (MC) như sau:  </w:t>
      </w:r>
    </w:p>
    <w:p w14:paraId="42670F84" w14:textId="77777777" w:rsidR="00F60F67" w:rsidRDefault="00000000">
      <w:pPr>
        <w:widowControl w:val="0"/>
        <w:pBdr>
          <w:top w:val="nil"/>
          <w:left w:val="nil"/>
          <w:bottom w:val="nil"/>
          <w:right w:val="nil"/>
          <w:between w:val="nil"/>
        </w:pBdr>
        <w:spacing w:before="127" w:line="240" w:lineRule="auto"/>
        <w:jc w:val="center"/>
        <w:rPr>
          <w:rFonts w:ascii="Cambria Math" w:eastAsia="Cambria Math" w:hAnsi="Cambria Math" w:cs="Cambria Math"/>
          <w:color w:val="000000"/>
          <w:sz w:val="25"/>
          <w:szCs w:val="25"/>
        </w:rPr>
      </w:pPr>
      <w:r>
        <w:rPr>
          <w:rFonts w:ascii="Cambria Math" w:eastAsia="Cambria Math" w:hAnsi="Cambria Math" w:cs="Cambria Math"/>
          <w:color w:val="000000"/>
          <w:sz w:val="43"/>
          <w:szCs w:val="43"/>
          <w:vertAlign w:val="subscript"/>
        </w:rPr>
        <w:t xml:space="preserve">L = </w:t>
      </w:r>
      <w:r>
        <w:rPr>
          <w:rFonts w:ascii="Cambria Math" w:eastAsia="Cambria Math" w:hAnsi="Cambria Math" w:cs="Cambria Math"/>
          <w:color w:val="000000"/>
          <w:sz w:val="25"/>
          <w:szCs w:val="25"/>
        </w:rPr>
        <w:t xml:space="preserve">�� − ���� </w:t>
      </w:r>
    </w:p>
    <w:p w14:paraId="06CB12B3" w14:textId="77777777" w:rsidR="00F60F67" w:rsidRDefault="00000000">
      <w:pPr>
        <w:widowControl w:val="0"/>
        <w:pBdr>
          <w:top w:val="nil"/>
          <w:left w:val="nil"/>
          <w:bottom w:val="nil"/>
          <w:right w:val="nil"/>
          <w:between w:val="nil"/>
        </w:pBdr>
        <w:spacing w:line="240" w:lineRule="auto"/>
        <w:ind w:right="4493"/>
        <w:jc w:val="right"/>
        <w:rPr>
          <w:rFonts w:ascii="Cambria Math" w:eastAsia="Cambria Math" w:hAnsi="Cambria Math" w:cs="Cambria Math"/>
          <w:color w:val="000000"/>
          <w:sz w:val="25"/>
          <w:szCs w:val="25"/>
        </w:rPr>
      </w:pPr>
      <w:r>
        <w:rPr>
          <w:rFonts w:ascii="Cambria Math" w:eastAsia="Cambria Math" w:hAnsi="Cambria Math" w:cs="Cambria Math"/>
          <w:color w:val="000000"/>
          <w:sz w:val="25"/>
          <w:szCs w:val="25"/>
        </w:rPr>
        <w:t xml:space="preserve">�� </w:t>
      </w:r>
    </w:p>
    <w:p w14:paraId="3799050A" w14:textId="77777777" w:rsidR="00F60F67" w:rsidRDefault="00000000">
      <w:pPr>
        <w:widowControl w:val="0"/>
        <w:pBdr>
          <w:top w:val="nil"/>
          <w:left w:val="nil"/>
          <w:bottom w:val="nil"/>
          <w:right w:val="nil"/>
          <w:between w:val="nil"/>
        </w:pBdr>
        <w:spacing w:before="220" w:line="348" w:lineRule="auto"/>
        <w:ind w:left="443" w:right="368" w:firstLine="57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Chỉ số L </w:t>
      </w:r>
      <w:r>
        <w:rPr>
          <w:rFonts w:ascii="Cambria Math" w:eastAsia="Cambria Math" w:hAnsi="Cambria Math" w:cs="Cambria Math"/>
          <w:color w:val="000000"/>
          <w:sz w:val="25"/>
          <w:szCs w:val="25"/>
        </w:rPr>
        <w:t xml:space="preserve">∈ </w:t>
      </w:r>
      <w:r>
        <w:rPr>
          <w:rFonts w:ascii="Times New Roman" w:eastAsia="Times New Roman" w:hAnsi="Times New Roman" w:cs="Times New Roman"/>
          <w:color w:val="000000"/>
          <w:sz w:val="25"/>
          <w:szCs w:val="25"/>
        </w:rPr>
        <w:t xml:space="preserve">[0,1) càng cao cho thấy khả năng định giá vượt chi phí càng lớn.  Trong mô hình độc quyền tĩnh đơn giản, tồn tại liên hệ </w:t>
      </w:r>
      <w:r>
        <w:rPr>
          <w:rFonts w:ascii="Cambria Math" w:eastAsia="Cambria Math" w:hAnsi="Cambria Math" w:cs="Cambria Math"/>
          <w:color w:val="000000"/>
          <w:sz w:val="25"/>
          <w:szCs w:val="25"/>
        </w:rPr>
        <w:t xml:space="preserve">�� </w:t>
      </w:r>
      <w:r>
        <w:rPr>
          <w:rFonts w:ascii="Times New Roman" w:eastAsia="Times New Roman" w:hAnsi="Times New Roman" w:cs="Times New Roman"/>
          <w:color w:val="000000"/>
          <w:sz w:val="25"/>
          <w:szCs w:val="25"/>
        </w:rPr>
        <w:t>= 1/</w:t>
      </w:r>
      <w:r>
        <w:rPr>
          <w:rFonts w:ascii="Cambria Math" w:eastAsia="Cambria Math" w:hAnsi="Cambria Math" w:cs="Cambria Math"/>
          <w:color w:val="000000"/>
          <w:sz w:val="25"/>
          <w:szCs w:val="25"/>
        </w:rPr>
        <w:t xml:space="preserve">�� </w:t>
      </w:r>
      <w:r>
        <w:rPr>
          <w:rFonts w:ascii="Times New Roman" w:eastAsia="Times New Roman" w:hAnsi="Times New Roman" w:cs="Times New Roman"/>
          <w:color w:val="000000"/>
          <w:sz w:val="25"/>
          <w:szCs w:val="25"/>
        </w:rPr>
        <w:t xml:space="preserve">với ε là độ co giãn của  cầu theo giá (tính theo trị tuyệt đối), qua đó khẳng định rằng mức độ quyền lực thị trường phụ thuộc trực tiếp vào mức độ co giãn của cầu (Lerner, 1934). Về mặt lý  luận, Lerner Index đo lường trực tiếp “kết quả hành vi” (markup) thay vì thị phần,  nên được xem là cầu nối giữa ba yếu tố trong mô hình Structure-Conduct Performance (SCP) (Scherer &amp; Ross, 1990). </w:t>
      </w:r>
    </w:p>
    <w:p w14:paraId="04632A53" w14:textId="77777777" w:rsidR="00F60F67" w:rsidRDefault="00000000">
      <w:pPr>
        <w:widowControl w:val="0"/>
        <w:pBdr>
          <w:top w:val="nil"/>
          <w:left w:val="nil"/>
          <w:bottom w:val="nil"/>
          <w:right w:val="nil"/>
          <w:between w:val="nil"/>
        </w:pBdr>
        <w:spacing w:before="147" w:line="345" w:lineRule="auto"/>
        <w:ind w:left="443" w:right="367" w:firstLine="57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Thách thức lớn nhất trong việc áp dụng Lerner Index là khó quan sát trực tiếp  chi phí cận biên. Để khắc phục, các nghiên cứu hiện đại đã phát triển hai hướng tiếp  cận chính: (i) cách tiếp cận dựa trên hàm sản xuất (production approach), trong đó  markup được suy luận từ điều kiện tối ưu hóa chi phí đầu vào, sử dụng dữ liệu vi mô  ở cấp doanh nghiệp hoặc ngành (Hall, 1988; De Loecker &amp; Warzynski, 2012); và (ii)  mô hình cấu trúc cầu-cung (structural demand-supply estimation), trong đó các hệ số </w:t>
      </w:r>
    </w:p>
    <w:p w14:paraId="6B5B75E3" w14:textId="77777777" w:rsidR="00F60F67" w:rsidRDefault="00000000">
      <w:pPr>
        <w:widowControl w:val="0"/>
        <w:pBdr>
          <w:top w:val="nil"/>
          <w:left w:val="nil"/>
          <w:bottom w:val="nil"/>
          <w:right w:val="nil"/>
          <w:between w:val="nil"/>
        </w:pBdr>
        <w:spacing w:before="34" w:line="240" w:lineRule="auto"/>
        <w:ind w:right="368"/>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cầu được ước lượng (ví dụ mô hình Berry-Levinsohn-Pakes), từ đó suy ra chi phí biên </w:t>
      </w:r>
    </w:p>
    <w:p w14:paraId="2EC66719"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35 </w:t>
      </w:r>
    </w:p>
    <w:p w14:paraId="0C6DF7A3" w14:textId="77777777" w:rsidR="00F60F67" w:rsidRDefault="00000000">
      <w:pPr>
        <w:widowControl w:val="0"/>
        <w:pBdr>
          <w:top w:val="nil"/>
          <w:left w:val="nil"/>
          <w:bottom w:val="nil"/>
          <w:right w:val="nil"/>
          <w:between w:val="nil"/>
        </w:pBdr>
        <w:spacing w:before="652" w:line="346" w:lineRule="auto"/>
        <w:ind w:left="443" w:right="36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và mức chênh lệch giữa giá bán sản phẩm và chi phí cận biên ở cấp sản phẩm (Nevo,  2001). Những phương pháp này đã tạo điều kiện cho việc ước lượng Lerner Index  trong các ngành có mức độ tập trung cao, bao gồm cả lĩnh vực bán lẻ, mặc dù kết quả vẫn nhạy cảm với đặc tả mô hình, chất lượng biến công cụ và tính chính xác của dữ liệu </w:t>
      </w:r>
      <w:r>
        <w:rPr>
          <w:rFonts w:ascii="Times New Roman" w:eastAsia="Times New Roman" w:hAnsi="Times New Roman" w:cs="Times New Roman"/>
          <w:color w:val="000000"/>
          <w:sz w:val="25"/>
          <w:szCs w:val="25"/>
        </w:rPr>
        <w:lastRenderedPageBreak/>
        <w:t xml:space="preserve">chi phí. </w:t>
      </w:r>
    </w:p>
    <w:p w14:paraId="71C1DB9D" w14:textId="77777777" w:rsidR="00F60F67" w:rsidRDefault="00000000">
      <w:pPr>
        <w:widowControl w:val="0"/>
        <w:pBdr>
          <w:top w:val="nil"/>
          <w:left w:val="nil"/>
          <w:bottom w:val="nil"/>
          <w:right w:val="nil"/>
          <w:between w:val="nil"/>
        </w:pBdr>
        <w:spacing w:before="154" w:line="345" w:lineRule="auto"/>
        <w:ind w:left="443" w:right="367" w:firstLine="56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Ưu điểm nổi bật của Lerner Index là phản ánh được quyền lực thị trường thực  tế thông qua chênh lệch giá-chi phí, do đó có giá trị đặc biệt trong việc đánh giá hành  vi lạm dụng vị trí thống lĩnh, tác động giá sau các vụ việc TTKT, hoặc mức độ chuyển  dịch chi phí (cost pass-through) sang người tiêu dùng (Hall, 1988; De Loecker &amp;  Warzynski, 2012). Tuy nhiên, chỉ số này đòi hỏi dữ liệu vi mô phong phú và thường  nhạy cảm với các giả định mô hình, nên trong thực tiễn PLCT, Lerner thường được  sử dụng như chỉ số bổ trợ, song hành với các thước đo cấu trúc như CR hay HHI  trong sàng lọc và thẩm định TTKT (Scherer &amp; Ross, 1990). Trong lĩnh vực bán lẻ,  Lerner Index đặc biệt hữu ích để đánh giá xem mức chênh lệch giữa giá bán sản phẩm  và chi phí cận biên có gia tăng bất thường trong các danh mục sản phẩm có rào cản  tìm kiếm cao hoặc tại các khu vực địa lý có mức độ cạnh tranh hạn chế. Kết quả phân  tích này cung cấp cơ sở khoa học để CQCT đưa ra biện pháp khắc phục phù hợp, bảo  đảm cân bằng lợi ích giữa doanh nghiệp, người tiêu dùng và thị trường. </w:t>
      </w:r>
    </w:p>
    <w:p w14:paraId="3513071A" w14:textId="77777777" w:rsidR="00F60F67" w:rsidRDefault="00000000">
      <w:pPr>
        <w:widowControl w:val="0"/>
        <w:pBdr>
          <w:top w:val="nil"/>
          <w:left w:val="nil"/>
          <w:bottom w:val="nil"/>
          <w:right w:val="nil"/>
          <w:between w:val="nil"/>
        </w:pBdr>
        <w:spacing w:before="149" w:line="240" w:lineRule="auto"/>
        <w:ind w:left="101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c) Chỉ số Panzar-Rosse H-Statistic </w:t>
      </w:r>
    </w:p>
    <w:p w14:paraId="36044E08" w14:textId="77777777" w:rsidR="00F60F67" w:rsidRDefault="00000000">
      <w:pPr>
        <w:widowControl w:val="0"/>
        <w:pBdr>
          <w:top w:val="nil"/>
          <w:left w:val="nil"/>
          <w:bottom w:val="nil"/>
          <w:right w:val="nil"/>
          <w:between w:val="nil"/>
        </w:pBdr>
        <w:spacing w:before="268" w:line="337" w:lineRule="auto"/>
        <w:ind w:left="446" w:right="368" w:firstLine="56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Panzar và Rosse (1987) xây dựng một kiểm định trạng thái cạnh tranh dài hạn  dựa trên tổng co giãn doanh thu đối với chi phí đầu vào. Gọi RRR là doanh thu và w</w:t>
      </w:r>
      <w:r>
        <w:rPr>
          <w:rFonts w:ascii="Times New Roman" w:eastAsia="Times New Roman" w:hAnsi="Times New Roman" w:cs="Times New Roman"/>
          <w:color w:val="000000"/>
          <w:sz w:val="16"/>
          <w:szCs w:val="16"/>
        </w:rPr>
        <w:t xml:space="preserve">k </w:t>
      </w:r>
      <w:r>
        <w:rPr>
          <w:rFonts w:ascii="Times New Roman" w:eastAsia="Times New Roman" w:hAnsi="Times New Roman" w:cs="Times New Roman"/>
          <w:color w:val="000000"/>
          <w:sz w:val="25"/>
          <w:szCs w:val="25"/>
        </w:rPr>
        <w:t xml:space="preserve">là các loại chi phí đầu vào (lao động, vốn, đầu vào trung gian…), thống kê Panzar Rosse H-Statistic (H) được xác định như sau: </w:t>
      </w:r>
    </w:p>
    <w:p w14:paraId="5E325DB9" w14:textId="77777777" w:rsidR="00F60F67" w:rsidRDefault="00000000">
      <w:pPr>
        <w:widowControl w:val="0"/>
        <w:pBdr>
          <w:top w:val="nil"/>
          <w:left w:val="nil"/>
          <w:bottom w:val="nil"/>
          <w:right w:val="nil"/>
          <w:between w:val="nil"/>
        </w:pBdr>
        <w:spacing w:before="150" w:line="240" w:lineRule="auto"/>
        <w:ind w:right="3790"/>
        <w:jc w:val="right"/>
        <w:rPr>
          <w:rFonts w:ascii="Cambria Math" w:eastAsia="Cambria Math" w:hAnsi="Cambria Math" w:cs="Cambria Math"/>
          <w:color w:val="000000"/>
          <w:sz w:val="23"/>
          <w:szCs w:val="23"/>
        </w:rPr>
      </w:pPr>
      <w:r>
        <w:rPr>
          <w:rFonts w:ascii="Cambria Math" w:eastAsia="Cambria Math" w:hAnsi="Cambria Math" w:cs="Cambria Math"/>
          <w:color w:val="000000"/>
          <w:sz w:val="25"/>
          <w:szCs w:val="25"/>
        </w:rPr>
        <w:t xml:space="preserve">�� = </w:t>
      </w:r>
      <w:r>
        <w:rPr>
          <w:rFonts w:ascii="Cambria Math" w:eastAsia="Cambria Math" w:hAnsi="Cambria Math" w:cs="Cambria Math"/>
          <w:color w:val="000000"/>
          <w:sz w:val="32"/>
          <w:szCs w:val="32"/>
        </w:rPr>
        <w:t xml:space="preserve">∑ </w:t>
      </w:r>
      <w:r>
        <w:rPr>
          <w:rFonts w:ascii="Cambria Math" w:eastAsia="Cambria Math" w:hAnsi="Cambria Math" w:cs="Cambria Math"/>
          <w:color w:val="000000"/>
          <w:sz w:val="38"/>
          <w:szCs w:val="38"/>
          <w:vertAlign w:val="superscript"/>
        </w:rPr>
        <w:t>!"#$</w:t>
      </w:r>
      <w:r>
        <w:rPr>
          <w:rFonts w:ascii="Cambria Math" w:eastAsia="Cambria Math" w:hAnsi="Cambria Math" w:cs="Cambria Math"/>
          <w:color w:val="000000"/>
          <w:sz w:val="23"/>
          <w:szCs w:val="23"/>
        </w:rPr>
        <w:t xml:space="preserve"> </w:t>
      </w:r>
    </w:p>
    <w:p w14:paraId="4D4273B9" w14:textId="77777777" w:rsidR="00F60F67" w:rsidRDefault="00000000">
      <w:pPr>
        <w:widowControl w:val="0"/>
        <w:pBdr>
          <w:top w:val="nil"/>
          <w:left w:val="nil"/>
          <w:bottom w:val="nil"/>
          <w:right w:val="nil"/>
          <w:between w:val="nil"/>
        </w:pBdr>
        <w:spacing w:line="240" w:lineRule="auto"/>
        <w:ind w:right="3745"/>
        <w:jc w:val="right"/>
        <w:rPr>
          <w:rFonts w:ascii="Cambria Math" w:eastAsia="Cambria Math" w:hAnsi="Cambria Math" w:cs="Cambria Math"/>
          <w:color w:val="000000"/>
          <w:sz w:val="23"/>
          <w:szCs w:val="23"/>
        </w:rPr>
      </w:pPr>
      <w:r>
        <w:rPr>
          <w:rFonts w:ascii="Cambria Math" w:eastAsia="Cambria Math" w:hAnsi="Cambria Math" w:cs="Cambria Math"/>
          <w:color w:val="000000"/>
          <w:sz w:val="38"/>
          <w:szCs w:val="38"/>
          <w:vertAlign w:val="subscript"/>
        </w:rPr>
        <w:t xml:space="preserve">!"#%&amp; </w:t>
      </w:r>
      <w:r>
        <w:rPr>
          <w:rFonts w:ascii="Cambria Math" w:eastAsia="Cambria Math" w:hAnsi="Cambria Math" w:cs="Cambria Math"/>
          <w:color w:val="000000"/>
          <w:sz w:val="23"/>
          <w:szCs w:val="23"/>
        </w:rPr>
        <w:t xml:space="preserve">( </w:t>
      </w:r>
    </w:p>
    <w:p w14:paraId="095E612B" w14:textId="77777777" w:rsidR="00F60F67" w:rsidRDefault="00000000">
      <w:pPr>
        <w:widowControl w:val="0"/>
        <w:pBdr>
          <w:top w:val="nil"/>
          <w:left w:val="nil"/>
          <w:bottom w:val="nil"/>
          <w:right w:val="nil"/>
          <w:between w:val="nil"/>
        </w:pBdr>
        <w:spacing w:before="238" w:line="348" w:lineRule="auto"/>
        <w:ind w:left="441" w:right="367"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điều kiện cạnh tranh hoàn hảo dài hạn, khi chi phí đầu vào tăng, giá bán  và doanh thu cũng tăng tỷ lệ thuận, do đó </w:t>
      </w:r>
      <w:r>
        <w:rPr>
          <w:rFonts w:ascii="Cambria Math" w:eastAsia="Cambria Math" w:hAnsi="Cambria Math" w:cs="Cambria Math"/>
          <w:color w:val="000000"/>
          <w:sz w:val="25"/>
          <w:szCs w:val="25"/>
        </w:rPr>
        <w:t>��</w:t>
      </w:r>
      <w:r>
        <w:rPr>
          <w:rFonts w:ascii="Times New Roman" w:eastAsia="Times New Roman" w:hAnsi="Times New Roman" w:cs="Times New Roman"/>
          <w:color w:val="000000"/>
          <w:sz w:val="25"/>
          <w:szCs w:val="25"/>
        </w:rPr>
        <w:t>≈1; trong thị trường độc quyền, việc chi  phí tăng làm giảm sản lượng tối ưu, kéo theo doanh thu giảm, nên H&lt;0; còn trong  trường hợp cạnh tranh độc quyền, giá trị của H thường nằm trong khoảng 0&lt;H&lt;1. Do  dựa trên mối quan hệ giữa doanh thu và giá đầu vào, chỉ số Panzar-Rosse có ưu thế</w:t>
      </w:r>
    </w:p>
    <w:p w14:paraId="04C263C0"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36 </w:t>
      </w:r>
    </w:p>
    <w:p w14:paraId="307967E9" w14:textId="77777777" w:rsidR="00F60F67" w:rsidRDefault="00000000">
      <w:pPr>
        <w:widowControl w:val="0"/>
        <w:pBdr>
          <w:top w:val="nil"/>
          <w:left w:val="nil"/>
          <w:bottom w:val="nil"/>
          <w:right w:val="nil"/>
          <w:between w:val="nil"/>
        </w:pBdr>
        <w:spacing w:before="652" w:line="348" w:lineRule="auto"/>
        <w:ind w:left="444" w:right="368" w:firstLine="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quan trọng là không đòi hỏi dữ liệu chi tiết về thị phần, điều này đặc biệt hữu ích  trong những thị trường mà thông tin bị thiếu minh bạch hoặc khó tiếp cận. </w:t>
      </w:r>
    </w:p>
    <w:p w14:paraId="3C942119" w14:textId="77777777" w:rsidR="00F60F67" w:rsidRDefault="00000000">
      <w:pPr>
        <w:widowControl w:val="0"/>
        <w:pBdr>
          <w:top w:val="nil"/>
          <w:left w:val="nil"/>
          <w:bottom w:val="nil"/>
          <w:right w:val="nil"/>
          <w:between w:val="nil"/>
        </w:pBdr>
        <w:spacing w:before="147" w:line="346" w:lineRule="auto"/>
        <w:ind w:left="441" w:right="368"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các nghiên cứu trước đây, chỉ số PR-H đã được ứng dụng rộng rãi trong  nghiên cứu ngành ngân hàng, nơi dữ liệu về chi phí đầu vào có thể quan sát tương đối  đầy đủ. Các nghiên cứu như Shaffer (1993) và Bikker và Haaf (2002) đều sử dụng  H-Statistic để đánh giá cường độ cạnh tranh tại các thị trường tài chính. Tuy nhiên,  để đảm </w:t>
      </w:r>
      <w:r>
        <w:rPr>
          <w:rFonts w:ascii="Times New Roman" w:eastAsia="Times New Roman" w:hAnsi="Times New Roman" w:cs="Times New Roman"/>
          <w:color w:val="000000"/>
          <w:sz w:val="25"/>
          <w:szCs w:val="25"/>
        </w:rPr>
        <w:lastRenderedPageBreak/>
        <w:t xml:space="preserve">bảo độ tin cậy, việc áp dụng phương pháp này cần thỏa mãn một số điều kiện  khắt khe, bao gồm giả định cân bằng dài hạn của thị trường, tính ngoại sinh của các  biến giá đầu vào, cũng như việc đặc tả đúng hàm doanh thu (thường dưới dạng log </w:t>
      </w:r>
    </w:p>
    <w:p w14:paraId="19C6928D" w14:textId="77777777" w:rsidR="00F60F67" w:rsidRDefault="00000000">
      <w:pPr>
        <w:widowControl w:val="0"/>
        <w:pBdr>
          <w:top w:val="nil"/>
          <w:left w:val="nil"/>
          <w:bottom w:val="nil"/>
          <w:right w:val="nil"/>
          <w:between w:val="nil"/>
        </w:pBdr>
        <w:spacing w:before="29" w:line="346" w:lineRule="auto"/>
        <w:ind w:left="444" w:right="368" w:firstLine="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log) và kiểm soát các biến quan trọng khác như quy mô hoặc mức cầu. Đặc biệt, việc  lựa chọn ra một biến số có thể thay thế (proxy variable) cho một đại lượng kinh tế quan trọng nhưng khó hoặc không thể quan sát trực tiếp cho giá đầu vào là vấn đề then chốt.  </w:t>
      </w:r>
    </w:p>
    <w:p w14:paraId="71F0F639" w14:textId="77777777" w:rsidR="00F60F67" w:rsidRDefault="00000000">
      <w:pPr>
        <w:widowControl w:val="0"/>
        <w:pBdr>
          <w:top w:val="nil"/>
          <w:left w:val="nil"/>
          <w:bottom w:val="nil"/>
          <w:right w:val="nil"/>
          <w:between w:val="nil"/>
        </w:pBdr>
        <w:spacing w:before="148" w:line="345" w:lineRule="auto"/>
        <w:ind w:left="441" w:right="368" w:firstLine="57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lĩnh vực bán lẻ, chỉ số PR-H có thể trở thành công cụ bổ trợ hữu ích cho  các thước đo truyền thống như CR và HHI. Cụ thể, nếu giá trị HHI cao đồng thời đi  kèm với chỉ số H thấp, điều đó là dấu hiệu cảnh báo về nguy cơ suy giảm cường độ cạnh tranh và cần được CQCT xem xét kỹ lưỡng. Ngược lại, nếu HHI tăng nhưng chỉ số H vẫn tiệm cận giá trị 1, điều này có thể hàm ý rằng áp lực cạnh tranh từ các kênh  thay thế vẫn đủ mạnh để kiềm chế sức mạnh thị trường của các doanh nghiệp lớn.  Phân tích này có ý nghĩa pháp lý rõ rệt, vì nó cho phép cơ quan quản lý thiết kế biện  pháp kiểm soát TTKT có mục tiêu, điều chỉnh theo địa bàn hoặc kênh phân phối cụ thể, thay vì áp dụng các biện pháp khắc phục. </w:t>
      </w:r>
    </w:p>
    <w:p w14:paraId="4422E217" w14:textId="77777777" w:rsidR="00F60F67" w:rsidRDefault="00000000">
      <w:pPr>
        <w:widowControl w:val="0"/>
        <w:pBdr>
          <w:top w:val="nil"/>
          <w:left w:val="nil"/>
          <w:bottom w:val="nil"/>
          <w:right w:val="nil"/>
          <w:between w:val="nil"/>
        </w:pBdr>
        <w:spacing w:before="154" w:line="240" w:lineRule="auto"/>
        <w:ind w:left="442"/>
        <w:rPr>
          <w:rFonts w:ascii="Times New Roman" w:eastAsia="Times New Roman" w:hAnsi="Times New Roman" w:cs="Times New Roman"/>
          <w:b/>
          <w:bCs/>
          <w:i/>
          <w:iCs/>
          <w:color w:val="000000"/>
          <w:sz w:val="25"/>
          <w:szCs w:val="25"/>
        </w:rPr>
      </w:pPr>
      <w:r>
        <w:rPr>
          <w:rFonts w:ascii="Times New Roman" w:eastAsia="Times New Roman" w:hAnsi="Times New Roman" w:cs="Times New Roman"/>
          <w:b/>
          <w:bCs/>
          <w:i/>
          <w:iCs/>
          <w:color w:val="000000"/>
          <w:sz w:val="25"/>
          <w:szCs w:val="25"/>
        </w:rPr>
        <w:t xml:space="preserve">2.1.4. Tác động của tập trung kinh tế </w:t>
      </w:r>
    </w:p>
    <w:p w14:paraId="09487017" w14:textId="77777777" w:rsidR="00F60F67" w:rsidRDefault="00000000">
      <w:pPr>
        <w:widowControl w:val="0"/>
        <w:pBdr>
          <w:top w:val="nil"/>
          <w:left w:val="nil"/>
          <w:bottom w:val="nil"/>
          <w:right w:val="nil"/>
          <w:between w:val="nil"/>
        </w:pBdr>
        <w:spacing w:before="263" w:line="346" w:lineRule="auto"/>
        <w:ind w:left="443" w:right="367" w:firstLine="56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Dưới góc độ kinh doanh thương mại, TTKT mang lại nhiều lợi ích cho doanh  nghiệp tham gia, nhưng đồng thời cũng tiềm ẩn những hệ quả tiêu cực đối với môi  trường cạnh tranh và người tiêu dùng. </w:t>
      </w:r>
    </w:p>
    <w:p w14:paraId="3B00CCC4" w14:textId="77777777" w:rsidR="00F60F67" w:rsidRDefault="00000000">
      <w:pPr>
        <w:widowControl w:val="0"/>
        <w:pBdr>
          <w:top w:val="nil"/>
          <w:left w:val="nil"/>
          <w:bottom w:val="nil"/>
          <w:right w:val="nil"/>
          <w:between w:val="nil"/>
        </w:pBdr>
        <w:spacing w:before="154" w:line="345" w:lineRule="auto"/>
        <w:ind w:left="441" w:right="368" w:firstLine="584"/>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Thứ nhất, tác động đối với doanh nghiệp</w:t>
      </w:r>
      <w:r>
        <w:rPr>
          <w:rFonts w:ascii="Times New Roman" w:eastAsia="Times New Roman" w:hAnsi="Times New Roman" w:cs="Times New Roman"/>
          <w:color w:val="000000"/>
          <w:sz w:val="25"/>
          <w:szCs w:val="25"/>
        </w:rPr>
        <w:t xml:space="preserve">, TTKT cho phép các doanh nghiệp gia  tăng hiệu quả hoạt động nhờ tận dụng quy mô và phạm vi kinh doanh rộng lớn hơn.  Lý thuyết kinh tế công nghiệp chỉ ra rằng sáp nhập hoặc mua lại có thể tạo ra hiệu  ứng cộng hưởng (synergy), giúp giảm chi phí biên và gia tăng lợi thế cạnh tranh </w:t>
      </w:r>
    </w:p>
    <w:p w14:paraId="28BC4DB3"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37 </w:t>
      </w:r>
    </w:p>
    <w:p w14:paraId="5AFDA557" w14:textId="77777777" w:rsidR="00F60F67" w:rsidRDefault="00000000">
      <w:pPr>
        <w:widowControl w:val="0"/>
        <w:pBdr>
          <w:top w:val="nil"/>
          <w:left w:val="nil"/>
          <w:bottom w:val="nil"/>
          <w:right w:val="nil"/>
          <w:between w:val="nil"/>
        </w:pBdr>
        <w:spacing w:before="652" w:line="345" w:lineRule="auto"/>
        <w:ind w:left="441" w:right="368" w:firstLine="1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(Porter, 1985). Trong lĩnh vực bán lẻ, TTKT giúp doanh nghiệp mở rộng hệ thống  phân phối, đa dạng hóa danh mục sản phẩm và cải thiện khả năng thương lượng với  nhà cung cấp cũng như khách hàng (Phạm Thị Vân Anh, 2018). Nghiên cứu của  Scherer và Ross (1990) cũng cho thấy các vụ việc TTKT có khả năng cải thiện hiệu  quả sử dụng nguồn lực thông qua việc hợp nhất công nghệ, năng lực quản trị và cơ  sở hạ tầng. Ở cấp độ vĩ mô, TTKT góp phần hạn chế sự phân tán nguồn lực, giúp hình  thành những doanh nghiệp có quy mô lớn hơn, có khả năng cạnh tranh hiệu quả trên  cả thị trường trong nước và quốc tế (Davies &amp; Lyons, 2007). </w:t>
      </w:r>
    </w:p>
    <w:p w14:paraId="4FBCE83A" w14:textId="77777777" w:rsidR="00F60F67" w:rsidRDefault="00000000">
      <w:pPr>
        <w:widowControl w:val="0"/>
        <w:pBdr>
          <w:top w:val="nil"/>
          <w:left w:val="nil"/>
          <w:bottom w:val="nil"/>
          <w:right w:val="nil"/>
          <w:between w:val="nil"/>
        </w:pBdr>
        <w:spacing w:before="154" w:line="345" w:lineRule="auto"/>
        <w:ind w:left="441" w:right="366" w:firstLine="584"/>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Thứ hai, tác động đối với thị trường</w:t>
      </w:r>
      <w:r>
        <w:rPr>
          <w:rFonts w:ascii="Times New Roman" w:eastAsia="Times New Roman" w:hAnsi="Times New Roman" w:cs="Times New Roman"/>
          <w:color w:val="000000"/>
          <w:sz w:val="25"/>
          <w:szCs w:val="25"/>
        </w:rPr>
        <w:t xml:space="preserve">, TTKT không chỉ mang lại lợi ích cho  doanh nghiệp tham gia, mà còn góp phần điều chỉnh lại cấu trúc thị trường. Khi các  doanh </w:t>
      </w:r>
      <w:r>
        <w:rPr>
          <w:rFonts w:ascii="Times New Roman" w:eastAsia="Times New Roman" w:hAnsi="Times New Roman" w:cs="Times New Roman"/>
          <w:color w:val="000000"/>
          <w:sz w:val="25"/>
          <w:szCs w:val="25"/>
        </w:rPr>
        <w:lastRenderedPageBreak/>
        <w:t xml:space="preserve">nghiệp nhỏ lẻ hợp nhất, thị trường trở nên ít phân mảnh hơn, qua đó tăng cường  hiệu quả phân bổ nguồn lực và giảm thiểu sự lãng phí do cạnh tranh manh mún  (Cortés et al., 2021). Việc hình thành các chuỗi bán lẻ lớn thông qua TTKT giúp tối  ưu hóa mạng lưới cung ứng, tạo điều kiện phát triển mô hình phân phối hiện đại và  cải thiện chất lượng dịch vụ cho người tiêu dùng (Lê Danh Vĩnh, 2006). TTKT theo  chiều dọc còn cho phép doanh nghiệp kiểm soát tốt hơn chuỗi giá trị, giảm chi phí  giao dịch và hạn chế rủi ro từ sự biến động của thị trường (Williamson, 1975). </w:t>
      </w:r>
    </w:p>
    <w:p w14:paraId="1D25C8F2" w14:textId="77777777" w:rsidR="00F60F67" w:rsidRDefault="00000000">
      <w:pPr>
        <w:widowControl w:val="0"/>
        <w:pBdr>
          <w:top w:val="nil"/>
          <w:left w:val="nil"/>
          <w:bottom w:val="nil"/>
          <w:right w:val="nil"/>
          <w:between w:val="nil"/>
        </w:pBdr>
        <w:spacing w:before="154" w:line="345" w:lineRule="auto"/>
        <w:ind w:left="443" w:right="367" w:firstLine="583"/>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Thứ ba, tác động tiêu cực đối với cạnh tranh và người tiêu dùng</w:t>
      </w:r>
      <w:r>
        <w:rPr>
          <w:rFonts w:ascii="Times New Roman" w:eastAsia="Times New Roman" w:hAnsi="Times New Roman" w:cs="Times New Roman"/>
          <w:color w:val="000000"/>
          <w:sz w:val="25"/>
          <w:szCs w:val="25"/>
        </w:rPr>
        <w:t xml:space="preserve">, bên cạnh lợi  ích, TTKT cũng tiềm ẩn nhiều rủi ro. Khi doanh nghiệp sau TTKT chiếm vị trí thống  lĩnh hoặc có sức mạnh thị trường đáng kể, họ có thể lạm dụng quyền lực này để tăng  giá, giảm chất lượng sản phẩm hoặc hạn chế sự đổi mới (Bain, 1956; Stigler, 1964).  Phương pháp SSNIP (Small but Significant and Non-transitory Increase in Price),  vốn được nhiều CQCT trên thế giới sử dụng, cho thấy các doanh nghiệp sau TTKT  có xu hướng thử nghiệm khả năng tăng giá khoảng 5% để đánh giá mức độ thay thế của sản phẩm trong một năm (Davies &amp; Lyons, 2008). Nếu người tiêu dùng khó  chuyển sang sản phẩm thay thế, điều đó phản ánh nguy cơ độc quyền tiềm ẩn. Ngoài  ra, TTKT có thể dẫn đến sự hình thành các tập đoàn lớn có khả năng loại bỏ đối thủ </w:t>
      </w:r>
    </w:p>
    <w:p w14:paraId="4D9AB784" w14:textId="77777777" w:rsidR="00F60F67" w:rsidRDefault="00000000">
      <w:pPr>
        <w:widowControl w:val="0"/>
        <w:pBdr>
          <w:top w:val="nil"/>
          <w:left w:val="nil"/>
          <w:bottom w:val="nil"/>
          <w:right w:val="nil"/>
          <w:between w:val="nil"/>
        </w:pBdr>
        <w:spacing w:before="29" w:line="344" w:lineRule="auto"/>
        <w:ind w:left="452" w:right="368" w:hanging="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cạnh tranh yếu hơn, qua đó làm suy giảm sự đa dạng và năng động của thị trường  (Ahern, 2024).</w:t>
      </w:r>
    </w:p>
    <w:p w14:paraId="437F275B"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38 </w:t>
      </w:r>
    </w:p>
    <w:p w14:paraId="0015B730" w14:textId="77777777" w:rsidR="00F60F67" w:rsidRDefault="00000000">
      <w:pPr>
        <w:widowControl w:val="0"/>
        <w:pBdr>
          <w:top w:val="nil"/>
          <w:left w:val="nil"/>
          <w:bottom w:val="nil"/>
          <w:right w:val="nil"/>
          <w:between w:val="nil"/>
        </w:pBdr>
        <w:spacing w:before="652" w:line="346" w:lineRule="auto"/>
        <w:ind w:left="443" w:right="367" w:firstLine="583"/>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Thứ tư, tác động gián tiếp đối với doanh nghiệp không tham gia, </w:t>
      </w:r>
      <w:r>
        <w:rPr>
          <w:rFonts w:ascii="Times New Roman" w:eastAsia="Times New Roman" w:hAnsi="Times New Roman" w:cs="Times New Roman"/>
          <w:color w:val="000000"/>
          <w:sz w:val="25"/>
          <w:szCs w:val="25"/>
        </w:rPr>
        <w:t xml:space="preserve">TTKT không  làm thay đổi quy mô của các doanh nghiệp khác trên thị trường, nhưng gián tiếp làm  thay đổi năng lực cạnh tranh của họ. Khi các doanh nghiệp tham gia TTKT trở thành  những chủ thể có quy mô lớn, họ có thể tận dụng lợi thế về giá, công nghệ và thương  hiệu để tạo sức ép cạnh tranh lên các doanh nghiệp nhỏ lẻ, khiến các doanh nghiệp  này gặp khó khăn trong việc duy trì thị phần (Scherer &amp; Ross, 1990). </w:t>
      </w:r>
    </w:p>
    <w:p w14:paraId="5C2159D8" w14:textId="77777777" w:rsidR="00F60F67" w:rsidRDefault="00000000">
      <w:pPr>
        <w:widowControl w:val="0"/>
        <w:pBdr>
          <w:top w:val="nil"/>
          <w:left w:val="nil"/>
          <w:bottom w:val="nil"/>
          <w:right w:val="nil"/>
          <w:between w:val="nil"/>
        </w:pBdr>
        <w:spacing w:before="148" w:line="345" w:lineRule="auto"/>
        <w:ind w:left="443" w:right="368" w:firstLine="57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Tóm lại, TTKT có tác động hai mặt: (i) ở chiều tích cực, nó giúp doanh nghiệp  tận dụng hiệu quả kinh tế theo quy mô, tối ưu hóa nguồn lực và nâng cao năng lực  cạnh tranh; (ii) ở chiều tiêu cực, nó có thể tạo ra những cấu trúc thị trường kém cạnh  tranh, ảnh hưởng bất lợi đến người tiêu dùng và sự đa dạng của thị trường. Do đó,  TTKT vừa là công cụ thúc đẩy hiệu quả kinh doanh, vừa là nguồn gốc tiềm ẩn của  rủi ro độc quyền trong kinh tế thị trường hiện đại. </w:t>
      </w:r>
    </w:p>
    <w:p w14:paraId="06809029" w14:textId="77777777" w:rsidR="00F60F67" w:rsidRDefault="00000000">
      <w:pPr>
        <w:widowControl w:val="0"/>
        <w:pBdr>
          <w:top w:val="nil"/>
          <w:left w:val="nil"/>
          <w:bottom w:val="nil"/>
          <w:right w:val="nil"/>
          <w:between w:val="nil"/>
        </w:pBdr>
        <w:spacing w:before="154" w:line="240" w:lineRule="auto"/>
        <w:ind w:left="447"/>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2.2. Khái niệm, đặc điểm của lĩnh vực bán lẻ  </w:t>
      </w:r>
    </w:p>
    <w:p w14:paraId="0D272A19" w14:textId="77777777" w:rsidR="00F60F67" w:rsidRDefault="00000000">
      <w:pPr>
        <w:widowControl w:val="0"/>
        <w:pBdr>
          <w:top w:val="nil"/>
          <w:left w:val="nil"/>
          <w:bottom w:val="nil"/>
          <w:right w:val="nil"/>
          <w:between w:val="nil"/>
        </w:pBdr>
        <w:spacing w:before="263" w:line="240" w:lineRule="auto"/>
        <w:ind w:left="442"/>
        <w:rPr>
          <w:rFonts w:ascii="Times New Roman" w:eastAsia="Times New Roman" w:hAnsi="Times New Roman" w:cs="Times New Roman"/>
          <w:b/>
          <w:bCs/>
          <w:i/>
          <w:iCs/>
          <w:color w:val="000000"/>
          <w:sz w:val="25"/>
          <w:szCs w:val="25"/>
        </w:rPr>
      </w:pPr>
      <w:r>
        <w:rPr>
          <w:rFonts w:ascii="Times New Roman" w:eastAsia="Times New Roman" w:hAnsi="Times New Roman" w:cs="Times New Roman"/>
          <w:b/>
          <w:bCs/>
          <w:i/>
          <w:iCs/>
          <w:color w:val="000000"/>
          <w:sz w:val="25"/>
          <w:szCs w:val="25"/>
        </w:rPr>
        <w:t xml:space="preserve">2.2.1. Khái niệm bán lẻ </w:t>
      </w:r>
    </w:p>
    <w:p w14:paraId="3286B336" w14:textId="77777777" w:rsidR="00F60F67" w:rsidRDefault="00000000">
      <w:pPr>
        <w:widowControl w:val="0"/>
        <w:pBdr>
          <w:top w:val="nil"/>
          <w:left w:val="nil"/>
          <w:bottom w:val="nil"/>
          <w:right w:val="nil"/>
          <w:between w:val="nil"/>
        </w:pBdr>
        <w:spacing w:before="263" w:line="346" w:lineRule="auto"/>
        <w:ind w:left="441" w:right="367"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Trong kinh tế học cổ điển, khái niệm “bán lẻ” chưa được định nghĩa như một  phạm trù độc lập, tuy nhiên vai trò của hoạt động này đã được thừa nhận như mắt  xích cuối cùng trong lưu thông hàng hóa. Adam Smith (1776) khi bàn về các thương  nhân và nhà bán lẻ, đã cho rằng họ “</w:t>
      </w:r>
      <w:r>
        <w:rPr>
          <w:rFonts w:ascii="Times New Roman" w:eastAsia="Times New Roman" w:hAnsi="Times New Roman" w:cs="Times New Roman"/>
          <w:i/>
          <w:iCs/>
          <w:color w:val="000000"/>
          <w:sz w:val="25"/>
          <w:szCs w:val="25"/>
        </w:rPr>
        <w:t>cung cấp sản phẩm, dịch vụ cho mục đích tiêu  dùng của người dân</w:t>
      </w:r>
      <w:r>
        <w:rPr>
          <w:rFonts w:ascii="Times New Roman" w:eastAsia="Times New Roman" w:hAnsi="Times New Roman" w:cs="Times New Roman"/>
          <w:color w:val="000000"/>
          <w:sz w:val="25"/>
          <w:szCs w:val="25"/>
        </w:rPr>
        <w:t>”. Cách tiếp cận này cho thấy Smith xem bán lẻ là khâu đưa sản  phẩm từ lưu thông trung gian đến tay người tiêu dùng cuối cùng. Như đã đề cập ở trên, Alfred Marshall (1890) đã định nghĩa thị trường là “</w:t>
      </w:r>
      <w:r>
        <w:rPr>
          <w:rFonts w:ascii="Times New Roman" w:eastAsia="Times New Roman" w:hAnsi="Times New Roman" w:cs="Times New Roman"/>
          <w:i/>
          <w:iCs/>
          <w:color w:val="000000"/>
          <w:sz w:val="25"/>
          <w:szCs w:val="25"/>
        </w:rPr>
        <w:t>một nhóm người mua và  người bán có quan hệ đủ gần gũi để giá cả có xu hướng hình thành một cách thống  nhất và nhanh chóng</w:t>
      </w:r>
      <w:r>
        <w:rPr>
          <w:rFonts w:ascii="Times New Roman" w:eastAsia="Times New Roman" w:hAnsi="Times New Roman" w:cs="Times New Roman"/>
          <w:color w:val="000000"/>
          <w:sz w:val="25"/>
          <w:szCs w:val="25"/>
        </w:rPr>
        <w:t xml:space="preserve">”. Dù không đưa ra định nghĩa trực tiếp về bán lẻ, cách hiểu này  đã ngầm khẳng định bán lẻ chính là một phần của tập hợp quan hệ đó, nơi giá trị và  giá cả được xác lập trong các giao dịch nhỏ phục vụ nhu cầu tiêu dùng. </w:t>
      </w:r>
    </w:p>
    <w:p w14:paraId="7495E5F2" w14:textId="77777777" w:rsidR="00F60F67" w:rsidRDefault="00000000">
      <w:pPr>
        <w:widowControl w:val="0"/>
        <w:pBdr>
          <w:top w:val="nil"/>
          <w:left w:val="nil"/>
          <w:bottom w:val="nil"/>
          <w:right w:val="nil"/>
          <w:between w:val="nil"/>
        </w:pBdr>
        <w:spacing w:before="29" w:line="346" w:lineRule="auto"/>
        <w:ind w:left="443" w:right="367" w:firstLine="56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Bước sang thế kỷ XX, cùng với sự phát triển của marketing như một ngành khoa  học độc lập, bán lẻ mới được định nghĩa rõ ràng hơn với tư cách vừa là một chức  năng, vừa là một lĩnh vực trong nền kinh tế. Wroe Alderson (1957) cho rằng hoạt  động phân phối, trong đó có bán lẻ, có chức năng tạo ra “</w:t>
      </w:r>
      <w:r>
        <w:rPr>
          <w:rFonts w:ascii="Times New Roman" w:eastAsia="Times New Roman" w:hAnsi="Times New Roman" w:cs="Times New Roman"/>
          <w:i/>
          <w:iCs/>
          <w:color w:val="000000"/>
          <w:sz w:val="25"/>
          <w:szCs w:val="25"/>
        </w:rPr>
        <w:t>tiện ích về thời gian, địa  điểm và quyền sở hữu</w:t>
      </w:r>
      <w:r>
        <w:rPr>
          <w:rFonts w:ascii="Times New Roman" w:eastAsia="Times New Roman" w:hAnsi="Times New Roman" w:cs="Times New Roman"/>
          <w:color w:val="000000"/>
          <w:sz w:val="25"/>
          <w:szCs w:val="25"/>
        </w:rPr>
        <w:t xml:space="preserve">” cho khách hàng. Theo đó, bán lẻ giữ vai trò chuyển đổi các lô </w:t>
      </w:r>
    </w:p>
    <w:p w14:paraId="35A3721F"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39 </w:t>
      </w:r>
    </w:p>
    <w:p w14:paraId="5A5DD6D1" w14:textId="77777777" w:rsidR="00F60F67" w:rsidRDefault="00000000">
      <w:pPr>
        <w:widowControl w:val="0"/>
        <w:pBdr>
          <w:top w:val="nil"/>
          <w:left w:val="nil"/>
          <w:bottom w:val="nil"/>
          <w:right w:val="nil"/>
          <w:between w:val="nil"/>
        </w:pBdr>
        <w:spacing w:before="652" w:line="346" w:lineRule="auto"/>
        <w:ind w:left="443" w:right="36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hàng lớn thành những đơn vị nhỏ, phù hợp với nhu cầu của người tiêu dùng cá nhân.  Trên cơ sở đó, các lý thuyết của lĩnh vực bán lẻ, tiêu biểu là “vòng quay bán lẻ”  (wheel of retailing) do McNair khởi xướng và Hollander (1960) phát triển, đã lý giải  sự đổi mới loại hình bán lẻ và cấu trúc cạnh tranh, qua đó khẳng định bán lẻ là một  ngành có logic tổ chức riêng biệt. Bên cạnh đó, trong nghiên cứu về kênh phân phối,  Bucklin (1965) đã đưa ra nguyên tắc “hoãn lại - đầu cơ” (postponement-speculation),  cho thấy bán lẻ chính là khâu chịu trách nhiệm cuối cùng trong việc đồng bộ cung - </w:t>
      </w:r>
    </w:p>
    <w:p w14:paraId="5D06FBAC" w14:textId="77777777" w:rsidR="00F60F67" w:rsidRDefault="00000000">
      <w:pPr>
        <w:widowControl w:val="0"/>
        <w:pBdr>
          <w:top w:val="nil"/>
          <w:left w:val="nil"/>
          <w:bottom w:val="nil"/>
          <w:right w:val="nil"/>
          <w:between w:val="nil"/>
        </w:pBdr>
        <w:spacing w:before="29" w:line="346" w:lineRule="auto"/>
        <w:ind w:left="439" w:right="367" w:firstLine="1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cầu, thông qua khả năng chia nhỏ lô hàng và tiếp cận trực tiếp người tiêu dùng.  Từ nửa sau thế kỷ XX, các giáo trình marketing kinh điển đã chuẩn hóa định  nghĩa về bán lẻ. Kotler và Keller (1967) định nghĩa: “Bán lẻ bao gồm tất cả các hoạt  động liên quan đến việc bán hàng hóa hoặc dịch vụ trực tiếp cho người tiêu dùng cuối  cùng nhằm phục vụ mục đích cá nhân, phi thương mại”. Berman và Evans (2013)  cũng cho rằng bán lẻ là “</w:t>
      </w:r>
      <w:r>
        <w:rPr>
          <w:rFonts w:ascii="Times New Roman" w:eastAsia="Times New Roman" w:hAnsi="Times New Roman" w:cs="Times New Roman"/>
          <w:i/>
          <w:iCs/>
          <w:color w:val="000000"/>
          <w:sz w:val="25"/>
          <w:szCs w:val="25"/>
        </w:rPr>
        <w:t>toàn bộ các hoạt động và bước đi cuối cùng cần thiết để đưa  sản phẩm đến tay người tiêu dùng</w:t>
      </w:r>
      <w:r>
        <w:rPr>
          <w:rFonts w:ascii="Times New Roman" w:eastAsia="Times New Roman" w:hAnsi="Times New Roman" w:cs="Times New Roman"/>
          <w:color w:val="000000"/>
          <w:sz w:val="25"/>
          <w:szCs w:val="25"/>
        </w:rPr>
        <w:t xml:space="preserve">”. Levy, Weitz và Grewal (2019) bổ sung rằng bán  lẻ bao gồm toàn bộ hoạt động tạo ra và phân phối giá trị đến khách hàng thông qua  nhiều kênh khác nhau, bao gồm cửa hàng, phi cửa hàng và TMĐT. Trong khi đó,  dưới góc độ kinh tế học vi mô, Samuelson và Nordhaus (2010) cho rằng bán lẻ là một  cơ chế cụ thể trong thị trường hàng hóa, nơi diễn ra sự tương tác giữa người mua và  người bán nhằm xác định giá cả </w:t>
      </w:r>
      <w:r>
        <w:rPr>
          <w:rFonts w:ascii="Times New Roman" w:eastAsia="Times New Roman" w:hAnsi="Times New Roman" w:cs="Times New Roman"/>
          <w:color w:val="000000"/>
          <w:sz w:val="25"/>
          <w:szCs w:val="25"/>
        </w:rPr>
        <w:lastRenderedPageBreak/>
        <w:t xml:space="preserve">và số lượng giao dịch ở giai đoạn cuối cùng của quá  trình phân bổ nguồn lực khan hiếm.  </w:t>
      </w:r>
    </w:p>
    <w:p w14:paraId="6FF1D6F7" w14:textId="77777777" w:rsidR="00F60F67" w:rsidRDefault="00000000">
      <w:pPr>
        <w:widowControl w:val="0"/>
        <w:pBdr>
          <w:top w:val="nil"/>
          <w:left w:val="nil"/>
          <w:bottom w:val="nil"/>
          <w:right w:val="nil"/>
          <w:between w:val="nil"/>
        </w:pBdr>
        <w:spacing w:before="29" w:line="345" w:lineRule="auto"/>
        <w:ind w:left="441" w:right="368"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Trong thế kỷ XXI, khái niệm bán lẻ được mở rộng theo cả chiều thể chế và  không gian. Wrigley và Lowe (2002) cho rằng bán lẻ không chỉ đơn thuần là một cơ  chế trao đổi mà còn là một “hệ thống xã hội - không gian phức hợp”, được định hình  bởi tài chính, quy hoạch đô thị. Cách tiếp cận này khẳng định bán lẻ mang tính chất  của một thiết chế xã hội, chịu tác động từ các tập đoàn bán lẻ lớn. Bổ sung vào đó, và  cộng sự (2019) định nghĩa bán lẻ là “</w:t>
      </w:r>
      <w:r>
        <w:rPr>
          <w:rFonts w:ascii="Times New Roman" w:eastAsia="Times New Roman" w:hAnsi="Times New Roman" w:cs="Times New Roman"/>
          <w:i/>
          <w:iCs/>
          <w:color w:val="000000"/>
          <w:sz w:val="25"/>
          <w:szCs w:val="25"/>
        </w:rPr>
        <w:t>tập hợp các hoạt động kinh doanh nhằm gia  tăng giá trị cho sản phẩm và dịch vụ, được bán cho người tiêu dùng để phục vụ nhu  cầu cá nhân hoặc gia đình</w:t>
      </w:r>
      <w:r>
        <w:rPr>
          <w:rFonts w:ascii="Times New Roman" w:eastAsia="Times New Roman" w:hAnsi="Times New Roman" w:cs="Times New Roman"/>
          <w:color w:val="000000"/>
          <w:sz w:val="25"/>
          <w:szCs w:val="25"/>
        </w:rPr>
        <w:t>”. Định nghĩa này nhấn mạnh đặc điểm đa kênh và đa dạng  loại hình của bán lẻ trong bối cảnh kinh tế số, nhưng vẫn giữ yếu tố cốt lõi là phục vụ nhu cầu tiêu dùng cuối cùng.</w:t>
      </w:r>
    </w:p>
    <w:p w14:paraId="2BD0A7A2"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40 </w:t>
      </w:r>
    </w:p>
    <w:p w14:paraId="7EBBCCE3" w14:textId="77777777" w:rsidR="00F60F67" w:rsidRDefault="00000000">
      <w:pPr>
        <w:widowControl w:val="0"/>
        <w:pBdr>
          <w:top w:val="nil"/>
          <w:left w:val="nil"/>
          <w:bottom w:val="nil"/>
          <w:right w:val="nil"/>
          <w:between w:val="nil"/>
        </w:pBdr>
        <w:spacing w:before="652" w:line="346" w:lineRule="auto"/>
        <w:ind w:left="443" w:right="367" w:firstLine="57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w:t>
      </w:r>
      <w:r>
        <w:rPr>
          <w:rFonts w:ascii="Times New Roman" w:eastAsia="Times New Roman" w:hAnsi="Times New Roman" w:cs="Times New Roman"/>
          <w:i/>
          <w:iCs/>
          <w:color w:val="000000"/>
          <w:sz w:val="25"/>
          <w:szCs w:val="25"/>
        </w:rPr>
        <w:t xml:space="preserve">Hệ thống phân ngành công nghiệp Bắc Mỹ </w:t>
      </w:r>
      <w:r>
        <w:rPr>
          <w:rFonts w:ascii="Times New Roman" w:eastAsia="Times New Roman" w:hAnsi="Times New Roman" w:cs="Times New Roman"/>
          <w:color w:val="000000"/>
          <w:sz w:val="25"/>
          <w:szCs w:val="25"/>
        </w:rPr>
        <w:t xml:space="preserve">(NAICS), lĩnh vực bán lẻ được định nghĩa là bao gồm các cơ sở “chuyên thực hiện bán lẻ hàng hóa, thường  không kèm theo chế biến đáng kể, đồng thời cung cấp các dịch vụ phụ trợ liên quan  đến việc bán hàng” (U.S. Census Bureau, 2002). Trong khuôn khổ Tổ chức Thương  mại Thế giới (WTO), tài liệu W/120 và </w:t>
      </w:r>
      <w:r>
        <w:rPr>
          <w:rFonts w:ascii="Times New Roman" w:eastAsia="Times New Roman" w:hAnsi="Times New Roman" w:cs="Times New Roman"/>
          <w:i/>
          <w:iCs/>
          <w:color w:val="000000"/>
          <w:sz w:val="25"/>
          <w:szCs w:val="25"/>
        </w:rPr>
        <w:t xml:space="preserve">Danh mục sản phẩm trung tâm </w:t>
      </w:r>
      <w:r>
        <w:rPr>
          <w:rFonts w:ascii="Times New Roman" w:eastAsia="Times New Roman" w:hAnsi="Times New Roman" w:cs="Times New Roman"/>
          <w:color w:val="000000"/>
          <w:sz w:val="25"/>
          <w:szCs w:val="25"/>
        </w:rPr>
        <w:t xml:space="preserve">(CPC) của  Liên Hợp Quốc quy định bán lẻ là việc cung ứng hàng hóa cho cá nhân hoặc hộ gia  đình thông qua cửa hàng, ki-ốt hoặc hình thức lưu động, kèm theo dịch vụ phụ trợ,  đồng thời loại trừ hoạt động bán cho mục đích sản xuất (WTO, 1991; United Nations,  1998).  </w:t>
      </w:r>
    </w:p>
    <w:p w14:paraId="05B014E8" w14:textId="77777777" w:rsidR="00F60F67" w:rsidRDefault="00000000">
      <w:pPr>
        <w:widowControl w:val="0"/>
        <w:pBdr>
          <w:top w:val="nil"/>
          <w:left w:val="nil"/>
          <w:bottom w:val="nil"/>
          <w:right w:val="nil"/>
          <w:between w:val="nil"/>
        </w:pBdr>
        <w:spacing w:before="17" w:line="344" w:lineRule="auto"/>
        <w:ind w:left="441" w:right="368"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Tại Việt Nam, Nghị định số 09/2018/NĐ-CP</w:t>
      </w:r>
      <w:r>
        <w:rPr>
          <w:rFonts w:ascii="Times New Roman" w:eastAsia="Times New Roman" w:hAnsi="Times New Roman" w:cs="Times New Roman"/>
          <w:color w:val="000000"/>
          <w:sz w:val="27"/>
          <w:szCs w:val="27"/>
          <w:vertAlign w:val="superscript"/>
        </w:rPr>
        <w:t xml:space="preserve">1 </w:t>
      </w:r>
      <w:r>
        <w:rPr>
          <w:rFonts w:ascii="Times New Roman" w:eastAsia="Times New Roman" w:hAnsi="Times New Roman" w:cs="Times New Roman"/>
          <w:color w:val="000000"/>
          <w:sz w:val="25"/>
          <w:szCs w:val="25"/>
        </w:rPr>
        <w:t>định nghĩa “</w:t>
      </w:r>
      <w:r>
        <w:rPr>
          <w:rFonts w:ascii="Times New Roman" w:eastAsia="Times New Roman" w:hAnsi="Times New Roman" w:cs="Times New Roman"/>
          <w:i/>
          <w:iCs/>
          <w:color w:val="000000"/>
          <w:sz w:val="25"/>
          <w:szCs w:val="25"/>
        </w:rPr>
        <w:t>Bán lẻ là hoạt động  bán hàng hóa cho cá nhân, hộ gia đình, tổ chức khác để sử dụng vào mục đích tiêu  dùng</w:t>
      </w:r>
      <w:r>
        <w:rPr>
          <w:rFonts w:ascii="Times New Roman" w:eastAsia="Times New Roman" w:hAnsi="Times New Roman" w:cs="Times New Roman"/>
          <w:color w:val="000000"/>
          <w:sz w:val="25"/>
          <w:szCs w:val="25"/>
        </w:rPr>
        <w:t>” (Điều 3, Khoản 9). Như vậy, tiêu chí “</w:t>
      </w:r>
      <w:r>
        <w:rPr>
          <w:rFonts w:ascii="Times New Roman" w:eastAsia="Times New Roman" w:hAnsi="Times New Roman" w:cs="Times New Roman"/>
          <w:i/>
          <w:iCs/>
          <w:color w:val="000000"/>
          <w:sz w:val="25"/>
          <w:szCs w:val="25"/>
        </w:rPr>
        <w:t>mục đích tiêu dùng cuối cùng</w:t>
      </w:r>
      <w:r>
        <w:rPr>
          <w:rFonts w:ascii="Times New Roman" w:eastAsia="Times New Roman" w:hAnsi="Times New Roman" w:cs="Times New Roman"/>
          <w:color w:val="000000"/>
          <w:sz w:val="25"/>
          <w:szCs w:val="25"/>
        </w:rPr>
        <w:t xml:space="preserve">” đã được  pháp luật hóa để phân định ranh giới giữa bán buôn và bán lẻ. </w:t>
      </w:r>
    </w:p>
    <w:p w14:paraId="4F1EC63F" w14:textId="77777777" w:rsidR="00F60F67" w:rsidRDefault="00000000">
      <w:pPr>
        <w:widowControl w:val="0"/>
        <w:pBdr>
          <w:top w:val="nil"/>
          <w:left w:val="nil"/>
          <w:bottom w:val="nil"/>
          <w:right w:val="nil"/>
          <w:between w:val="nil"/>
        </w:pBdr>
        <w:spacing w:before="28" w:line="345" w:lineRule="auto"/>
        <w:ind w:left="443" w:right="367" w:firstLine="57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Từ những phân tích trên có thể khẳng định rằng khái niệm bán lẻ, mặc dù được  tiếp cận từ nhiều góc độ khác nhau, vẫn được xác định là hoạt động bán hàng hóa  hoặc dịch vụ trực tiếp cho người tiêu dùng cuối cùng nhằm thỏa mãn nhu cầu tiêu  dùng cá nhân hoặc hộ gia đình.  </w:t>
      </w:r>
    </w:p>
    <w:p w14:paraId="6AA8410A" w14:textId="77777777" w:rsidR="00F60F67" w:rsidRDefault="00000000">
      <w:pPr>
        <w:widowControl w:val="0"/>
        <w:pBdr>
          <w:top w:val="nil"/>
          <w:left w:val="nil"/>
          <w:bottom w:val="nil"/>
          <w:right w:val="nil"/>
          <w:between w:val="nil"/>
        </w:pBdr>
        <w:spacing w:before="154" w:line="240" w:lineRule="auto"/>
        <w:ind w:left="442"/>
        <w:rPr>
          <w:rFonts w:ascii="Times New Roman" w:eastAsia="Times New Roman" w:hAnsi="Times New Roman" w:cs="Times New Roman"/>
          <w:b/>
          <w:bCs/>
          <w:i/>
          <w:iCs/>
          <w:color w:val="000000"/>
          <w:sz w:val="25"/>
          <w:szCs w:val="25"/>
        </w:rPr>
      </w:pPr>
      <w:r>
        <w:rPr>
          <w:rFonts w:ascii="Times New Roman" w:eastAsia="Times New Roman" w:hAnsi="Times New Roman" w:cs="Times New Roman"/>
          <w:b/>
          <w:bCs/>
          <w:i/>
          <w:iCs/>
          <w:color w:val="000000"/>
          <w:sz w:val="25"/>
          <w:szCs w:val="25"/>
        </w:rPr>
        <w:t xml:space="preserve">2.2.2. Đặc điểm của lĩnh vực bán lẻ  </w:t>
      </w:r>
    </w:p>
    <w:p w14:paraId="53D41AE3" w14:textId="77777777" w:rsidR="00F60F67" w:rsidRDefault="00000000">
      <w:pPr>
        <w:widowControl w:val="0"/>
        <w:pBdr>
          <w:top w:val="nil"/>
          <w:left w:val="nil"/>
          <w:bottom w:val="nil"/>
          <w:right w:val="nil"/>
          <w:between w:val="nil"/>
        </w:pBdr>
        <w:spacing w:before="263" w:line="345" w:lineRule="auto"/>
        <w:ind w:left="441" w:right="367" w:firstLine="57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Bán lẻ là một trong những lĩnh vực trọng yếu trong của nền kinh tế, đóng vai  trò cầu nối giữa sản xuất và tiêu dùng. Đặc trưng cơ bản của bán lẻ chính là việc phân  phối hàng hóa và dịch vụ đến người tiêu dùng cuối cùng để phục vụ nhu cầu cá nhân,  chứ không phải cho mục đích thương mại hay tái phân phối (Berman &amp; Evans, 2018;  Levy et al., 2019). Như vậy, một khi hàng hóa được bán lẻ và tiêu dùng, vòng đời lưu  thông của chúng trên thị trường cơ bản khép lại. Đặc điểm này giúp phân biệt bán lẻ </w:t>
      </w:r>
    </w:p>
    <w:p w14:paraId="0B1852C8" w14:textId="77777777" w:rsidR="00F60F67" w:rsidRDefault="00000000">
      <w:pPr>
        <w:widowControl w:val="0"/>
        <w:pBdr>
          <w:top w:val="nil"/>
          <w:left w:val="nil"/>
          <w:bottom w:val="nil"/>
          <w:right w:val="nil"/>
          <w:between w:val="nil"/>
        </w:pBdr>
        <w:spacing w:before="34" w:line="240" w:lineRule="auto"/>
        <w:ind w:left="44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với các hoạt động thương mại khác như bán buôn hoặc phân phối công nghiệp. </w:t>
      </w:r>
    </w:p>
    <w:p w14:paraId="3F2C6DBE" w14:textId="77777777" w:rsidR="00F60F67" w:rsidRDefault="00000000">
      <w:pPr>
        <w:widowControl w:val="0"/>
        <w:pBdr>
          <w:top w:val="nil"/>
          <w:left w:val="nil"/>
          <w:bottom w:val="nil"/>
          <w:right w:val="nil"/>
          <w:between w:val="nil"/>
        </w:pBdr>
        <w:spacing w:before="263" w:line="348" w:lineRule="auto"/>
        <w:ind w:left="444" w:right="368" w:firstLine="582"/>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Thứ nhất, </w:t>
      </w:r>
      <w:r>
        <w:rPr>
          <w:rFonts w:ascii="Times New Roman" w:eastAsia="Times New Roman" w:hAnsi="Times New Roman" w:cs="Times New Roman"/>
          <w:color w:val="000000"/>
          <w:sz w:val="25"/>
          <w:szCs w:val="25"/>
        </w:rPr>
        <w:t xml:space="preserve">bán lẻ được nhận diện bởi chức năng phân phối hàng hóa và dịch vụ trực tiếp tới người tiêu dùng cuối cùng. Kotler và Keller (2016) nhấn mạnh rằng đặc  </w:t>
      </w:r>
    </w:p>
    <w:p w14:paraId="267AD683" w14:textId="77777777" w:rsidR="00F60F67" w:rsidRDefault="00000000">
      <w:pPr>
        <w:widowControl w:val="0"/>
        <w:pBdr>
          <w:top w:val="nil"/>
          <w:left w:val="nil"/>
          <w:bottom w:val="nil"/>
          <w:right w:val="nil"/>
          <w:between w:val="nil"/>
        </w:pBdr>
        <w:spacing w:before="821" w:line="225" w:lineRule="auto"/>
        <w:ind w:left="443" w:right="382" w:firstLine="1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vertAlign w:val="superscript"/>
        </w:rPr>
        <w:t xml:space="preserve">1 </w:t>
      </w:r>
      <w:r>
        <w:rPr>
          <w:rFonts w:ascii="Times New Roman" w:eastAsia="Times New Roman" w:hAnsi="Times New Roman" w:cs="Times New Roman"/>
          <w:color w:val="000000"/>
          <w:sz w:val="20"/>
          <w:szCs w:val="20"/>
        </w:rPr>
        <w:t>Nghị định số 09/2018/NĐ-CP của Chính phủ: Quy định chi tiết Luật thương mại và Luật Quản lý ngoại  thương về hoạt động mua bán hàng hóa và các hoạt động liên quan trực tiếp đến mua bán hàng hóa của nhà  đầu tư nước ngoài, tổ chức kinh tế có vốn đầu tư nước ngoài tại Việt Nam.</w:t>
      </w:r>
    </w:p>
    <w:p w14:paraId="518413D0"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41 </w:t>
      </w:r>
    </w:p>
    <w:p w14:paraId="52F9038E" w14:textId="77777777" w:rsidR="00F60F67" w:rsidRDefault="00000000">
      <w:pPr>
        <w:widowControl w:val="0"/>
        <w:pBdr>
          <w:top w:val="nil"/>
          <w:left w:val="nil"/>
          <w:bottom w:val="nil"/>
          <w:right w:val="nil"/>
          <w:between w:val="nil"/>
        </w:pBdr>
        <w:spacing w:before="652" w:line="346" w:lineRule="auto"/>
        <w:ind w:left="443" w:right="368" w:firstLine="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điểm này cho phép bán lẻ đóng vai trò quyết định trong việc hình thành và thoả mãn  nhu cầu tiêu dùng. Bán lẻ không chỉ cung ứng hàng hóa thiết yếu mà còn góp phần  kiến tạo “giá trị tiêu dùng” thông qua dịch vụ đi kèm, không gian mua sắm và trải  nghiệm khách hàng. </w:t>
      </w:r>
    </w:p>
    <w:p w14:paraId="360A3521" w14:textId="77777777" w:rsidR="00F60F67" w:rsidRDefault="00000000">
      <w:pPr>
        <w:widowControl w:val="0"/>
        <w:pBdr>
          <w:top w:val="nil"/>
          <w:left w:val="nil"/>
          <w:bottom w:val="nil"/>
          <w:right w:val="nil"/>
          <w:between w:val="nil"/>
        </w:pBdr>
        <w:spacing w:before="148" w:line="345" w:lineRule="auto"/>
        <w:ind w:left="441" w:right="368" w:firstLine="585"/>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Thứ hai, </w:t>
      </w:r>
      <w:r>
        <w:rPr>
          <w:rFonts w:ascii="Times New Roman" w:eastAsia="Times New Roman" w:hAnsi="Times New Roman" w:cs="Times New Roman"/>
          <w:color w:val="000000"/>
          <w:sz w:val="25"/>
          <w:szCs w:val="25"/>
        </w:rPr>
        <w:t xml:space="preserve">danh mục sản phẩm trong lĩnh vực bán lẻ có xu hướng đa dạng, phong  phú cả về chủng loại, chất lượng, mẫu mã và mức giá. Các nghiên cứu của Dawson  (2000) và Fernie &amp; Sparks (2019) chỉ ra rằng tính đa dạng sản phẩm là công cụ chiến  lược để nhà bán lẻ thỏa mãn nhu cầu phong phú của khách hàng, đồng thời tạo lợi thế </w:t>
      </w:r>
    </w:p>
    <w:p w14:paraId="40A504F6" w14:textId="77777777" w:rsidR="00F60F67" w:rsidRDefault="00000000">
      <w:pPr>
        <w:widowControl w:val="0"/>
        <w:pBdr>
          <w:top w:val="nil"/>
          <w:left w:val="nil"/>
          <w:bottom w:val="nil"/>
          <w:right w:val="nil"/>
          <w:between w:val="nil"/>
        </w:pBdr>
        <w:spacing w:before="34" w:line="345" w:lineRule="auto"/>
        <w:ind w:left="443" w:right="367" w:firstLine="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cạnh tranh. Trong các cửa hàng chuyên doanh, sản phẩm còn được phân loại theo  nhiều tiêu chí chi tiết như kích cỡ, màu sắc, chất liệu hay phong cách thiết kế (Varley,  2014), qua đó nâng cao khả năng cá nhân hóa và mở rộng phạm vi tiếp cận khách  hàng mục tiêu. </w:t>
      </w:r>
    </w:p>
    <w:p w14:paraId="15BC2045" w14:textId="77777777" w:rsidR="00F60F67" w:rsidRDefault="00000000">
      <w:pPr>
        <w:widowControl w:val="0"/>
        <w:pBdr>
          <w:top w:val="nil"/>
          <w:left w:val="nil"/>
          <w:bottom w:val="nil"/>
          <w:right w:val="nil"/>
          <w:between w:val="nil"/>
        </w:pBdr>
        <w:spacing w:before="154" w:line="345" w:lineRule="auto"/>
        <w:ind w:left="443" w:right="367" w:firstLine="583"/>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Thứ ba, </w:t>
      </w:r>
      <w:r>
        <w:rPr>
          <w:rFonts w:ascii="Times New Roman" w:eastAsia="Times New Roman" w:hAnsi="Times New Roman" w:cs="Times New Roman"/>
          <w:color w:val="000000"/>
          <w:sz w:val="25"/>
          <w:szCs w:val="25"/>
        </w:rPr>
        <w:t xml:space="preserve">hành vi tiêu dùng trong lĩnh vực bán lẻ được đặc trưng bởi tính độc lập  và đa dạng trong quyết định mua sắm. Mặc dù người tiêu dùng chịu ảnh hưởng từ các  chiến lược tiếp thị, quảng bá hay chiến lược giá của nhà bán lẻ, song quyết định cuối  cùng vẫn phụ thuộc vào nhu cầu cá nhân, thu nhập và hệ giá trị riêng (Kotler &amp; Keller,  2016). Nghiên cứu của Solomon et al. (2019) cũng nhấn mạnh rằng yếu tố tâm lý, xã  hội và văn hóa góp phần tạo nên sự phức tạp trong hành vi mua hàng. </w:t>
      </w:r>
    </w:p>
    <w:p w14:paraId="6D2EB4CE" w14:textId="77777777" w:rsidR="00F60F67" w:rsidRDefault="00000000">
      <w:pPr>
        <w:widowControl w:val="0"/>
        <w:pBdr>
          <w:top w:val="nil"/>
          <w:left w:val="nil"/>
          <w:bottom w:val="nil"/>
          <w:right w:val="nil"/>
          <w:between w:val="nil"/>
        </w:pBdr>
        <w:spacing w:before="149" w:line="345" w:lineRule="auto"/>
        <w:ind w:left="443" w:right="368" w:firstLine="583"/>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Thứ tư, </w:t>
      </w:r>
      <w:r>
        <w:rPr>
          <w:rFonts w:ascii="Times New Roman" w:eastAsia="Times New Roman" w:hAnsi="Times New Roman" w:cs="Times New Roman"/>
          <w:color w:val="000000"/>
          <w:sz w:val="25"/>
          <w:szCs w:val="25"/>
        </w:rPr>
        <w:t xml:space="preserve">bán lẻ tồn tại dưới nhiều hình thức tổ chức và mô hình kinh doanh khác  nhau, từ cửa hàng truyền thống, siêu thị, trung tâm thương mại, đến TMĐT và bán lẻ đa kênh (omni-channel). Sự đa dạng về hình thức tổ chức tạo ra môi trường cạnh  tranh cao, khi nhiều nhà bán lẻ cùng cung ứng các loại sản phẩm tương đồng trong  một khu vực hoặc một phân khúc nhất định (Levy et al., 2019). Hơn nữa, sự xuất hiện  của TMĐT đã khiến lĩnh vực bán lẻ ngày nay không chỉ diễn ra trong không gian vật  lý mà còn trên môi trường số, nơi khách hàng có quyền so sánh, lựa chọn và đánh giá  sản phẩm dễ dàng hơn (Grewal et al., 2017). </w:t>
      </w:r>
    </w:p>
    <w:p w14:paraId="33DB3674" w14:textId="77777777" w:rsidR="00F60F67" w:rsidRDefault="00000000">
      <w:pPr>
        <w:widowControl w:val="0"/>
        <w:pBdr>
          <w:top w:val="nil"/>
          <w:left w:val="nil"/>
          <w:bottom w:val="nil"/>
          <w:right w:val="nil"/>
          <w:between w:val="nil"/>
        </w:pBdr>
        <w:spacing w:before="154" w:line="345" w:lineRule="auto"/>
        <w:ind w:left="441" w:right="367" w:firstLine="584"/>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lastRenderedPageBreak/>
        <w:t xml:space="preserve">Thứ năm, </w:t>
      </w:r>
      <w:r>
        <w:rPr>
          <w:rFonts w:ascii="Times New Roman" w:eastAsia="Times New Roman" w:hAnsi="Times New Roman" w:cs="Times New Roman"/>
          <w:color w:val="000000"/>
          <w:sz w:val="25"/>
          <w:szCs w:val="25"/>
        </w:rPr>
        <w:t xml:space="preserve">bán lẻ được đặc trưng bởi tính ổn định tương đối của nhu cầu. Vì cung  ứng hàng hóa và dịch vụ thiết yếu cho đời sống thường ngày, nhu cầu thường duy trì  ở mức cao, mặc dù có sự biến động theo chu kỳ kinh tế và xu hướng tiêu dùng  (Reynolds &amp; Cuthbertson, 2014). Đặc điểm này giúp bán lẻ trở thành một trụ cột quan </w:t>
      </w:r>
    </w:p>
    <w:p w14:paraId="7BC4BE1A"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42 </w:t>
      </w:r>
    </w:p>
    <w:p w14:paraId="45BDF3F7" w14:textId="77777777" w:rsidR="00F60F67" w:rsidRDefault="00000000">
      <w:pPr>
        <w:widowControl w:val="0"/>
        <w:pBdr>
          <w:top w:val="nil"/>
          <w:left w:val="nil"/>
          <w:bottom w:val="nil"/>
          <w:right w:val="nil"/>
          <w:between w:val="nil"/>
        </w:pBdr>
        <w:spacing w:before="652" w:line="348" w:lineRule="auto"/>
        <w:ind w:left="443" w:right="36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trọng trong nền kinh tế, không chỉ tạo ra giá trị gia tăng cho sản phẩm mà còn duy trì  việc làm, ổn định thu nhập cho một bộ phận lớn lực lượng lao động. </w:t>
      </w:r>
    </w:p>
    <w:p w14:paraId="234522C6" w14:textId="77777777" w:rsidR="00F60F67" w:rsidRDefault="00000000">
      <w:pPr>
        <w:widowControl w:val="0"/>
        <w:pBdr>
          <w:top w:val="nil"/>
          <w:left w:val="nil"/>
          <w:bottom w:val="nil"/>
          <w:right w:val="nil"/>
          <w:between w:val="nil"/>
        </w:pBdr>
        <w:spacing w:before="147" w:line="345" w:lineRule="auto"/>
        <w:ind w:left="443" w:right="368" w:firstLine="57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Tóm lại, đặc điểm của lĩnh vực bán lẻ có thể khái quát thành năm phương diện  chính: (1) phục vụ người tiêu dùng cuối cùng, (2) cung ứng danh mục sản phẩm đa  dạng, (3) đặc trưng bởi tính độc lập trong hành vi tiêu dùng, (4) đa dạng về hình thức  tổ chức và cạnh tranh cao, và (5) duy trì tính ổn định tương đối của nhu cầu thị trường.  Các đặc điểm này không chỉ giúp định hình cấu trúc và vai trò của bán lẻ trong nền  kinh tế, mà còn cung cấp nền tảng lý luận quan trọng cho các nghiên cứu tiếp theo về </w:t>
      </w:r>
    </w:p>
    <w:p w14:paraId="2E53C9D1" w14:textId="77777777" w:rsidR="00F60F67" w:rsidRDefault="00000000">
      <w:pPr>
        <w:widowControl w:val="0"/>
        <w:pBdr>
          <w:top w:val="nil"/>
          <w:left w:val="nil"/>
          <w:bottom w:val="nil"/>
          <w:right w:val="nil"/>
          <w:between w:val="nil"/>
        </w:pBdr>
        <w:spacing w:before="34" w:line="344" w:lineRule="auto"/>
        <w:ind w:left="443" w:right="368" w:firstLine="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chiến lược kinh doanh và quản trị bán lẻ trong bối cảnh toàn cầu hóa và số hóa hiện  nay. </w:t>
      </w:r>
    </w:p>
    <w:p w14:paraId="5F722021" w14:textId="77777777" w:rsidR="00F60F67" w:rsidRDefault="00000000">
      <w:pPr>
        <w:widowControl w:val="0"/>
        <w:pBdr>
          <w:top w:val="nil"/>
          <w:left w:val="nil"/>
          <w:bottom w:val="nil"/>
          <w:right w:val="nil"/>
          <w:between w:val="nil"/>
        </w:pBdr>
        <w:spacing w:before="156" w:line="344" w:lineRule="auto"/>
        <w:ind w:left="442" w:right="613" w:firstLine="5"/>
        <w:rPr>
          <w:rFonts w:ascii="Times New Roman" w:eastAsia="Times New Roman" w:hAnsi="Times New Roman" w:cs="Times New Roman"/>
          <w:b/>
          <w:bCs/>
          <w:i/>
          <w:iCs/>
          <w:color w:val="000000"/>
          <w:sz w:val="25"/>
          <w:szCs w:val="25"/>
        </w:rPr>
      </w:pPr>
      <w:r>
        <w:rPr>
          <w:rFonts w:ascii="Times New Roman" w:eastAsia="Times New Roman" w:hAnsi="Times New Roman" w:cs="Times New Roman"/>
          <w:b/>
          <w:bCs/>
          <w:color w:val="000000"/>
          <w:sz w:val="25"/>
          <w:szCs w:val="25"/>
        </w:rPr>
        <w:t xml:space="preserve">2.3. Tổng quan về quản lý nhà nước về tập trung kinh tế trong lĩnh vực bán lẻ </w:t>
      </w:r>
      <w:r>
        <w:rPr>
          <w:rFonts w:ascii="Times New Roman" w:eastAsia="Times New Roman" w:hAnsi="Times New Roman" w:cs="Times New Roman"/>
          <w:b/>
          <w:bCs/>
          <w:i/>
          <w:iCs/>
          <w:color w:val="000000"/>
          <w:sz w:val="25"/>
          <w:szCs w:val="25"/>
        </w:rPr>
        <w:t xml:space="preserve">2.3.1. Khái niệm quản lý nhà nước về tập trung kinh tế trong lĩnh vực bán lẻ  </w:t>
      </w:r>
    </w:p>
    <w:p w14:paraId="38477D96" w14:textId="77777777" w:rsidR="00F60F67" w:rsidRDefault="00000000">
      <w:pPr>
        <w:widowControl w:val="0"/>
        <w:pBdr>
          <w:top w:val="nil"/>
          <w:left w:val="nil"/>
          <w:bottom w:val="nil"/>
          <w:right w:val="nil"/>
          <w:between w:val="nil"/>
        </w:pBdr>
        <w:spacing w:before="156" w:line="240" w:lineRule="auto"/>
        <w:ind w:left="44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2.3.1.1. Khái niệm về quản lý nhà nước </w:t>
      </w:r>
    </w:p>
    <w:p w14:paraId="29A9B70A" w14:textId="77777777" w:rsidR="00F60F67" w:rsidRDefault="00000000">
      <w:pPr>
        <w:widowControl w:val="0"/>
        <w:pBdr>
          <w:top w:val="nil"/>
          <w:left w:val="nil"/>
          <w:bottom w:val="nil"/>
          <w:right w:val="nil"/>
          <w:between w:val="nil"/>
        </w:pBdr>
        <w:spacing w:before="263" w:line="334" w:lineRule="auto"/>
        <w:ind w:left="441" w:right="367" w:firstLine="57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QLNN là một phạm trù gắn liền với sự xuất hiện và phát triển của Nhà nước,  phản ánh chức năng quyền lực công trong việc tổ chức, điều chỉnh và định hướng các  quan hệ xã hội. Ở giai đoạn đầu, các học giả phương Tây tiếp cận QLNN chủ yếu từ góc độ quản trị công. Max Weber (1922) đã chỉ ra rằng Nhà nước hiện đại tồn tại và  quản lý xã hội thông qua hệ thống hành chính quan liêu, dựa trên pháp luật và tính  hợp lý - hợp pháp, nhằm duy trì trật tự và ổn định xã hội. Đây được coi là cơ sở lý  luận ban đầu cho việc xác định đặc trưng quyền lực pháp lý của QLNN. </w:t>
      </w:r>
    </w:p>
    <w:p w14:paraId="6EDFC269" w14:textId="77777777" w:rsidR="00F60F67" w:rsidRDefault="00000000">
      <w:pPr>
        <w:widowControl w:val="0"/>
        <w:pBdr>
          <w:top w:val="nil"/>
          <w:left w:val="nil"/>
          <w:bottom w:val="nil"/>
          <w:right w:val="nil"/>
          <w:between w:val="nil"/>
        </w:pBdr>
        <w:spacing w:before="27" w:line="334" w:lineRule="auto"/>
        <w:ind w:left="443" w:right="368" w:firstLine="57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kinh tế học và quản trị phát triển, QLNN tiếp tục được nghiên cứu như  một công cụ điều tiết kinh tế. Samuelson và Nordhaus (1985) cho rằng QLNN có vai  trò sửa chữa những thất bại thị trường, thông qua các công cụ như chính sách tài khóa,  tiền tệ và pháp luật, nhằm bảo đảm cân bằng lợi ích giữa Nhà nước, doanh nghiệp và  người tiêu dùng. Stiglitz (1989) nhấn mạnh rằng Nhà nước cần can thiệp khi thị </w:t>
      </w:r>
    </w:p>
    <w:p w14:paraId="193236CD" w14:textId="77777777" w:rsidR="00F60F67" w:rsidRDefault="00000000">
      <w:pPr>
        <w:widowControl w:val="0"/>
        <w:pBdr>
          <w:top w:val="nil"/>
          <w:left w:val="nil"/>
          <w:bottom w:val="nil"/>
          <w:right w:val="nil"/>
          <w:between w:val="nil"/>
        </w:pBdr>
        <w:spacing w:before="32" w:line="333" w:lineRule="auto"/>
        <w:ind w:left="443" w:right="36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trường xuất hiện độc quyền, thông tin bất cân xứng hoặc ngoại ứng tiêu cực; từ đó  khẳng định QLNN là điều kiện cần thiết để duy trì môi trường cạnh tranh lành mạnh  và hiệu quả phân bổ nguồn lực. Đến thập niên 1990, quan điểm thể chế trở thành nền  tảng quan trọng cho cách hiểu về QLNN. North (1990) coi Nhà nước là chủ thể kiến  tạo khung thể </w:t>
      </w:r>
      <w:r>
        <w:rPr>
          <w:rFonts w:ascii="Times New Roman" w:eastAsia="Times New Roman" w:hAnsi="Times New Roman" w:cs="Times New Roman"/>
          <w:color w:val="000000"/>
          <w:sz w:val="25"/>
          <w:szCs w:val="25"/>
        </w:rPr>
        <w:lastRenderedPageBreak/>
        <w:t xml:space="preserve">chế pháp luật để điều chỉnh hành vi của các tác nhân kinh tế. Quan  điểm này đặc biệt phù hợp khi phân tích QLNN trong lĩnh vực kinh doanh - thương </w:t>
      </w:r>
    </w:p>
    <w:p w14:paraId="366D054E"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43 </w:t>
      </w:r>
    </w:p>
    <w:p w14:paraId="0F7148F8" w14:textId="77777777" w:rsidR="00F60F67" w:rsidRDefault="00000000">
      <w:pPr>
        <w:widowControl w:val="0"/>
        <w:pBdr>
          <w:top w:val="nil"/>
          <w:left w:val="nil"/>
          <w:bottom w:val="nil"/>
          <w:right w:val="nil"/>
          <w:between w:val="nil"/>
        </w:pBdr>
        <w:spacing w:before="652" w:line="334" w:lineRule="auto"/>
        <w:ind w:left="439" w:right="368" w:firstLine="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mại, vì Nhà nước không trực tiếp tham gia kinh doanh, mà điều tiết thị trường bằng  hệ thống luật lệ, cơ chế kiểm soát và khuyến khích. Porter (1990) bổ sung rằng QLNN  còn giữ vai trò tạo lập môi trường cạnh tranh quốc gia, hỗ trợ doanh nghiệp nâng cao  lợi thế cạnh tranh thông qua hỗ trợ phát triển công nghiệp, hạ tầng, giáo dục và đổi  mới công nghệ. Tại Việt Nam, nghiên cứu lý luận về Nhà nước và pháp luật đã tiếp  cận QLNN từ nhiều phương diện. Theo </w:t>
      </w:r>
      <w:r>
        <w:rPr>
          <w:rFonts w:ascii="Times New Roman" w:eastAsia="Times New Roman" w:hAnsi="Times New Roman" w:cs="Times New Roman"/>
          <w:i/>
          <w:iCs/>
          <w:color w:val="000000"/>
          <w:sz w:val="25"/>
          <w:szCs w:val="25"/>
        </w:rPr>
        <w:t xml:space="preserve">Từ điển Luật học </w:t>
      </w:r>
      <w:r>
        <w:rPr>
          <w:rFonts w:ascii="Times New Roman" w:eastAsia="Times New Roman" w:hAnsi="Times New Roman" w:cs="Times New Roman"/>
          <w:color w:val="000000"/>
          <w:sz w:val="25"/>
          <w:szCs w:val="25"/>
        </w:rPr>
        <w:t>(2016), “</w:t>
      </w:r>
      <w:r>
        <w:rPr>
          <w:rFonts w:ascii="Times New Roman" w:eastAsia="Times New Roman" w:hAnsi="Times New Roman" w:cs="Times New Roman"/>
          <w:i/>
          <w:iCs/>
          <w:color w:val="000000"/>
          <w:sz w:val="25"/>
          <w:szCs w:val="25"/>
        </w:rPr>
        <w:t>QLNN là hoạt  động thực thi quyền lực nhà nước do các cơ quan nhà nước thực hiện nhằm xác lập  một trật tự ổn định và phát triển xã hội theo những mục tiêu mà tầng lớp cầm quyền  theo đuổi</w:t>
      </w:r>
      <w:r>
        <w:rPr>
          <w:rFonts w:ascii="Times New Roman" w:eastAsia="Times New Roman" w:hAnsi="Times New Roman" w:cs="Times New Roman"/>
          <w:color w:val="000000"/>
          <w:sz w:val="25"/>
          <w:szCs w:val="25"/>
        </w:rPr>
        <w:t>”. Trong khi đó, Nguyễn Ngọc Hải (2022) cho rằng QLNN có thể được hiểu  theo cả nghĩa rộng và nghĩa hẹp: theo nghĩa rộng, QLNN là toàn bộ hoạt động của bộ máy nhà nước bao gồm lập pháp, hành pháp và tư pháp; còn theo nghĩa hẹp, QLNN  chỉ bao gồm hoạt động hành pháp do Chính phủ, Bộ, cơ quan ngang Bộ và UBND  các cấp thực hiện, nhằm triển khai pháp luật và chính sách và bảo đảm hiệu quả quản  lý kinh tế - xã hội. Xuất phát từ các quan niệm chung nêu trên, có thể hiểu “</w:t>
      </w:r>
      <w:r>
        <w:rPr>
          <w:rFonts w:ascii="Times New Roman" w:eastAsia="Times New Roman" w:hAnsi="Times New Roman" w:cs="Times New Roman"/>
          <w:i/>
          <w:iCs/>
          <w:color w:val="000000"/>
          <w:sz w:val="25"/>
          <w:szCs w:val="25"/>
        </w:rPr>
        <w:t>QLNN là  sự tác động của hệ thống quản lý hay chủ thể quản lý lên đối tượng quản lý hay khách  thể quản lý nhằm đạt được các mục tiêu đề ra</w:t>
      </w:r>
      <w:r>
        <w:rPr>
          <w:rFonts w:ascii="Times New Roman" w:eastAsia="Times New Roman" w:hAnsi="Times New Roman" w:cs="Times New Roman"/>
          <w:color w:val="000000"/>
          <w:sz w:val="25"/>
          <w:szCs w:val="25"/>
        </w:rPr>
        <w:t xml:space="preserve">”.  </w:t>
      </w:r>
    </w:p>
    <w:p w14:paraId="08091E73" w14:textId="77777777" w:rsidR="00F60F67" w:rsidRDefault="00000000">
      <w:pPr>
        <w:widowControl w:val="0"/>
        <w:pBdr>
          <w:top w:val="nil"/>
          <w:left w:val="nil"/>
          <w:bottom w:val="nil"/>
          <w:right w:val="nil"/>
          <w:between w:val="nil"/>
        </w:pBdr>
        <w:spacing w:before="147" w:line="240" w:lineRule="auto"/>
        <w:ind w:left="44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2.3.1.2. Khái niệm về quản lý nhà nước về tập trung kinh tế trong lĩnh vực bán lẻ </w:t>
      </w:r>
    </w:p>
    <w:p w14:paraId="60E1D8C6" w14:textId="77777777" w:rsidR="00F60F67" w:rsidRDefault="00000000">
      <w:pPr>
        <w:widowControl w:val="0"/>
        <w:pBdr>
          <w:top w:val="nil"/>
          <w:left w:val="nil"/>
          <w:bottom w:val="nil"/>
          <w:right w:val="nil"/>
          <w:between w:val="nil"/>
        </w:pBdr>
        <w:spacing w:before="268" w:line="345" w:lineRule="auto"/>
        <w:ind w:left="443" w:right="368" w:firstLine="57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QLNN về TTKT có thể được hiểu là sự tác động có tổ chức và bằng quyền lực  công của Nhà nước đối với các giao dịch TTKT như sáp nhập, hợp nhất, mua lại và  liên doanh, nhằm bảo đảm môi trường cạnh tranh công bằng và hiệu quả. Khái niệm  này phản ánh bản chất kép của quản lý: một mặt, Nhà nước khuyến khích các vụ việc </w:t>
      </w:r>
    </w:p>
    <w:p w14:paraId="53460A35" w14:textId="77777777" w:rsidR="00F60F67" w:rsidRDefault="00000000">
      <w:pPr>
        <w:widowControl w:val="0"/>
        <w:pBdr>
          <w:top w:val="nil"/>
          <w:left w:val="nil"/>
          <w:bottom w:val="nil"/>
          <w:right w:val="nil"/>
          <w:between w:val="nil"/>
        </w:pBdr>
        <w:spacing w:before="34" w:line="345" w:lineRule="auto"/>
        <w:ind w:left="443" w:right="367" w:firstLine="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TTKT giúp tối ưu hóa chuỗi cung ứng, mở rộng mạng lưới phân phối và nâng cao  năng lực cạnh tranh; mặt khác, Nhà nước phải ngăn ngừa nguy cơ hình thành độc  quyền hoặc HCCT có hại cho người tiêu dùng (UNCTAD, 2010; OECD, 2011). Do  đó, QLNN về TTKT không chỉ thuần túy là sự kiểm soát, mà là hệ thống điều tiết  tổng thể cân bằng giữa lợi ích doanh nghiệp và lợi ích công cộng. </w:t>
      </w:r>
    </w:p>
    <w:p w14:paraId="41026AC5" w14:textId="77777777" w:rsidR="00F60F67" w:rsidRDefault="00000000">
      <w:pPr>
        <w:widowControl w:val="0"/>
        <w:pBdr>
          <w:top w:val="nil"/>
          <w:left w:val="nil"/>
          <w:bottom w:val="nil"/>
          <w:right w:val="nil"/>
          <w:between w:val="nil"/>
        </w:pBdr>
        <w:spacing w:before="155" w:line="345" w:lineRule="auto"/>
        <w:ind w:left="441" w:right="368" w:firstLine="585"/>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(i) Chủ thể của QLNN về TTKT </w:t>
      </w:r>
      <w:r>
        <w:rPr>
          <w:rFonts w:ascii="Times New Roman" w:eastAsia="Times New Roman" w:hAnsi="Times New Roman" w:cs="Times New Roman"/>
          <w:color w:val="000000"/>
          <w:sz w:val="25"/>
          <w:szCs w:val="25"/>
        </w:rPr>
        <w:t>bao gồm toàn bộ các cơ quan, tổ chức và cá  nhân được Nhà nước trao quyền thực hiện chức năng điều tiết, giám sát và kiểm soát  hoạt động TTKT. Trong đó, cơ quan cạnh tranh giữ vai trò trung tâm, nhưng không  phải là chủ thể duy nhất.</w:t>
      </w:r>
    </w:p>
    <w:p w14:paraId="14C6E767"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44 </w:t>
      </w:r>
    </w:p>
    <w:p w14:paraId="2DA81A1C" w14:textId="77777777" w:rsidR="00F60F67" w:rsidRDefault="00000000">
      <w:pPr>
        <w:widowControl w:val="0"/>
        <w:pBdr>
          <w:top w:val="nil"/>
          <w:left w:val="nil"/>
          <w:bottom w:val="nil"/>
          <w:right w:val="nil"/>
          <w:between w:val="nil"/>
        </w:pBdr>
        <w:spacing w:before="652" w:line="346" w:lineRule="auto"/>
        <w:ind w:left="441" w:right="368"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Trên phạm vi quốc tế, các chủ thể quản lý tương ứng được tổ chức dưới nhiều  hình thức khác nhau, tùy thuộc vào thể chế và truyền thống pháp lý của từng quốc  gia. Ở Hoa Kỳ, chức năng kiểm soát sáp nhập và chống độc quyền được giao cho Ủy  ban Thương mại Liên bang (Federal Trade Commission – FTC) và Bộ Tư pháp  (DOJ); tại Liên minh châu Âu, do Ủy ban Cạnh tranh châu Âu (European  Commission – EC) đảm nhiệm; ở Nhật Bản là Ủy ban Thương mại Công bằng (Japan  Fair Trade Commission – JFTC). Điểm chung của các cơ quan này là hoạt động độc  lập tương đối, có quyền điều tra, thẩm định và ra quyết định phê duyệt, từ chối hoặc  áp dụng biện pháp khắc phục đối với các vụ TTKT (Davies &amp; Lyons, 2008). </w:t>
      </w:r>
    </w:p>
    <w:p w14:paraId="24FE66C9" w14:textId="77777777" w:rsidR="00F60F67" w:rsidRDefault="00000000">
      <w:pPr>
        <w:widowControl w:val="0"/>
        <w:pBdr>
          <w:top w:val="nil"/>
          <w:left w:val="nil"/>
          <w:bottom w:val="nil"/>
          <w:right w:val="nil"/>
          <w:between w:val="nil"/>
        </w:pBdr>
        <w:spacing w:before="149" w:line="346" w:lineRule="auto"/>
        <w:ind w:left="442" w:right="368" w:firstLine="57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Ở Việt Nam, hệ thống chủ thể QLNN về TTKT được tổ chức theo mô hình đa  tầng và liên ngành. Trong đó, Chính phủ là chủ thể quản lý cao nhất, thống nhất  QLNN về kinh tế, ban hành quy định pháp luật điều chỉnh hoạt động TTKT.  UBCTQG là cơ quan chuyên trách, có thẩm quyền trực tiếp trong việc tiếp nhận hồ </w:t>
      </w:r>
    </w:p>
    <w:p w14:paraId="4EB9F2DA" w14:textId="77777777" w:rsidR="00F60F67" w:rsidRDefault="00000000">
      <w:pPr>
        <w:widowControl w:val="0"/>
        <w:pBdr>
          <w:top w:val="nil"/>
          <w:left w:val="nil"/>
          <w:bottom w:val="nil"/>
          <w:right w:val="nil"/>
          <w:between w:val="nil"/>
        </w:pBdr>
        <w:spacing w:before="28" w:line="346" w:lineRule="auto"/>
        <w:ind w:left="443" w:right="368" w:firstLine="10"/>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sơ thông báo, thẩm định, ra quyết định chấp thuận, từ chối hoặc chấp thuận có điều  kiện đối với các vụ TTKT theo Luật Cạnh tranh 2018. Các Bộ, ngành, Chính quyền  địa phương (UBND các cấp) phối hợp thực hiện quản lý theo lĩnh vực.  </w:t>
      </w:r>
    </w:p>
    <w:p w14:paraId="4EA67A20" w14:textId="77777777" w:rsidR="00F60F67" w:rsidRDefault="00000000">
      <w:pPr>
        <w:widowControl w:val="0"/>
        <w:pBdr>
          <w:top w:val="nil"/>
          <w:left w:val="nil"/>
          <w:bottom w:val="nil"/>
          <w:right w:val="nil"/>
          <w:between w:val="nil"/>
        </w:pBdr>
        <w:spacing w:before="149" w:line="346" w:lineRule="auto"/>
        <w:ind w:left="441" w:right="368" w:firstLine="56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Nhìn chung, chủ thể quản lý không trực tiếp tham gia vào hoạt động kinh doanh  mà tạo ra khung khổ pháp lý, thẩm định và can thiệp khi cần thiết để duy trì sự công  bằng và minh bạch trên thị trường (Davies &amp; Lyons, 2008). </w:t>
      </w:r>
    </w:p>
    <w:p w14:paraId="63A7EACD" w14:textId="77777777" w:rsidR="00F60F67" w:rsidRDefault="00000000">
      <w:pPr>
        <w:widowControl w:val="0"/>
        <w:pBdr>
          <w:top w:val="nil"/>
          <w:left w:val="nil"/>
          <w:bottom w:val="nil"/>
          <w:right w:val="nil"/>
          <w:between w:val="nil"/>
        </w:pBdr>
        <w:spacing w:before="154" w:line="345" w:lineRule="auto"/>
        <w:ind w:left="443" w:right="368" w:firstLine="583"/>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(ii) Khách thể của QLNN về TTKT </w:t>
      </w:r>
      <w:r>
        <w:rPr>
          <w:rFonts w:ascii="Times New Roman" w:eastAsia="Times New Roman" w:hAnsi="Times New Roman" w:cs="Times New Roman"/>
          <w:color w:val="000000"/>
          <w:sz w:val="25"/>
          <w:szCs w:val="25"/>
        </w:rPr>
        <w:t xml:space="preserve">không chỉ giới hạn ở các hành vi TTKT (sáp  nhập, hợp nhất, mua lại, hoặc liên doanh), mà còn bao gồm toàn bộ các quan hệ, điều  kiện và hệ quả kinh tế – pháp lý – xã hội phát sinh từ quá trình TTKT. Theo nghĩa  hẹp, khách thể quản lý là các giao dịch TTKT cụ thể được thực hiện giữa các doanh  nghiệp nhằm hình thành hoặc mở rộng quyền kiểm soát, chi phối thị trường. Theo  nghĩa rộng, khách thể quản lý bao gồm toàn bộ cấu trúc thị trường, hành vi cạnh tranh  và phúc lợi xã hội chịu ảnh hưởng trực tiếp hoặc gián tiếp từ các hoạt động này  (OECD, 2005; UNCTAD, 2020). </w:t>
      </w:r>
    </w:p>
    <w:p w14:paraId="3BE797C2" w14:textId="77777777" w:rsidR="00F60F67" w:rsidRDefault="00000000">
      <w:pPr>
        <w:widowControl w:val="0"/>
        <w:pBdr>
          <w:top w:val="nil"/>
          <w:left w:val="nil"/>
          <w:bottom w:val="nil"/>
          <w:right w:val="nil"/>
          <w:between w:val="nil"/>
        </w:pBdr>
        <w:spacing w:before="149" w:line="346" w:lineRule="auto"/>
        <w:ind w:left="443" w:right="368"/>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lĩnh vực bán lẻ, khách thể của QLNN về TTKT thể hiện tính đặc thù và  nhạy cảm cao. Một thương vụ sáp nhập hoặc mua lại giữa các doanh nghiệp bán lẻ lớn không chỉ thay đổi quyền sở hữu và kiểm soát doanh nghiệp, mà còn tái cấu trúc </w:t>
      </w:r>
    </w:p>
    <w:p w14:paraId="3EB5CCC9"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45 </w:t>
      </w:r>
    </w:p>
    <w:p w14:paraId="5F7E16A8" w14:textId="77777777" w:rsidR="00F60F67" w:rsidRDefault="00000000">
      <w:pPr>
        <w:widowControl w:val="0"/>
        <w:pBdr>
          <w:top w:val="nil"/>
          <w:left w:val="nil"/>
          <w:bottom w:val="nil"/>
          <w:right w:val="nil"/>
          <w:between w:val="nil"/>
        </w:pBdr>
        <w:spacing w:before="652" w:line="346" w:lineRule="auto"/>
        <w:ind w:left="443" w:right="368" w:firstLine="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chuỗi cung ứng, mạng lưới phân phối và hành vi tiêu dùng xã hội. Ảnh hưởng này  mang tính trực tiếp và sâu rộng: nó có thể tác động đến giá bán lẻ, mức độ cạnh tranh  địa phương, khả năng tồn tại của doanh nghiệp nhỏ và vừa, cũng như quyền lựa chọn  và </w:t>
      </w:r>
      <w:r>
        <w:rPr>
          <w:rFonts w:ascii="Times New Roman" w:eastAsia="Times New Roman" w:hAnsi="Times New Roman" w:cs="Times New Roman"/>
          <w:color w:val="000000"/>
          <w:sz w:val="25"/>
          <w:szCs w:val="25"/>
        </w:rPr>
        <w:lastRenderedPageBreak/>
        <w:t xml:space="preserve">phúc lợi của hàng triệu người tiêu dùng (OECD, 2019; Lyons, 2021). </w:t>
      </w:r>
    </w:p>
    <w:p w14:paraId="03380A7E" w14:textId="77777777" w:rsidR="00F60F67" w:rsidRDefault="00000000">
      <w:pPr>
        <w:widowControl w:val="0"/>
        <w:pBdr>
          <w:top w:val="nil"/>
          <w:left w:val="nil"/>
          <w:bottom w:val="nil"/>
          <w:right w:val="nil"/>
          <w:between w:val="nil"/>
        </w:pBdr>
        <w:spacing w:before="148" w:line="345" w:lineRule="auto"/>
        <w:ind w:left="441" w:right="368" w:firstLine="57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Do đó, khách thể của QLNN về TTKT cần được nhìn nhận như một hệ thống  đa tầng, bao gồm cả (i) hành vi tập trung cụ thể, (ii) các quan hệ kinh tế – pháp lý  phát sinh, và (iii) các hệ quả xã hội của TTKT. Với tính chất phức tạp và ảnh hưởng  lan tỏa, TTKT được coi là khách thể quản lý đặc biệt, đòi hỏi sự giám sát chặt chẽ,  liên ngành và dựa trên bằng chứng khoa học, nhằm bảo đảm cạnh tranh lành mạnh  và bảo vệ lợi ích công cộng (OECD, 2019; UNCTAD, 2020) </w:t>
      </w:r>
    </w:p>
    <w:p w14:paraId="17F746FD" w14:textId="77777777" w:rsidR="00F60F67" w:rsidRDefault="00000000">
      <w:pPr>
        <w:widowControl w:val="0"/>
        <w:pBdr>
          <w:top w:val="nil"/>
          <w:left w:val="nil"/>
          <w:bottom w:val="nil"/>
          <w:right w:val="nil"/>
          <w:between w:val="nil"/>
        </w:pBdr>
        <w:spacing w:before="154" w:line="345" w:lineRule="auto"/>
        <w:ind w:left="443" w:right="368" w:firstLine="583"/>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(iii) Đối tượng của QLNN về TTKT </w:t>
      </w:r>
      <w:r>
        <w:rPr>
          <w:rFonts w:ascii="Times New Roman" w:eastAsia="Times New Roman" w:hAnsi="Times New Roman" w:cs="Times New Roman"/>
          <w:color w:val="000000"/>
          <w:sz w:val="25"/>
          <w:szCs w:val="25"/>
        </w:rPr>
        <w:t xml:space="preserve">là các quan hệ kinh tế - pháp lý nảy sinh từ TTKT, được Nhà nước điều chỉnh thông qua nhiều nội dung cụ thể. Trước hết, Nhà  nước ban hành và hoàn thiện thể chế pháp luật để quy định ngưỡng thông báo, tiêu  chí đánh giá tác động cạnh tranh và nghĩa vụ công khai thông tin. Tiếp theo, các cơ  quan QLNN thực hiện thẩm định và giám sát hồ sơ TTKT, áp dụng công cụ phân tích  kinh tế như SSNIP test để xác định TTLQ và tác động cạnh tranh. Ngoài ra, Nhà nước  còn tiến hành thanh tra, kiểm soát và xử lý vi phạm đối với các giao dịch vi phạm  PLCT, đồng thời áp dụng biện pháp khắc phục (remedies). Trong bối cảnh hội nhập,  QLNN về TTKT còn bao gồm hợp tác quốc tế và phối hợp liên ngành, nhằm xử lý  các giao dịch xuyên biên giới và ngăn ngừa xung đột pháp lý (ICN, 2013). </w:t>
      </w:r>
    </w:p>
    <w:p w14:paraId="046B08C5" w14:textId="77777777" w:rsidR="00F60F67" w:rsidRDefault="00000000">
      <w:pPr>
        <w:widowControl w:val="0"/>
        <w:pBdr>
          <w:top w:val="nil"/>
          <w:left w:val="nil"/>
          <w:bottom w:val="nil"/>
          <w:right w:val="nil"/>
          <w:between w:val="nil"/>
        </w:pBdr>
        <w:spacing w:before="149" w:line="345" w:lineRule="auto"/>
        <w:ind w:left="443" w:right="367"/>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Bổ sung vào khái niệm trên, khi đặt trong lĩnh vực bán lẻ, QLNN về TTKT thể hiện rõ tính đặc thù bởi đây là ngành gắn liền trực tiếp với lưu thông hàng hóa, giá cả và phúc lợi người tiêu dùng. Bán lẻ vừa là đầu ra cuối cùng của chuỗi cung ứng, vừa  là “điểm chạm” trực tiếp giữa doanh nghiệp và khách hàng, do đó những thay đổi về cấu trúc thị trường bán lẻ thông qua TTKT có khả năng tác động tức thì đến cạnh  tranh và an sinh xã hội (Dobson, Waterson, &amp; Chu, 2019). Trong bối cảnh toàn cầu  hóa và sự gia nhập của các tập đoàn đa quốc gia, Nhà nước không chỉ dừng lại ở việc  kiểm soát hành vi lạm dụng sức mạnh thị trường, mà còn phải bảo đảm tính đa dạng  của kênh phân phối, ngăn ngừa nguy cơ loại bỏ doanh nghiệp nhỏ và vừa khỏi thị trường, đồng thời duy trì cơ hội tiếp cận công bằng cho người tiêu dùng (UNCTAD, </w:t>
      </w:r>
    </w:p>
    <w:p w14:paraId="193C222B"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46 </w:t>
      </w:r>
    </w:p>
    <w:p w14:paraId="32F792BB" w14:textId="77777777" w:rsidR="00F60F67" w:rsidRDefault="00000000">
      <w:pPr>
        <w:widowControl w:val="0"/>
        <w:pBdr>
          <w:top w:val="nil"/>
          <w:left w:val="nil"/>
          <w:bottom w:val="nil"/>
          <w:right w:val="nil"/>
          <w:between w:val="nil"/>
        </w:pBdr>
        <w:spacing w:before="652" w:line="346" w:lineRule="auto"/>
        <w:ind w:left="450" w:right="367" w:hanging="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2020). Như vậy, QLNN về TTKT trong lĩnh vực bán lẻ có thể được hiểu là hệ thống  các hoạt động định hướng, kiểm soát và điều tiết có chủ đích của Nhà nước, nhằm  dung hòa giữa lợi ích của doanh nghiệp trong việc mở rộng quy mô với lợi ích công  cộng, qua đó bảo đảm một môi trường bán lẻ cạnh tranh, minh bạch và bền vững  (OECD, 2019; Lyons, 2021). </w:t>
      </w:r>
    </w:p>
    <w:p w14:paraId="5EC4D1DE" w14:textId="77777777" w:rsidR="00F60F67" w:rsidRDefault="00000000">
      <w:pPr>
        <w:widowControl w:val="0"/>
        <w:pBdr>
          <w:top w:val="nil"/>
          <w:left w:val="nil"/>
          <w:bottom w:val="nil"/>
          <w:right w:val="nil"/>
          <w:between w:val="nil"/>
        </w:pBdr>
        <w:spacing w:before="154" w:line="344" w:lineRule="auto"/>
        <w:ind w:left="446" w:right="368" w:hanging="3"/>
        <w:rPr>
          <w:rFonts w:ascii="Times New Roman" w:eastAsia="Times New Roman" w:hAnsi="Times New Roman" w:cs="Times New Roman"/>
          <w:b/>
          <w:bCs/>
          <w:i/>
          <w:iCs/>
          <w:color w:val="000000"/>
          <w:sz w:val="25"/>
          <w:szCs w:val="25"/>
        </w:rPr>
      </w:pPr>
      <w:r>
        <w:rPr>
          <w:rFonts w:ascii="Times New Roman" w:eastAsia="Times New Roman" w:hAnsi="Times New Roman" w:cs="Times New Roman"/>
          <w:b/>
          <w:bCs/>
          <w:i/>
          <w:iCs/>
          <w:color w:val="000000"/>
          <w:sz w:val="25"/>
          <w:szCs w:val="25"/>
        </w:rPr>
        <w:t xml:space="preserve">2.3.2. Các lý thuyết và mô hình liên quan đến quản lý nhà nước về tập trung kinh  tế </w:t>
      </w:r>
    </w:p>
    <w:p w14:paraId="3FB42BDB" w14:textId="77777777" w:rsidR="00F60F67" w:rsidRDefault="00000000">
      <w:pPr>
        <w:widowControl w:val="0"/>
        <w:pBdr>
          <w:top w:val="nil"/>
          <w:left w:val="nil"/>
          <w:bottom w:val="nil"/>
          <w:right w:val="nil"/>
          <w:between w:val="nil"/>
        </w:pBdr>
        <w:spacing w:before="151" w:line="346" w:lineRule="auto"/>
        <w:ind w:left="443" w:right="368" w:firstLine="57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QLNN về TTKT dựa trên nền tảng nhiều lý thuyết và mô hình kinh tế công  nghiệp, phản ánh mối quan hệ giữa cấu trúc thị trường, hành vi doanh nghiệp và kết  quả kinh tế - xã hội. Những lý thuyết này vừa cung cấp cơ sở phân tích học thuật, vừa  là công cụ để cơ quan quản lý xây dựng PLCT. Có thể khái quát một số lý thuyết và  mô hình tiêu biểu như sau: </w:t>
      </w:r>
    </w:p>
    <w:p w14:paraId="7E035436" w14:textId="77777777" w:rsidR="00F60F67" w:rsidRDefault="00000000">
      <w:pPr>
        <w:widowControl w:val="0"/>
        <w:pBdr>
          <w:top w:val="nil"/>
          <w:left w:val="nil"/>
          <w:bottom w:val="nil"/>
          <w:right w:val="nil"/>
          <w:between w:val="nil"/>
        </w:pBdr>
        <w:spacing w:before="154" w:line="240" w:lineRule="auto"/>
        <w:ind w:left="44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2.3.2.1. Mô hình Cấu trúc - Hành vi - Kết quả (SCP) </w:t>
      </w:r>
    </w:p>
    <w:p w14:paraId="60C28BC8" w14:textId="77777777" w:rsidR="00F60F67" w:rsidRDefault="00000000">
      <w:pPr>
        <w:widowControl w:val="0"/>
        <w:pBdr>
          <w:top w:val="nil"/>
          <w:left w:val="nil"/>
          <w:bottom w:val="nil"/>
          <w:right w:val="nil"/>
          <w:between w:val="nil"/>
        </w:pBdr>
        <w:spacing w:before="263" w:line="346" w:lineRule="auto"/>
        <w:ind w:left="443" w:right="367" w:firstLine="56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Mô hình SCP (Structure - Conduct - Performance) được hình thành trong lĩnh  vực kinh tế công nghiệp từ những năm 1930-1950, đặt nền tảng bởi các công trình  của Edward S. Mason (1939, 1948) và phát triển toàn diện bởi Joe S. Bain (1951,  1956). Theo cách tiếp cận SCP, hiệu quả hoạt động của thị trường (performance) có  mối quan hệ nhân quả với cấu trúc ngành (structure) thông qua hành vi ứng xử (conduct) của doanh nghiệp. Nói cách khác, cấu trúc thị trường quyết định hành vi  cạnh tranh, và hành vi này cuối cùng định hình kết quả thị trường (Bain, 1956). </w:t>
      </w:r>
    </w:p>
    <w:p w14:paraId="227974B7" w14:textId="77777777" w:rsidR="00F60F67" w:rsidRDefault="00000000">
      <w:pPr>
        <w:widowControl w:val="0"/>
        <w:pBdr>
          <w:top w:val="nil"/>
          <w:left w:val="nil"/>
          <w:bottom w:val="nil"/>
          <w:right w:val="nil"/>
          <w:between w:val="nil"/>
        </w:pBdr>
        <w:spacing w:before="149" w:line="346" w:lineRule="auto"/>
        <w:ind w:left="443" w:right="368" w:firstLine="57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Trong giai đoạn đầu, SCP được xây dựng như một công cụ thực nghiệm quan  trọng để phân tích mối quan hệ giữa mức độ TTKT, hành vi doanh nghiệp và hiệu  quả kinh tế - xã hội. Cách tiếp cận này nhanh chóng trở thành khung phân tích PLCT và chống độc quyền tại nhiều quốc gia phát triển, đặc biệt là Mỹ, từ thập niên 1950  trở đi (Scherer &amp; Ross, 1990).</w:t>
      </w:r>
    </w:p>
    <w:p w14:paraId="287F4A07"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47 </w:t>
      </w:r>
    </w:p>
    <w:p w14:paraId="3647B534" w14:textId="77777777" w:rsidR="00F60F67" w:rsidRDefault="00000000">
      <w:pPr>
        <w:widowControl w:val="0"/>
        <w:pBdr>
          <w:top w:val="nil"/>
          <w:left w:val="nil"/>
          <w:bottom w:val="nil"/>
          <w:right w:val="nil"/>
          <w:between w:val="nil"/>
        </w:pBdr>
        <w:spacing w:before="652" w:line="240" w:lineRule="auto"/>
        <w:ind w:right="1635"/>
        <w:jc w:val="right"/>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Hình 2.1. Mô hình cấu trúc - hành vi - kết quả (SCP) </w:t>
      </w:r>
    </w:p>
    <w:p w14:paraId="77FF4A61" w14:textId="77777777" w:rsidR="00F60F67" w:rsidRDefault="00000000">
      <w:pPr>
        <w:widowControl w:val="0"/>
        <w:pBdr>
          <w:top w:val="nil"/>
          <w:left w:val="nil"/>
          <w:bottom w:val="nil"/>
          <w:right w:val="nil"/>
          <w:between w:val="nil"/>
        </w:pBdr>
        <w:spacing w:before="213" w:line="206" w:lineRule="auto"/>
        <w:ind w:left="3909" w:right="421" w:hanging="3469"/>
        <w:rPr>
          <w:rFonts w:ascii="Times New Roman" w:eastAsia="Times New Roman" w:hAnsi="Times New Roman" w:cs="Times New Roman"/>
          <w:i/>
          <w:iCs/>
          <w:color w:val="000000"/>
          <w:sz w:val="24"/>
          <w:szCs w:val="24"/>
        </w:rPr>
      </w:pPr>
      <w:r>
        <w:rPr>
          <w:rFonts w:ascii="Times New Roman" w:eastAsia="Times New Roman" w:hAnsi="Times New Roman" w:cs="Times New Roman"/>
          <w:b/>
          <w:bCs/>
          <w:noProof/>
          <w:color w:val="000000"/>
          <w:sz w:val="25"/>
          <w:szCs w:val="25"/>
        </w:rPr>
        <w:lastRenderedPageBreak/>
        <w:drawing>
          <wp:inline distT="19050" distB="19050" distL="19050" distR="19050" wp14:anchorId="3DA89FA3" wp14:editId="09010ABB">
            <wp:extent cx="5588000" cy="4072243"/>
            <wp:effectExtent l="0" t="0" r="0" b="0"/>
            <wp:docPr id="123"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5"/>
                    <a:srcRect/>
                    <a:stretch>
                      <a:fillRect/>
                    </a:stretch>
                  </pic:blipFill>
                  <pic:spPr>
                    <a:xfrm>
                      <a:off x="0" y="0"/>
                      <a:ext cx="5588000" cy="4072243"/>
                    </a:xfrm>
                    <a:prstGeom prst="rect">
                      <a:avLst/>
                    </a:prstGeom>
                    <a:ln/>
                  </pic:spPr>
                </pic:pic>
              </a:graphicData>
            </a:graphic>
          </wp:inline>
        </w:drawing>
      </w:r>
      <w:r>
        <w:rPr>
          <w:rFonts w:ascii="Times New Roman" w:eastAsia="Times New Roman" w:hAnsi="Times New Roman" w:cs="Times New Roman"/>
          <w:i/>
          <w:iCs/>
          <w:color w:val="000000"/>
          <w:sz w:val="24"/>
          <w:szCs w:val="24"/>
        </w:rPr>
        <w:t xml:space="preserve">Nguồn: Lipczynski, J., Wilson, J., &amp; Goddard J. (2005) </w:t>
      </w:r>
    </w:p>
    <w:p w14:paraId="17D557D0" w14:textId="77777777" w:rsidR="00F60F67" w:rsidRDefault="00000000">
      <w:pPr>
        <w:widowControl w:val="0"/>
        <w:pBdr>
          <w:top w:val="nil"/>
          <w:left w:val="nil"/>
          <w:bottom w:val="nil"/>
          <w:right w:val="nil"/>
          <w:between w:val="nil"/>
        </w:pBdr>
        <w:spacing w:before="131" w:line="240" w:lineRule="auto"/>
        <w:ind w:left="10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Mô hình SCP gồm ba hợp phần chính có quan hệ biện chứng với nhau: </w:t>
      </w:r>
    </w:p>
    <w:p w14:paraId="6E9681AE" w14:textId="77777777" w:rsidR="00F60F67" w:rsidRDefault="00000000">
      <w:pPr>
        <w:widowControl w:val="0"/>
        <w:pBdr>
          <w:top w:val="nil"/>
          <w:left w:val="nil"/>
          <w:bottom w:val="nil"/>
          <w:right w:val="nil"/>
          <w:between w:val="nil"/>
        </w:pBdr>
        <w:spacing w:before="263" w:line="345" w:lineRule="auto"/>
        <w:ind w:left="443" w:right="368" w:firstLine="582"/>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(i) Cấu trúc (Structure): </w:t>
      </w:r>
      <w:r>
        <w:rPr>
          <w:rFonts w:ascii="Times New Roman" w:eastAsia="Times New Roman" w:hAnsi="Times New Roman" w:cs="Times New Roman"/>
          <w:color w:val="000000"/>
          <w:sz w:val="25"/>
          <w:szCs w:val="25"/>
        </w:rPr>
        <w:t xml:space="preserve">Cấu trúc phản ánh đặc điểm tổ chức và mức độ tập  trung của thị trường, bao gồm các yếu tố như số lượng và quy mô doanh nghiệp, điều  kiện gia nhập/rút lui khỏi thị trường, mức độ khác biệt hóa sản phẩm, tích hợp dọc và  đa dạng hóa. Trong lĩnh vực bán lẻ, cấu trúc thị trường được thể hiện thông qua sự </w:t>
      </w:r>
    </w:p>
    <w:p w14:paraId="1EF9D61E" w14:textId="77777777" w:rsidR="00F60F67" w:rsidRDefault="00000000">
      <w:pPr>
        <w:widowControl w:val="0"/>
        <w:pBdr>
          <w:top w:val="nil"/>
          <w:left w:val="nil"/>
          <w:bottom w:val="nil"/>
          <w:right w:val="nil"/>
          <w:between w:val="nil"/>
        </w:pBdr>
        <w:spacing w:before="34" w:line="345" w:lineRule="auto"/>
        <w:ind w:left="441" w:right="36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phân bổ giữa các chuỗi siêu thị, trung tâm thương mại, cửa hàng tiện lợi và các nhà  bán lẻ truyền thống. Một cấu trúc tập trung cao, nơi một số ít doanh nghiệp chiếm tỷ trọng thị phần lớn, có thể tạo điều kiện cho hành vi HCCT (như định giá khống chế,  kiểm soát chuỗi cung ứng, hoặc áp đặt điều kiện thương mại bất lợi cho nhà cung  cấp). Ngược lại, cấu trúc thị trường phân tán, với sự tham gia của nhiều doanh nghiệp  quy mô vừa và nhỏ, có thể thúc đẩy cạnh tranh về giá và chất lượng dịch vụ. Tuy  nhiên, mức độ cạnh tranh này còn phụ thuộc vào các rào cản gia nhập, bao gồm yêu  cầu về vốn, công nghệ quản lý chuỗi cung ứng, mạng lưới logistics và địa điểm kinh  doanh (Bain, 1956; Carlton &amp; Perloff, 2015).</w:t>
      </w:r>
    </w:p>
    <w:p w14:paraId="7197F192"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48 </w:t>
      </w:r>
    </w:p>
    <w:p w14:paraId="6D1B627A" w14:textId="77777777" w:rsidR="00F60F67" w:rsidRDefault="00000000">
      <w:pPr>
        <w:widowControl w:val="0"/>
        <w:pBdr>
          <w:top w:val="nil"/>
          <w:left w:val="nil"/>
          <w:bottom w:val="nil"/>
          <w:right w:val="nil"/>
          <w:between w:val="nil"/>
        </w:pBdr>
        <w:spacing w:before="652" w:line="346" w:lineRule="auto"/>
        <w:ind w:left="443" w:right="368" w:firstLine="583"/>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(ii) Hành vi (Conduct): </w:t>
      </w:r>
      <w:r>
        <w:rPr>
          <w:rFonts w:ascii="Times New Roman" w:eastAsia="Times New Roman" w:hAnsi="Times New Roman" w:cs="Times New Roman"/>
          <w:color w:val="000000"/>
          <w:sz w:val="25"/>
          <w:szCs w:val="25"/>
        </w:rPr>
        <w:t xml:space="preserve">Hành vi thể hiện cách thức doanh nghiệp ứng xử trong  môi trường cạnh tranh, bao gồm các chiến lược định giá, phân phối, quảng cáo, đổi  mới công nghệ, sáp nhập, liên minh hay thỏa thuận hợp tác. Trong lĩnh vực bán lẻ,  hành vi cạnh tranh được thể hiện qua chiến lược giá linh hoạt, chương trình khuyến  mãi, xây dựng </w:t>
      </w:r>
      <w:r>
        <w:rPr>
          <w:rFonts w:ascii="Times New Roman" w:eastAsia="Times New Roman" w:hAnsi="Times New Roman" w:cs="Times New Roman"/>
          <w:color w:val="000000"/>
          <w:sz w:val="25"/>
          <w:szCs w:val="25"/>
        </w:rPr>
        <w:lastRenderedPageBreak/>
        <w:t xml:space="preserve">thương hiệu, mở rộng chuỗi phân phối hoặc đầu tư vào nền tảng </w:t>
      </w:r>
    </w:p>
    <w:p w14:paraId="4E9DC6A6" w14:textId="77777777" w:rsidR="00F60F67" w:rsidRDefault="00000000">
      <w:pPr>
        <w:widowControl w:val="0"/>
        <w:pBdr>
          <w:top w:val="nil"/>
          <w:left w:val="nil"/>
          <w:bottom w:val="nil"/>
          <w:right w:val="nil"/>
          <w:between w:val="nil"/>
        </w:pBdr>
        <w:spacing w:before="34" w:line="345" w:lineRule="auto"/>
        <w:ind w:left="443" w:right="367" w:firstLine="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TMĐT. Các doanh nghiệp bán lẻ lớn thường theo đuổi chiến lược “kinh tế theo quy  mô” (economies of scale), tận dụng dữ liệu người tiêu dùng để cá nhân hóa dịch vụ,  hoặc áp dụng mô hình bán hàng đa kênh (omni-channel) nhằm gia tăng trải nghiệm  khách hàng. Mặt khác, các hành vi như sáp nhập, liên kết dọc hoặc kiểm soát chuỗi  cung ứng có thể làm thay đổi cục diện cạnh tranh, tác động ngược trở lại cấu trúc thị </w:t>
      </w:r>
    </w:p>
    <w:p w14:paraId="15DAB08A" w14:textId="77777777" w:rsidR="00F60F67" w:rsidRDefault="00000000">
      <w:pPr>
        <w:widowControl w:val="0"/>
        <w:pBdr>
          <w:top w:val="nil"/>
          <w:left w:val="nil"/>
          <w:bottom w:val="nil"/>
          <w:right w:val="nil"/>
          <w:between w:val="nil"/>
        </w:pBdr>
        <w:spacing w:before="35" w:line="240" w:lineRule="auto"/>
        <w:ind w:left="44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trường (Scherer &amp; Ross, 1990). </w:t>
      </w:r>
    </w:p>
    <w:p w14:paraId="01B356A2" w14:textId="77777777" w:rsidR="00F60F67" w:rsidRDefault="00000000">
      <w:pPr>
        <w:widowControl w:val="0"/>
        <w:pBdr>
          <w:top w:val="nil"/>
          <w:left w:val="nil"/>
          <w:bottom w:val="nil"/>
          <w:right w:val="nil"/>
          <w:between w:val="nil"/>
        </w:pBdr>
        <w:spacing w:before="263" w:line="345" w:lineRule="auto"/>
        <w:ind w:left="443" w:right="368" w:firstLine="583"/>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(iii) Kết quả (Performance): </w:t>
      </w:r>
      <w:r>
        <w:rPr>
          <w:rFonts w:ascii="Times New Roman" w:eastAsia="Times New Roman" w:hAnsi="Times New Roman" w:cs="Times New Roman"/>
          <w:color w:val="000000"/>
          <w:sz w:val="25"/>
          <w:szCs w:val="25"/>
        </w:rPr>
        <w:t xml:space="preserve">Kết quả phản ánh hiệu quả tổng thể của thị trường  và mức độ đạt được các mục tiêu kinh tế - xã hội, bao gồm khả năng sinh lợi, tốc độ tăng trưởng, chất lượng hàng hóa và dịch vụ, hiệu quả sản xuất và phân phối, cũng  như mức độ đổi mới công nghệ. Trong lĩnh vực bán lẻ, kết quả tốt được thể hiện ở việc cung cấp sản phẩm chất lượng, giá cả hợp lý, dịch vụ hậu mãi tốt và phúc lợi  người tiêu dùng được nâng cao. Tuy nhiên, trong các thị trường có cấu trúc tập trung  cao, kết quả thị trường có thể thiên lệch theo hướng giảm cạnh tranh, tăng giá bán và  hạn chế sự lựa chọn của người tiêu dùng (Demsetz, 1973).  </w:t>
      </w:r>
    </w:p>
    <w:p w14:paraId="580F36AE" w14:textId="77777777" w:rsidR="00F60F67" w:rsidRDefault="00000000">
      <w:pPr>
        <w:widowControl w:val="0"/>
        <w:pBdr>
          <w:top w:val="nil"/>
          <w:left w:val="nil"/>
          <w:bottom w:val="nil"/>
          <w:right w:val="nil"/>
          <w:between w:val="nil"/>
        </w:pBdr>
        <w:spacing w:before="154" w:line="344" w:lineRule="auto"/>
        <w:ind w:left="441" w:right="368" w:firstLine="57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 Các yếu tố hỗ trợ trong mô hình SCP: Bên cạnh ba hợp phần trung tâm, mô  hình SCP còn chịu tác động bởi điều kiện cung, điều kiện cầu và chính sách của Chính  phủ. </w:t>
      </w:r>
    </w:p>
    <w:p w14:paraId="5AB18309" w14:textId="77777777" w:rsidR="00F60F67" w:rsidRDefault="00000000">
      <w:pPr>
        <w:widowControl w:val="0"/>
        <w:pBdr>
          <w:top w:val="nil"/>
          <w:left w:val="nil"/>
          <w:bottom w:val="nil"/>
          <w:right w:val="nil"/>
          <w:between w:val="nil"/>
        </w:pBdr>
        <w:spacing w:before="156" w:line="345" w:lineRule="auto"/>
        <w:ind w:left="444" w:right="368" w:firstLine="571"/>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 Điều kiện cung </w:t>
      </w:r>
      <w:r>
        <w:rPr>
          <w:rFonts w:ascii="Times New Roman" w:eastAsia="Times New Roman" w:hAnsi="Times New Roman" w:cs="Times New Roman"/>
          <w:color w:val="000000"/>
          <w:sz w:val="25"/>
          <w:szCs w:val="25"/>
        </w:rPr>
        <w:t xml:space="preserve">bao gồm công nghệ, chi phí sản xuất, cấu trúc tổ chức và yếu  tố địa điểm. Trong bán lẻ, công nghệ chuỗi cung ứng, hệ thống quản trị hàng tồn và  logistics hiện đại giúp giảm chi phí, từ đó ảnh hưởng đến cấu trúc giá và hành vi cạnh  tranh. </w:t>
      </w:r>
    </w:p>
    <w:p w14:paraId="66FCC83C" w14:textId="77777777" w:rsidR="00F60F67" w:rsidRDefault="00000000">
      <w:pPr>
        <w:widowControl w:val="0"/>
        <w:pBdr>
          <w:top w:val="nil"/>
          <w:left w:val="nil"/>
          <w:bottom w:val="nil"/>
          <w:right w:val="nil"/>
          <w:between w:val="nil"/>
        </w:pBdr>
        <w:spacing w:before="154" w:line="345" w:lineRule="auto"/>
        <w:ind w:left="444" w:right="367" w:firstLine="571"/>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 Điều kiện cầu </w:t>
      </w:r>
      <w:r>
        <w:rPr>
          <w:rFonts w:ascii="Times New Roman" w:eastAsia="Times New Roman" w:hAnsi="Times New Roman" w:cs="Times New Roman"/>
          <w:color w:val="000000"/>
          <w:sz w:val="25"/>
          <w:szCs w:val="25"/>
        </w:rPr>
        <w:t>thể hiện qua thị hiếu người tiêu dùng, độ co giãn cầu theo giá,  xu hướng tiêu dùng thay thế và phương thức mua hàng. Sự phát triển của TMĐT và  thay đổi thói quen mua sắm (từ trực tiếp sang trực tuyến) đã làm thay đổi hành vi  doanh nghiệp và cấu trúc thị trường bán lẻ (Kotler &amp; Keller, 2016).</w:t>
      </w:r>
    </w:p>
    <w:p w14:paraId="0A9A8915"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49 </w:t>
      </w:r>
    </w:p>
    <w:p w14:paraId="65899197" w14:textId="77777777" w:rsidR="00F60F67" w:rsidRDefault="00000000">
      <w:pPr>
        <w:widowControl w:val="0"/>
        <w:pBdr>
          <w:top w:val="nil"/>
          <w:left w:val="nil"/>
          <w:bottom w:val="nil"/>
          <w:right w:val="nil"/>
          <w:between w:val="nil"/>
        </w:pBdr>
        <w:spacing w:before="652" w:line="346" w:lineRule="auto"/>
        <w:ind w:left="443" w:right="368" w:firstLine="571"/>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 Chính sách của Chính phủ </w:t>
      </w:r>
      <w:r>
        <w:rPr>
          <w:rFonts w:ascii="Times New Roman" w:eastAsia="Times New Roman" w:hAnsi="Times New Roman" w:cs="Times New Roman"/>
          <w:color w:val="000000"/>
          <w:sz w:val="25"/>
          <w:szCs w:val="25"/>
        </w:rPr>
        <w:t xml:space="preserve">bao gồm quy định pháp luật, chính sách cạnh tranh,  thuế, trợ cấp, chính sách vùng, môi trường, thương mại và kinh tế vĩ mô. Những chính  sách này đóng vai trò định hướng và kiểm soát, đảm bảo thị trường bán lẻ hoạt động  minh bạch, cạnh tranh lành mạnh và bảo vệ người tiêu dùng (OECD, 2021). </w:t>
      </w:r>
    </w:p>
    <w:p w14:paraId="69A33913" w14:textId="77777777" w:rsidR="00F60F67" w:rsidRDefault="00000000">
      <w:pPr>
        <w:widowControl w:val="0"/>
        <w:pBdr>
          <w:top w:val="nil"/>
          <w:left w:val="nil"/>
          <w:bottom w:val="nil"/>
          <w:right w:val="nil"/>
          <w:between w:val="nil"/>
        </w:pBdr>
        <w:spacing w:before="148" w:line="345" w:lineRule="auto"/>
        <w:ind w:left="448" w:right="368" w:firstLine="56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Mô hình SCP có giá trị đặc biệt trong phân tích và kiểm soát các giao dịch  TTKT. Ở cấp cấu trúc, CQCT sử dụng các chỉ số tập trung như CR, HHI hoặc Entropy  Index để đánh giá mức độ rủi ro HCCT sau sáp nhập. Ở cấp hành vi, việc phân tích  chiến lược giá, chính sách phân phối, quan hệ với nhà cung cấp giúp nhận diện khả </w:t>
      </w:r>
    </w:p>
    <w:p w14:paraId="35D18B55" w14:textId="77777777" w:rsidR="00F60F67" w:rsidRDefault="00000000">
      <w:pPr>
        <w:widowControl w:val="0"/>
        <w:pBdr>
          <w:top w:val="nil"/>
          <w:left w:val="nil"/>
          <w:bottom w:val="nil"/>
          <w:right w:val="nil"/>
          <w:between w:val="nil"/>
        </w:pBdr>
        <w:spacing w:before="34" w:line="346" w:lineRule="auto"/>
        <w:ind w:left="446" w:right="367" w:hanging="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năng thao túng thị trường. Ở cấp kết quả, CQCT xem xét tác động thực tế đến giá cả,  </w:t>
      </w:r>
      <w:r>
        <w:rPr>
          <w:rFonts w:ascii="Times New Roman" w:eastAsia="Times New Roman" w:hAnsi="Times New Roman" w:cs="Times New Roman"/>
          <w:color w:val="000000"/>
          <w:sz w:val="25"/>
          <w:szCs w:val="25"/>
        </w:rPr>
        <w:lastRenderedPageBreak/>
        <w:t xml:space="preserve">chất lượng hàng hóa, sự lựa chọn của người tiêu dùng và phúc lợi xã hội (Scherer &amp;  Ross, 1990; OECD, 2021). </w:t>
      </w:r>
    </w:p>
    <w:p w14:paraId="42DB1844" w14:textId="77777777" w:rsidR="00F60F67" w:rsidRDefault="00000000">
      <w:pPr>
        <w:widowControl w:val="0"/>
        <w:pBdr>
          <w:top w:val="nil"/>
          <w:left w:val="nil"/>
          <w:bottom w:val="nil"/>
          <w:right w:val="nil"/>
          <w:between w:val="nil"/>
        </w:pBdr>
        <w:spacing w:before="149" w:line="346" w:lineRule="auto"/>
        <w:ind w:left="443" w:right="368"/>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Như vậy, mô hình SCP không chỉ cung cấp khung lý thuyết cho việc nhận diện  và đánh giá TTKT trong lĩnh vực bán lẻ, mà còn giúp định hướng xây dựng PLCT theo hướng cân bằng giữa tự do kinh doanh và bảo đảm cạnh tranh lành mạnh.. </w:t>
      </w:r>
    </w:p>
    <w:p w14:paraId="6A3EC11E" w14:textId="77777777" w:rsidR="00F60F67" w:rsidRDefault="00000000">
      <w:pPr>
        <w:widowControl w:val="0"/>
        <w:pBdr>
          <w:top w:val="nil"/>
          <w:left w:val="nil"/>
          <w:bottom w:val="nil"/>
          <w:right w:val="nil"/>
          <w:between w:val="nil"/>
        </w:pBdr>
        <w:spacing w:before="149" w:line="240" w:lineRule="auto"/>
        <w:ind w:left="44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2.3.2.2. Lý thuyết độc quyền (Monopoly Theory) </w:t>
      </w:r>
    </w:p>
    <w:p w14:paraId="048382A1" w14:textId="77777777" w:rsidR="00F60F67" w:rsidRDefault="00000000">
      <w:pPr>
        <w:widowControl w:val="0"/>
        <w:pBdr>
          <w:top w:val="nil"/>
          <w:left w:val="nil"/>
          <w:bottom w:val="nil"/>
          <w:right w:val="nil"/>
          <w:between w:val="nil"/>
        </w:pBdr>
        <w:spacing w:before="268" w:line="345" w:lineRule="auto"/>
        <w:ind w:left="443" w:right="368" w:firstLine="57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kinh tế học, độc quyền (monopoly) được định nghĩa là trạng thái thị trường trong đó một doanh nghiệp duy nhất chi phối toàn bộ cung ứng đối với một  loại sản phẩm hoặc dịch vụ không có hàng hóa thay thế gần gũi, đồng thời có khả năng kiểm soát giá bán và sản lượng (Varian, 1992). Khác với cạnh tranh hoàn hảo - nơi doanh nghiệp là “người chấp nhận giá” (price taker) - doanh nghiệp độc quyền là  “người định giá” (price maker), thường ấn định mức giá cao hơn chi phí cận biên,  dẫn đến tổn thất phúc lợi xã hội (deadweight loss) (Tirole, 1988). </w:t>
      </w:r>
    </w:p>
    <w:p w14:paraId="44370F17" w14:textId="77777777" w:rsidR="00F60F67" w:rsidRDefault="00000000">
      <w:pPr>
        <w:widowControl w:val="0"/>
        <w:pBdr>
          <w:top w:val="nil"/>
          <w:left w:val="nil"/>
          <w:bottom w:val="nil"/>
          <w:right w:val="nil"/>
          <w:between w:val="nil"/>
        </w:pBdr>
        <w:spacing w:before="154" w:line="345" w:lineRule="auto"/>
        <w:ind w:left="443" w:right="368" w:firstLine="57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Cơ sở lý luận về độc quyền khởi nguồn từ A. Cournot (1838) được mở rộng bởi  A. Marshall (1890) về phân tích phúc lợi và được hệ thống hóa trong các nghiên cứu  hiện đại như của Bain (1956) và Tirole (1988). Các công trình này chỉ ra rằng độc  quyền có thể hình thành từ các rào cản gia nhập và mở rộng trên thị trường, bao gồm  rào cản tự nhiên (do quy mô kinh tế), rào cản pháp lý (do Nhà nước trao quyền), và  rào cản chiến lược (do hành vi của doanh nghiệp nhằm loại bỏ cạnh tranh). </w:t>
      </w:r>
    </w:p>
    <w:p w14:paraId="0F4AAC77"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50 </w:t>
      </w:r>
    </w:p>
    <w:p w14:paraId="3EC7132B" w14:textId="77777777" w:rsidR="00F60F67" w:rsidRDefault="00000000">
      <w:pPr>
        <w:widowControl w:val="0"/>
        <w:pBdr>
          <w:top w:val="nil"/>
          <w:left w:val="nil"/>
          <w:bottom w:val="nil"/>
          <w:right w:val="nil"/>
          <w:between w:val="nil"/>
        </w:pBdr>
        <w:spacing w:before="652" w:line="346" w:lineRule="auto"/>
        <w:ind w:left="438" w:right="367" w:firstLine="57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TTKT là một trong những con đường quan trọng dẫn đến độc quyền hoặc vị trí  thống lĩnh thị trường. Lý thuyết độc quyền cho thấy, khi một số doanh nghiệp hợp  nhất, cấu trúc thị trường trở nên tập trung hơn, nguy cơ hình thành quyền lực thị trường tăng lên, từ đó tác động tiêu cực đến phúc lợi xã hội (Bain, 1956; Scherer &amp;  Ross, 1990). Các nghiên cứu thực nghiệm khẳng định rằng sau các vụ sáp nhập lớn,  chỉ số tập trung (CR, HHI) tăng đáng kể, kéo theo nguy cơ hành vi HCCT như tăng  giá, giảm chất lượng hoặc loại trừ đối thủ (Farrell &amp; Shapiro, 1990). Do đó, lý thuyết  độc quyền trở thành cơ sở lý luận nền tảng để giải thích vì sao phải quản lý TTKT.  Nếu không có sự kiểm soát, TTKT có thể dẫn đến cấu trúc thị trường độc quyền hoặc  độc quyền nhóm (oligopoly), làm suy giảm sức cạnh tranh và ảnh hưởng trực tiếp đến  lợi ích công cộng. </w:t>
      </w:r>
    </w:p>
    <w:p w14:paraId="76372C76" w14:textId="77777777" w:rsidR="00F60F67" w:rsidRDefault="00000000">
      <w:pPr>
        <w:widowControl w:val="0"/>
        <w:pBdr>
          <w:top w:val="nil"/>
          <w:left w:val="nil"/>
          <w:bottom w:val="nil"/>
          <w:right w:val="nil"/>
          <w:between w:val="nil"/>
        </w:pBdr>
        <w:spacing w:before="149" w:line="240" w:lineRule="auto"/>
        <w:ind w:left="44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2.3.2.3. Lý thuyết cạnh tranh hoàn hảo (Perfect Competition Theory) </w:t>
      </w:r>
    </w:p>
    <w:p w14:paraId="3DB1B4E3" w14:textId="77777777" w:rsidR="00F60F67" w:rsidRDefault="00000000">
      <w:pPr>
        <w:widowControl w:val="0"/>
        <w:pBdr>
          <w:top w:val="nil"/>
          <w:left w:val="nil"/>
          <w:bottom w:val="nil"/>
          <w:right w:val="nil"/>
          <w:between w:val="nil"/>
        </w:pBdr>
        <w:spacing w:before="268" w:line="345" w:lineRule="auto"/>
        <w:ind w:left="441" w:right="368" w:firstLine="57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Cạnh tranh hoàn hảo (perfect competition) là một mô hình chuẩn tắc (normative  model) trong kinh tế học vi mô, mô tả trạng thái lý tưởng của thị trường khi có số lượng </w:t>
      </w:r>
      <w:r>
        <w:rPr>
          <w:rFonts w:ascii="Times New Roman" w:eastAsia="Times New Roman" w:hAnsi="Times New Roman" w:cs="Times New Roman"/>
          <w:color w:val="000000"/>
          <w:sz w:val="25"/>
          <w:szCs w:val="25"/>
        </w:rPr>
        <w:lastRenderedPageBreak/>
        <w:t xml:space="preserve">lớn người mua và người bán, sản phẩm đồng nhất, thông tin thị trường hoàn  hảo và không tồn tại rào cản gia nhập hoặc rút lui (Varian, 1992). Trong điều kiện  này, mỗi doanh nghiệp là người chấp nhận giá (price taker), không thể tác động đơn  phương đến giá thị trường, và sản lượng cân bằng được xác định tại điểm giao cắt  giữa đường cung và đường cầu. </w:t>
      </w:r>
    </w:p>
    <w:p w14:paraId="6575326B" w14:textId="77777777" w:rsidR="00F60F67" w:rsidRDefault="00000000">
      <w:pPr>
        <w:widowControl w:val="0"/>
        <w:pBdr>
          <w:top w:val="nil"/>
          <w:left w:val="nil"/>
          <w:bottom w:val="nil"/>
          <w:right w:val="nil"/>
          <w:between w:val="nil"/>
        </w:pBdr>
        <w:spacing w:before="154" w:line="345" w:lineRule="auto"/>
        <w:ind w:left="450" w:right="367" w:firstLine="55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Nền tảng lý thuyết về cạnh tranh hoàn hảo được đặt ra bởi các nhà kinh tế học  cổ điển như A. Smith (1776) với khái niệm “bàn tay vô hình”, và được phát triển toàn  diện trong khung phân tích tân cổ điển bởi Léon Walras (1874) và Alfred Marshall  (1890). Trong mô hình tổng quát, cạnh tranh hoàn hảo bảo đảm rằng giá bằng chi phí  cận biên (P = MC), dẫn tới phân bổ nguồn lực hiệu quả Pareto, tức không ai có thể </w:t>
      </w:r>
    </w:p>
    <w:p w14:paraId="5C1C176C" w14:textId="77777777" w:rsidR="00F60F67" w:rsidRDefault="00000000">
      <w:pPr>
        <w:widowControl w:val="0"/>
        <w:pBdr>
          <w:top w:val="nil"/>
          <w:left w:val="nil"/>
          <w:bottom w:val="nil"/>
          <w:right w:val="nil"/>
          <w:between w:val="nil"/>
        </w:pBdr>
        <w:spacing w:before="35" w:line="344" w:lineRule="auto"/>
        <w:ind w:left="444" w:right="368" w:firstLine="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cải thiện phúc lợi của mình mà không làm giảm phúc lợi của người khác (Mas-Colell,  Whinston &amp; Green, 1995).  </w:t>
      </w:r>
    </w:p>
    <w:p w14:paraId="3CBB814C" w14:textId="77777777" w:rsidR="00F60F67" w:rsidRDefault="00000000">
      <w:pPr>
        <w:widowControl w:val="0"/>
        <w:pBdr>
          <w:top w:val="nil"/>
          <w:left w:val="nil"/>
          <w:bottom w:val="nil"/>
          <w:right w:val="nil"/>
          <w:between w:val="nil"/>
        </w:pBdr>
        <w:spacing w:before="156" w:line="345" w:lineRule="auto"/>
        <w:ind w:left="441" w:right="368" w:firstLine="57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Cạnh tranh hoàn hảo được coi là chuẩn mực của hiệu quả kinh tế. Khi thị trường  vận hành gần trạng thái này, giá phản ánh đúng chi phí xã hội, nguồn lực được phân  bổ tối ưu, và phúc lợi xã hội được tối đa hóa (Mas-Colell et al., 1995). Người tiêu  dùng hưởng lợi từ giá thấp, sản phẩm đồng nhất. Tuy nhiên, cạnh tranh hoàn hảo là </w:t>
      </w:r>
    </w:p>
    <w:p w14:paraId="005C0C24"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51 </w:t>
      </w:r>
    </w:p>
    <w:p w14:paraId="664A7826" w14:textId="77777777" w:rsidR="00F60F67" w:rsidRDefault="00000000">
      <w:pPr>
        <w:widowControl w:val="0"/>
        <w:pBdr>
          <w:top w:val="nil"/>
          <w:left w:val="nil"/>
          <w:bottom w:val="nil"/>
          <w:right w:val="nil"/>
          <w:between w:val="nil"/>
        </w:pBdr>
        <w:spacing w:before="652" w:line="346" w:lineRule="auto"/>
        <w:ind w:left="443" w:right="36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một mô hình lý tưởng, hiếm khi tồn tại đầy đủ trong thực tiễn. Thị trường thực tế thường có rào cản gia nhập, sản phẩm khác biệt, thông tin bất cân xứng và chi phí  giao dịch, dẫn đến cạnh tranh không hoàn hảo (imperfect competition). Chính vì vậy,  lý thuyết cạnh tranh hoàn hảo thường được sử dụng như chuẩn tham chiếu  (benchmark) để so sánh và đánh giá mức độ lệch chuẩn của các thị trường cụ thể (Scherer &amp; Ross, 1990). </w:t>
      </w:r>
    </w:p>
    <w:p w14:paraId="51F0370D" w14:textId="77777777" w:rsidR="00F60F67" w:rsidRDefault="00000000">
      <w:pPr>
        <w:widowControl w:val="0"/>
        <w:pBdr>
          <w:top w:val="nil"/>
          <w:left w:val="nil"/>
          <w:bottom w:val="nil"/>
          <w:right w:val="nil"/>
          <w:between w:val="nil"/>
        </w:pBdr>
        <w:spacing w:before="148" w:line="346" w:lineRule="auto"/>
        <w:ind w:left="441" w:right="368"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Từ góc độ lý thuyết, TTKT (thông qua sáp nhập, hợp nhất hay mua lại) đều làm  thị trường rời xa trạng thái cạnh tranh hoàn hảo. Khi số lượng doanh nghiệp giảm,  khả năng các doanh nghiệp còn lại có thể tác động đến giá cả và sản lượng tăng lên,  từ đó hình thành quyền lực thị trường. Quyền lực này làm giá cao hơn chi phí cận  biên (P &gt; MC), gây tổn thất phúc lợi cho xã hội (Harberger, 1995). </w:t>
      </w:r>
    </w:p>
    <w:p w14:paraId="077CCF82" w14:textId="77777777" w:rsidR="00F60F67" w:rsidRDefault="00000000">
      <w:pPr>
        <w:widowControl w:val="0"/>
        <w:pBdr>
          <w:top w:val="nil"/>
          <w:left w:val="nil"/>
          <w:bottom w:val="nil"/>
          <w:right w:val="nil"/>
          <w:between w:val="nil"/>
        </w:pBdr>
        <w:spacing w:before="149" w:line="346" w:lineRule="auto"/>
        <w:ind w:left="443" w:right="368" w:firstLine="57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TTKT, nếu không được kiểm soát, có thể biến một thị trường gần cạnh tranh  hoàn hảo thành thị trường độc quyền nhóm (oligopoly) hoặc độc quyền (monopoly).  Điều này đi ngược lại nguyên tắc của lý thuyết cạnh tranh hoàn hảo, vốn khẳng định  hiệu quả tối đa chỉ đạt được khi không có chủ thể nào có khả năng chi phối thị trường  (Tirole, 1988). </w:t>
      </w:r>
    </w:p>
    <w:p w14:paraId="5A316346" w14:textId="77777777" w:rsidR="00F60F67" w:rsidRDefault="00000000">
      <w:pPr>
        <w:widowControl w:val="0"/>
        <w:pBdr>
          <w:top w:val="nil"/>
          <w:left w:val="nil"/>
          <w:bottom w:val="nil"/>
          <w:right w:val="nil"/>
          <w:between w:val="nil"/>
        </w:pBdr>
        <w:spacing w:before="149" w:line="346" w:lineRule="auto"/>
        <w:ind w:left="443" w:right="368" w:firstLine="57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Từ nền tảng lý thuyết cạnh tranh hoàn hảo, QLNN về TTKT được biện minh  như một công cụ điều tiết nhằm giảm thiểu sự lệch chuẩn của thị trường. Khi TTKT  dẫn </w:t>
      </w:r>
      <w:r>
        <w:rPr>
          <w:rFonts w:ascii="Times New Roman" w:eastAsia="Times New Roman" w:hAnsi="Times New Roman" w:cs="Times New Roman"/>
          <w:color w:val="000000"/>
          <w:sz w:val="25"/>
          <w:szCs w:val="25"/>
        </w:rPr>
        <w:lastRenderedPageBreak/>
        <w:t xml:space="preserve">đến mức độ tập trung cao (đo bằng CR, HHI), cơ quan quản lý cần thẩm định để ngăn chặn khả năng hình thành hoặc củng cố quyền lực thị trường quá mức, bảo đảm  thị trường vận hành gần hơn với trạng thái cạnh tranh hoàn hảo. </w:t>
      </w:r>
    </w:p>
    <w:p w14:paraId="33BA6559" w14:textId="77777777" w:rsidR="00F60F67" w:rsidRDefault="00000000">
      <w:pPr>
        <w:widowControl w:val="0"/>
        <w:pBdr>
          <w:top w:val="nil"/>
          <w:left w:val="nil"/>
          <w:bottom w:val="nil"/>
          <w:right w:val="nil"/>
          <w:between w:val="nil"/>
        </w:pBdr>
        <w:spacing w:before="149" w:line="240" w:lineRule="auto"/>
        <w:ind w:left="44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2.3.2.4. Lý thuyết phúc lợi người tiêu dùng (Consumer Welfare Standard) </w:t>
      </w:r>
    </w:p>
    <w:p w14:paraId="10CED6E9" w14:textId="77777777" w:rsidR="00F60F67" w:rsidRDefault="00000000">
      <w:pPr>
        <w:widowControl w:val="0"/>
        <w:pBdr>
          <w:top w:val="nil"/>
          <w:left w:val="nil"/>
          <w:bottom w:val="nil"/>
          <w:right w:val="nil"/>
          <w:between w:val="nil"/>
        </w:pBdr>
        <w:spacing w:before="268" w:line="346" w:lineRule="auto"/>
        <w:ind w:left="444" w:right="367" w:firstLine="57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Theo cách tiếp cận truyền thống, lý thuyết phúc lợi người tiêu dùng (Consumer  Welfare Standard - CWS) nhấn mạnh rằng mục tiêu cốt lõi của PLCT là bảo vệ lợi  ích kinh tế của người tiêu dùng thông qua việc đảm bảo giá cả hợp lý, duy trì chất  lượng hàng hóa - dịch vụ, mở rộng khả năng lựa chọn, và khuyến khích đổi mới  (Bork, 1978; Shapiro, 2010). </w:t>
      </w:r>
    </w:p>
    <w:p w14:paraId="6A17585F" w14:textId="77777777" w:rsidR="00F60F67" w:rsidRDefault="00000000">
      <w:pPr>
        <w:widowControl w:val="0"/>
        <w:pBdr>
          <w:top w:val="nil"/>
          <w:left w:val="nil"/>
          <w:bottom w:val="nil"/>
          <w:right w:val="nil"/>
          <w:between w:val="nil"/>
        </w:pBdr>
        <w:spacing w:before="149" w:line="344" w:lineRule="auto"/>
        <w:ind w:left="444" w:right="368" w:firstLine="56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Để hiểu rõ CWS, cần đặt nó trong mối quan hệ với hai lý thuyết nền tảng là lý  thuyết cạnh tranh hoàn hảo và lý thuyết độc quyền. Về mặt kinh tế học vi mô, cạnh </w:t>
      </w:r>
    </w:p>
    <w:p w14:paraId="1CA62967"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52 </w:t>
      </w:r>
    </w:p>
    <w:p w14:paraId="2D8F15AF" w14:textId="77777777" w:rsidR="00F60F67" w:rsidRDefault="00000000">
      <w:pPr>
        <w:widowControl w:val="0"/>
        <w:pBdr>
          <w:top w:val="nil"/>
          <w:left w:val="nil"/>
          <w:bottom w:val="nil"/>
          <w:right w:val="nil"/>
          <w:between w:val="nil"/>
        </w:pBdr>
        <w:spacing w:before="652" w:line="346" w:lineRule="auto"/>
        <w:ind w:left="441" w:right="368" w:firstLine="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tranh hoàn hảo được coi là trạng thái thị trường lý tưởng, trong đó có nhiều doanh  nghiệp nhỏ, sản phẩm đồng nhất, thông tin minh bạch và không có rào cản gia nhập.  Kết quả thị trường trong điều kiện này là giá bằng chi phí biên (P = MC), bảo đảm  phân bổ nguồn lực hiệu quả Pareto và tối đa hóa thặng dư xã hội (Varian, 2014).  Trong bối cảnh này, phúc lợi của người tiêu dùng được tối đa hóa vì không có doanh  nghiệp nào đủ khả năng chi phối giá cả hoặc hạn chế sản lượng. </w:t>
      </w:r>
    </w:p>
    <w:p w14:paraId="653F9611" w14:textId="77777777" w:rsidR="00F60F67" w:rsidRDefault="00000000">
      <w:pPr>
        <w:widowControl w:val="0"/>
        <w:pBdr>
          <w:top w:val="nil"/>
          <w:left w:val="nil"/>
          <w:bottom w:val="nil"/>
          <w:right w:val="nil"/>
          <w:between w:val="nil"/>
        </w:pBdr>
        <w:spacing w:before="148" w:line="345" w:lineRule="auto"/>
        <w:ind w:left="443" w:right="367" w:firstLine="56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Ngược lại, lý thuyết độc quyền mô tả tình huống một doanh nghiệp duy nhất  kiểm soát thị trường, có khả năng định giá cao hơn chi phí biên và hạn chế sản lượng  để tối đa hóa lợi nhuận (Tirole, 1988). Hệ quả tất yếu là hình thành tổn thất vô ích  (deadweight loss) và sự dịch chuyển thặng dư từ người tiêu dùng sang nhà độc quyền  (Harberger, 1995). Chính trong bối cảnh này, CWS trở thành công cụ để chuẩn hóa  và đo lường các tổn thất. Thông qua đó, các cơ quan QLNN có thể nhận diện mức độ </w:t>
      </w:r>
    </w:p>
    <w:p w14:paraId="536CEC8E" w14:textId="77777777" w:rsidR="00F60F67" w:rsidRDefault="00000000">
      <w:pPr>
        <w:widowControl w:val="0"/>
        <w:pBdr>
          <w:top w:val="nil"/>
          <w:left w:val="nil"/>
          <w:bottom w:val="nil"/>
          <w:right w:val="nil"/>
          <w:between w:val="nil"/>
        </w:pBdr>
        <w:spacing w:before="34" w:line="344" w:lineRule="auto"/>
        <w:ind w:left="444" w:right="368" w:firstLine="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TTKT đẩy thị trường gần hơn tới trạng thái độc quyền, từ đó đưa ra quyết định can  thiệp hoặc yêu cầu các biện pháp khắc phục.  </w:t>
      </w:r>
    </w:p>
    <w:p w14:paraId="14BBF063" w14:textId="77777777" w:rsidR="00F60F67" w:rsidRDefault="00000000">
      <w:pPr>
        <w:widowControl w:val="0"/>
        <w:pBdr>
          <w:top w:val="nil"/>
          <w:left w:val="nil"/>
          <w:bottom w:val="nil"/>
          <w:right w:val="nil"/>
          <w:between w:val="nil"/>
        </w:pBdr>
        <w:spacing w:before="151" w:line="346" w:lineRule="auto"/>
        <w:ind w:left="443" w:right="368" w:firstLine="57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QLNN về TTKT, CWS đóng vai trò là tiêu chí cơ bản để phân tích và ra  quyết định quản lý. Thông thường, khi thẩm định một giao dịch TTKT, CQCT sẽ tập  trung xem xét khả năng giao dịch đó làm giảm mức độ cạnh tranh, từ đó dẫn đến tổn  hại phúc lợi người tiêu dùng thông qua việc gia tăng giá cả, giảm sản lượng, suy giảm  chất lượng hoặc hạn chế lựa chọn (Farrell &amp; Shapiro, 2010).  </w:t>
      </w:r>
    </w:p>
    <w:p w14:paraId="0901AF8E" w14:textId="77777777" w:rsidR="00F60F67" w:rsidRDefault="00000000">
      <w:pPr>
        <w:widowControl w:val="0"/>
        <w:pBdr>
          <w:top w:val="nil"/>
          <w:left w:val="nil"/>
          <w:bottom w:val="nil"/>
          <w:right w:val="nil"/>
          <w:between w:val="nil"/>
        </w:pBdr>
        <w:spacing w:before="154" w:line="345" w:lineRule="auto"/>
        <w:ind w:left="443" w:right="367" w:firstLine="56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Bên cạnh đó, trong khuôn khổ thẩm định TTKT, CWS còn gắn liền với nguyên  tắc cân bằng tổn hại - hiệu quả (trade-off analysis). Theo Williamson (1968), một vụ </w:t>
      </w:r>
      <w:r>
        <w:rPr>
          <w:rFonts w:ascii="Times New Roman" w:eastAsia="Times New Roman" w:hAnsi="Times New Roman" w:cs="Times New Roman"/>
          <w:color w:val="000000"/>
          <w:sz w:val="25"/>
          <w:szCs w:val="25"/>
        </w:rPr>
        <w:lastRenderedPageBreak/>
        <w:t xml:space="preserve">TTKT có thể vừa làm tăng quyền lực thị trường (gây tổn hại cho người tiêu dùng)  vừa tạo ra hiệu quả quy mô và hiệp lực kinh tế. Nhiệm vụ của QLNN là xác định liệu  các hiệu quả này có được chuyển hóa một cách đáng kể sang lợi ích của người tiêu  dùng hay không và chỉ khi lợi ích này đủ lớn để bù đắp tổn thất thì TTKT mới có thể được chấp thuận. </w:t>
      </w:r>
    </w:p>
    <w:p w14:paraId="20B886CC"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53 </w:t>
      </w:r>
    </w:p>
    <w:p w14:paraId="6217FA07" w14:textId="77777777" w:rsidR="00F60F67" w:rsidRDefault="00000000">
      <w:pPr>
        <w:widowControl w:val="0"/>
        <w:pBdr>
          <w:top w:val="nil"/>
          <w:left w:val="nil"/>
          <w:bottom w:val="nil"/>
          <w:right w:val="nil"/>
          <w:between w:val="nil"/>
        </w:pBdr>
        <w:spacing w:before="652" w:line="336" w:lineRule="auto"/>
        <w:ind w:left="443" w:right="368"/>
        <w:rPr>
          <w:rFonts w:ascii="Times New Roman" w:eastAsia="Times New Roman" w:hAnsi="Times New Roman" w:cs="Times New Roman"/>
          <w:b/>
          <w:bCs/>
          <w:i/>
          <w:iCs/>
          <w:color w:val="000000"/>
          <w:sz w:val="25"/>
          <w:szCs w:val="25"/>
        </w:rPr>
      </w:pPr>
      <w:r>
        <w:rPr>
          <w:rFonts w:ascii="Times New Roman" w:eastAsia="Times New Roman" w:hAnsi="Times New Roman" w:cs="Times New Roman"/>
          <w:b/>
          <w:bCs/>
          <w:i/>
          <w:iCs/>
          <w:color w:val="000000"/>
          <w:sz w:val="25"/>
          <w:szCs w:val="25"/>
        </w:rPr>
        <w:t xml:space="preserve">2.3.3. Mục tiêu, nguyên tắc, nội dung, phương pháp quản lý nhà nước về tập trung  kinh tế trong lĩnh vực bán lẻ  </w:t>
      </w:r>
    </w:p>
    <w:p w14:paraId="4CDFC80B" w14:textId="77777777" w:rsidR="00F60F67" w:rsidRDefault="00000000">
      <w:pPr>
        <w:widowControl w:val="0"/>
        <w:pBdr>
          <w:top w:val="nil"/>
          <w:left w:val="nil"/>
          <w:bottom w:val="nil"/>
          <w:right w:val="nil"/>
          <w:between w:val="nil"/>
        </w:pBdr>
        <w:spacing w:before="144" w:line="240" w:lineRule="auto"/>
        <w:ind w:left="44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2.3.3.1. Mục tiêu của quản lý nhà nước về tập trung kinh tế trong lĩnh vực bán lẻ </w:t>
      </w:r>
    </w:p>
    <w:p w14:paraId="400A1E3F" w14:textId="77777777" w:rsidR="00F60F67" w:rsidRDefault="00000000">
      <w:pPr>
        <w:widowControl w:val="0"/>
        <w:pBdr>
          <w:top w:val="nil"/>
          <w:left w:val="nil"/>
          <w:bottom w:val="nil"/>
          <w:right w:val="nil"/>
          <w:between w:val="nil"/>
        </w:pBdr>
        <w:spacing w:before="263" w:line="345" w:lineRule="auto"/>
        <w:ind w:left="441" w:right="367"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bối cảnh bán lẻ hiện đại, nơi cạnh tranh diễn ra theo không gian địa lý vi  mô, đa dạng loại hình (siêu thị, cửa hàng tiện lợi, đại siêu thị, TMĐT/omnichannel)  và có tác động hai phía tới cả người tiêu dùng (downstream) lẫn nhà cung ứng  (upstream), mục tiêu của QLNN về TTKT không thể thuần túy giới hạn ở chuẩn mực  chống độc quyền truyền thống. Thay vào đó, mục tiêu cần được xác lập theo ma trận  đa mục tiêu, liên kết trục phúc lợi người tiêu dùng - cấu trúc cạnh tranh địa phương,  quyền lực mua đối với chuỗi cung ứng, hiệu quả động và đổi mới, cùng ổn định - bền  vững của hệ thống phân phối (OECD, 2014; OECD, 2020; CMA, 2019; Shapiro,  2010). Dưới đây là bốn nhóm mục tiêu cốt lõi của QLNN về TTKT trong lĩnh vực  bán lẻ: </w:t>
      </w:r>
    </w:p>
    <w:p w14:paraId="5F371EF7" w14:textId="77777777" w:rsidR="00F60F67" w:rsidRDefault="00000000">
      <w:pPr>
        <w:widowControl w:val="0"/>
        <w:pBdr>
          <w:top w:val="nil"/>
          <w:left w:val="nil"/>
          <w:bottom w:val="nil"/>
          <w:right w:val="nil"/>
          <w:between w:val="nil"/>
        </w:pBdr>
        <w:spacing w:before="154" w:line="344" w:lineRule="auto"/>
        <w:ind w:left="448" w:right="421" w:firstLine="578"/>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Thứ nhất, bảo đảm phúc lợi người tiêu dùng và duy trì cạnh tranh hiệu quả ở cấp địa phương </w:t>
      </w:r>
    </w:p>
    <w:p w14:paraId="60ABDFE4" w14:textId="77777777" w:rsidR="00F60F67" w:rsidRDefault="00000000">
      <w:pPr>
        <w:widowControl w:val="0"/>
        <w:pBdr>
          <w:top w:val="nil"/>
          <w:left w:val="nil"/>
          <w:bottom w:val="nil"/>
          <w:right w:val="nil"/>
          <w:between w:val="nil"/>
        </w:pBdr>
        <w:spacing w:before="156" w:line="345" w:lineRule="auto"/>
        <w:ind w:left="441" w:right="368" w:firstLine="57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Mục tiêu thứ nhất là bảo đảm kết quả thị trường có lợi cho người tiêu dùng, thấp  hơn về giá, cao hơn về chất lượng, đa dạng hóa lựa chọn, nâng cao tiện ích tiếp cận,  và dịch vụ bằng cách duy trì áp lực cạnh tranh hiệu quả tại các khu vực địa lý cụ thể và giữa các loại hình bán lẻ (đại siêu thị, siêu thị, siêu thị mini, cửa hàng tiện lợi, cửa  hàng bán lẻ truyền thống) (Shapiro, 2010; CMA, 2019). Các nghiên cứu thực nghiệm  cho thấy sự tập trung của nhà bán lẻ lớn có thể dẫn đến tăng quyền lực thị trường, đặc  biệt tại các “thị trường địa phương” nơi rào cản gia nhập về vị trí, lưu lượng và quy  hoạch đô thị HCCT (Basker, 2005; Hausman &amp; Leibtag, 2007). Do đó, QLNN hướng  đến ngăn chặn sự suy giảm cạnh tranh đáng kể trong từng khu vực, kể cả khi thị phần  toàn quốc không cao, đồng thời bảo đảm thay thế chéo thực chất giữa các kênh (ví  dụ: siêu thị truyền thống có thực sự kiềm chế được giá của kênh online trong khu vực  hay không) (CMA, 2019; OECD, 2020). Mục tiêu này bám sát chuẩn mực lý thuyết  phúc lợi người tiêu dùng nhưng mở rộng ra các chỉ số phi giá (chất lượng, chủng loại,  thời gian/chi phí giao dịch, độ phủ) vốn rất đặc trưng của bán lẻ.</w:t>
      </w:r>
    </w:p>
    <w:p w14:paraId="3CB918D4"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54 </w:t>
      </w:r>
    </w:p>
    <w:p w14:paraId="23FA3F2E" w14:textId="77777777" w:rsidR="00F60F67" w:rsidRDefault="00000000">
      <w:pPr>
        <w:widowControl w:val="0"/>
        <w:pBdr>
          <w:top w:val="nil"/>
          <w:left w:val="nil"/>
          <w:bottom w:val="nil"/>
          <w:right w:val="nil"/>
          <w:between w:val="nil"/>
        </w:pBdr>
        <w:spacing w:before="652" w:line="348" w:lineRule="auto"/>
        <w:ind w:left="452" w:right="368" w:firstLine="574"/>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Thứ hai, kiểm soát và điều tiết quyền lực mua (buyer power) để bảo vệ cạnh  tranh ở chuỗi cung ứng và phúc lợi dài hạn </w:t>
      </w:r>
    </w:p>
    <w:p w14:paraId="52568A19" w14:textId="77777777" w:rsidR="00F60F67" w:rsidRDefault="00000000">
      <w:pPr>
        <w:widowControl w:val="0"/>
        <w:pBdr>
          <w:top w:val="nil"/>
          <w:left w:val="nil"/>
          <w:bottom w:val="nil"/>
          <w:right w:val="nil"/>
          <w:between w:val="nil"/>
        </w:pBdr>
        <w:spacing w:before="147" w:line="344" w:lineRule="auto"/>
        <w:ind w:left="443" w:right="365" w:firstLine="56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Bán lẻ là ngành mà quyền lực mua của nhà bán lẻ lớn có thể tác động mạnh đến  giá mua vào, điều khoản thương mại, đầu tư vào bao bì - chất lượng - đổi mới của  nhà cung ứng; quyền lực này có hiệu ứng mơ hồ đối với phúc lợi: có thể chuyển lợi  cho người tiêu dùng qua giá thấp hơn, nhưng cũng có thể kìm hãm động lực đầu tư,  làm loại trừ nhà cung ứng nhỏ, hoặc tạo rủi ro bóp méo cạnh tranh ở thượng nguồn  (Dobson &amp; Waterson, 1997; Inderst &amp; Shaffer, 2007; Inderst &amp; Valletti, 2011). Vì  vậy, mục tiêu thứ hai của QLNN là định vị và kiềm chế quyền lực mua ở mức hiệu  quả, bảo đảm: (i) điều khoản thương mại công bằng - minh bạch; (ii) không lạm dụng  các thực tiễn như chiết khấu điều kiện độc quyền, khoản phí mà nhà bán lẻ áp dụng  để buộc nhà cung cấp phải trả khi muốn sản phẩm mình lên kệ (Slotting allowances),  hay “yêu cầu đầu tư riêng”</w:t>
      </w:r>
      <w:r>
        <w:rPr>
          <w:rFonts w:ascii="Times New Roman" w:eastAsia="Times New Roman" w:hAnsi="Times New Roman" w:cs="Times New Roman"/>
          <w:color w:val="000000"/>
          <w:sz w:val="27"/>
          <w:szCs w:val="27"/>
          <w:vertAlign w:val="superscript"/>
        </w:rPr>
        <w:t xml:space="preserve">2 </w:t>
      </w:r>
      <w:r>
        <w:rPr>
          <w:rFonts w:ascii="Times New Roman" w:eastAsia="Times New Roman" w:hAnsi="Times New Roman" w:cs="Times New Roman"/>
          <w:color w:val="000000"/>
          <w:sz w:val="25"/>
          <w:szCs w:val="25"/>
        </w:rPr>
        <w:t xml:space="preserve">bất cân xứng; (iii) duy trì đa dạng nhà cung ứng và khuyến  khích đầu tư/đổi mới ở thượng nguồn (OECD, 2014; OECD, 2015). Mục tiêu này  giúp cân bằng lợi ích ngắn hạn (giá thấp) với phúc lợi động dài hạn (chất lượng - đổi  mới - đa dạng nguồn cung). </w:t>
      </w:r>
    </w:p>
    <w:p w14:paraId="5CFCB85F" w14:textId="77777777" w:rsidR="00F60F67" w:rsidRDefault="00000000">
      <w:pPr>
        <w:widowControl w:val="0"/>
        <w:pBdr>
          <w:top w:val="nil"/>
          <w:left w:val="nil"/>
          <w:bottom w:val="nil"/>
          <w:right w:val="nil"/>
          <w:between w:val="nil"/>
        </w:pBdr>
        <w:spacing w:before="150" w:line="348" w:lineRule="auto"/>
        <w:ind w:left="448" w:right="368" w:firstLine="578"/>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Thứ ba, thúc đẩy hiệu quả động, chuyển đổi số và đổi mới sáng tạo theo hướng  có lợi cho người tiêu dùng </w:t>
      </w:r>
    </w:p>
    <w:p w14:paraId="663A05CD" w14:textId="77777777" w:rsidR="00F60F67" w:rsidRDefault="00000000">
      <w:pPr>
        <w:widowControl w:val="0"/>
        <w:pBdr>
          <w:top w:val="nil"/>
          <w:left w:val="nil"/>
          <w:bottom w:val="nil"/>
          <w:right w:val="nil"/>
          <w:between w:val="nil"/>
        </w:pBdr>
        <w:spacing w:before="147" w:line="346" w:lineRule="auto"/>
        <w:ind w:left="441" w:right="367" w:firstLine="58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Sự dịch chuyển sang mô hình bán hàng đa kênh (omnichannel), logistics thông  minh, dữ liệu lớn và thuật toán định giá khiến hiệu quả động (dynamic efficiency) trở thành mục tiêu trung tâm trong TTKT bán lẻ. QLNN cần khuyến khích sáp nhập tạo  hiệu quả (merger-specific efficiencies) như tối ưu chuỗi cung ứng, giảm chi phí vận  hành và cải thiện dịch vụ (giao hàng nhanh, quản lý tồn kho thời gian thực), với điều  kiện các hiệu quả này có thể kiểm chứng và chuyển hóa đáng kể sang lợi ích người  tiêu dùng, thay vì chỉ tích tụ lợi nhuận (Shapiro, 2010). Văn liệu gần đây cũng cảnh  báo rủi ro nền tảng số: dữ liệu và hiệu ứng mạng có thể tạo rào cản gia nhập mới, dẫn  đến khóa trói hệ sinh thái hoặc tự ưu tiên (self-preferencing), từ đó làm giảm cường  </w:t>
      </w:r>
    </w:p>
    <w:p w14:paraId="5AFD7BE3" w14:textId="77777777" w:rsidR="00F60F67" w:rsidRDefault="00000000">
      <w:pPr>
        <w:widowControl w:val="0"/>
        <w:pBdr>
          <w:top w:val="nil"/>
          <w:left w:val="nil"/>
          <w:bottom w:val="nil"/>
          <w:right w:val="nil"/>
          <w:between w:val="nil"/>
        </w:pBdr>
        <w:spacing w:before="823" w:line="225" w:lineRule="auto"/>
        <w:ind w:left="443" w:right="382" w:firstLine="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1"/>
          <w:szCs w:val="21"/>
          <w:vertAlign w:val="superscript"/>
        </w:rPr>
        <w:t xml:space="preserve">2 </w:t>
      </w:r>
      <w:r>
        <w:rPr>
          <w:rFonts w:ascii="Times New Roman" w:eastAsia="Times New Roman" w:hAnsi="Times New Roman" w:cs="Times New Roman"/>
          <w:color w:val="000000"/>
          <w:sz w:val="20"/>
          <w:szCs w:val="20"/>
        </w:rPr>
        <w:t>Việc có sự không đồng đều, không công bằng trong việc yêu cầu đầu tư: một số nhà cung cấp có thể phải  chịu khoản đầu tư hoặc phí tổn lớn hơn nhiều so với những nhà cung cấp khác, do đó tạo ra rào cản cạnh tranh  và yếu tố bất lợi cho những nhà cung cấp yếu thế hoặc nhỏ lẻ.</w:t>
      </w:r>
    </w:p>
    <w:p w14:paraId="49869B51"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55 </w:t>
      </w:r>
    </w:p>
    <w:p w14:paraId="4C0142D3" w14:textId="77777777" w:rsidR="00F60F67" w:rsidRDefault="00000000">
      <w:pPr>
        <w:widowControl w:val="0"/>
        <w:pBdr>
          <w:top w:val="nil"/>
          <w:left w:val="nil"/>
          <w:bottom w:val="nil"/>
          <w:right w:val="nil"/>
          <w:between w:val="nil"/>
        </w:pBdr>
        <w:spacing w:before="652" w:line="346" w:lineRule="auto"/>
        <w:ind w:left="443" w:right="367" w:firstLine="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độ cạnh tranh tương lai (OECD, 2020). Do đó, mục tiêu thứ ba là tối đa hóa lợi ích  đổi mới (dịch vụ mới, trải nghiệm người dùng, chất lượng) đồng thời giảm thiểu rủi  ro tích </w:t>
      </w:r>
      <w:r>
        <w:rPr>
          <w:rFonts w:ascii="Times New Roman" w:eastAsia="Times New Roman" w:hAnsi="Times New Roman" w:cs="Times New Roman"/>
          <w:color w:val="000000"/>
          <w:sz w:val="25"/>
          <w:szCs w:val="25"/>
        </w:rPr>
        <w:lastRenderedPageBreak/>
        <w:t xml:space="preserve">tụ sức mạnh dữ liệu và đảm bảo tính tương tác - trung lập hạ tầng trong hệ sinh thái số của bán lẻ. </w:t>
      </w:r>
    </w:p>
    <w:p w14:paraId="676D6EAB" w14:textId="77777777" w:rsidR="00F60F67" w:rsidRDefault="00000000">
      <w:pPr>
        <w:widowControl w:val="0"/>
        <w:pBdr>
          <w:top w:val="nil"/>
          <w:left w:val="nil"/>
          <w:bottom w:val="nil"/>
          <w:right w:val="nil"/>
          <w:between w:val="nil"/>
        </w:pBdr>
        <w:spacing w:before="148" w:line="348" w:lineRule="auto"/>
        <w:ind w:left="447" w:right="368" w:firstLine="579"/>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Thứ tư, bảo đảm ổn định - bền vững hệ thống phân phối, khả năng chống chịu  và các mục tiêu chính sách công liên quan </w:t>
      </w:r>
    </w:p>
    <w:p w14:paraId="6C3B840A" w14:textId="77777777" w:rsidR="00F60F67" w:rsidRDefault="00000000">
      <w:pPr>
        <w:widowControl w:val="0"/>
        <w:pBdr>
          <w:top w:val="nil"/>
          <w:left w:val="nil"/>
          <w:bottom w:val="nil"/>
          <w:right w:val="nil"/>
          <w:between w:val="nil"/>
        </w:pBdr>
        <w:spacing w:before="147" w:line="345" w:lineRule="auto"/>
        <w:ind w:left="441" w:right="368"/>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Lĩnh vực bán lẻ, nhất là bán lẻ thực phẩm - thiết yếu, đóng vai trò hạ tầng thị trường đối với an ninh tiêu dùng, khả năng phục vụ vùng sâu - vùng xa, và khả năng  chống chịu chuỗi cung ứng trước cú sốc như thiên tai, đại dịch. Vì vậy, mục tiêu thứ tư của QLNN là bảo đảm tính liên tục - bao trùm của dịch vụ bán lẻ, tránh “điểm độc  quyền độc địa phương” khiến khu vực bị phụ thuộc vào một nhà bán lẻ duy nhất;  đồng thời phối hợp với quy định của pháp luật về chứng khoán và đầu tư để duy trì  minh bạch tài chính, quản trị tốt, và ổn định tài chính doanh nghiệp bán lẻ quy mô  lớn (IOSCO, 2017; OECD, 2019). Ở thượng nguồn, mục tiêu còn bao gồm bền vững  chuỗi cung ứng (lao động, môi trường, truy xuất nguồn gốc), qua đó nội hóa các ngoại  ứng xã hội - môi trường gắn với chiến lược mua hàng/nhãn riêng (OECD, 2014). </w:t>
      </w:r>
    </w:p>
    <w:p w14:paraId="42455F61" w14:textId="77777777" w:rsidR="00F60F67" w:rsidRDefault="00000000">
      <w:pPr>
        <w:widowControl w:val="0"/>
        <w:pBdr>
          <w:top w:val="nil"/>
          <w:left w:val="nil"/>
          <w:bottom w:val="nil"/>
          <w:right w:val="nil"/>
          <w:between w:val="nil"/>
        </w:pBdr>
        <w:spacing w:before="149" w:line="240" w:lineRule="auto"/>
        <w:ind w:left="44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2.3.3.2. Nguyên tắc của quản lý nhà nước về tập trung kinh tế trong lĩnh vực bán lẻ </w:t>
      </w:r>
    </w:p>
    <w:p w14:paraId="7A68EDDE" w14:textId="77777777" w:rsidR="00F60F67" w:rsidRDefault="00000000">
      <w:pPr>
        <w:widowControl w:val="0"/>
        <w:pBdr>
          <w:top w:val="nil"/>
          <w:left w:val="nil"/>
          <w:bottom w:val="nil"/>
          <w:right w:val="nil"/>
          <w:between w:val="nil"/>
        </w:pBdr>
        <w:spacing w:before="268" w:line="345" w:lineRule="auto"/>
        <w:ind w:left="443" w:right="367" w:firstLine="57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lĩnh vực bán lẻ, hoạt động TTKT có những đặc thù riêng do tồn tại cùng  lúc nhiều cách thức bán lẻ như siêu thị, đại siêu thị, cửa hàng tiện lợi, TMĐT và bán  hàng đa kênh (omnichannel), đồng thời có mối liên kết mật thiết với cả người tiêu  dùng cuối cùng và các nhà cung ứng đầu nguồn. Do đó, QLNN về TTKT trong lĩnh  vực bán lẻ không chỉ tuân thủ các nguyên tắc chung của kiểm soát TTKT, mà còn cần  thích ứng với các yêu cầu đặc thù của ngành. Các nghiên cứu quốc tế cho thấy hệ </w:t>
      </w:r>
    </w:p>
    <w:p w14:paraId="267A517D" w14:textId="77777777" w:rsidR="00F60F67" w:rsidRDefault="00000000">
      <w:pPr>
        <w:widowControl w:val="0"/>
        <w:pBdr>
          <w:top w:val="nil"/>
          <w:left w:val="nil"/>
          <w:bottom w:val="nil"/>
          <w:right w:val="nil"/>
          <w:between w:val="nil"/>
        </w:pBdr>
        <w:spacing w:before="29" w:line="346" w:lineRule="auto"/>
        <w:ind w:left="444" w:right="36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thống QLNN trong lĩnh vực này được vận hành theo bốn nhóm nguyên tắc cơ bản:  (1) nguyên tắc bảo đảm phúc lợi người tiêu dùng và duy trì cạnh tranh; (2) nguyên  tắc minh bạch, công bằng và không phân biệt đối xử; (3) nguyên tắc cân bằng lợi ích  - hiệu quả và phát triển bền vững; (4) nguyên tắc phối hợp liên ngành và phù hợp  chuẩn mực quốc tế. </w:t>
      </w:r>
    </w:p>
    <w:p w14:paraId="3D94FB5B" w14:textId="77777777" w:rsidR="00F60F67" w:rsidRDefault="00000000">
      <w:pPr>
        <w:widowControl w:val="0"/>
        <w:pBdr>
          <w:top w:val="nil"/>
          <w:left w:val="nil"/>
          <w:bottom w:val="nil"/>
          <w:right w:val="nil"/>
          <w:between w:val="nil"/>
        </w:pBdr>
        <w:spacing w:before="149" w:line="348" w:lineRule="auto"/>
        <w:ind w:left="452" w:right="368" w:firstLine="574"/>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Thứ nhất, nguyên tắc bảo đảm phúc lợi người tiêu dùng và duy trì cạnh tranh  thực chất</w:t>
      </w:r>
    </w:p>
    <w:p w14:paraId="177BAED3"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56 </w:t>
      </w:r>
    </w:p>
    <w:p w14:paraId="7EEE832E" w14:textId="77777777" w:rsidR="00F60F67" w:rsidRDefault="00000000">
      <w:pPr>
        <w:widowControl w:val="0"/>
        <w:pBdr>
          <w:top w:val="nil"/>
          <w:left w:val="nil"/>
          <w:bottom w:val="nil"/>
          <w:right w:val="nil"/>
          <w:between w:val="nil"/>
        </w:pBdr>
        <w:spacing w:before="652" w:line="345" w:lineRule="auto"/>
        <w:ind w:left="443" w:right="368" w:firstLine="56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Nguyên tắc đầu tiên, cũng là trung tâm, của QLNN về TTKT trong lĩnh vực bán  lẻ là bảo đảm phúc lợi người tiêu dùng thông qua duy trì cạnh tranh hiệu quả ở các  cấp độ địa phương và loại hình bán lẻ. Nhiều nghiên cứu chỉ ra rằng sự tập trung cao  trong lĩnh vực bán lẻ có thể dẫn đến gia tăng quyền lực thị trường, gây tổn hại đến  người tiêu dùng qua giá cao hơn, giảm lựa chọn hoặc chất lượng dịch vụ thấp hơn  (Basker, 2005; </w:t>
      </w:r>
      <w:r>
        <w:rPr>
          <w:rFonts w:ascii="Times New Roman" w:eastAsia="Times New Roman" w:hAnsi="Times New Roman" w:cs="Times New Roman"/>
          <w:color w:val="000000"/>
          <w:sz w:val="25"/>
          <w:szCs w:val="25"/>
        </w:rPr>
        <w:lastRenderedPageBreak/>
        <w:t xml:space="preserve">Hausman &amp; Leibtag, 2007). Đồng thời, bán lẻ còn liên quan đến  “quyền lực mua” (buyer power) của các nhà bán lẻ lớn, vốn có thể ảnh hưởng tiêu  cực đến nhà cung ứng và gián tiếp làm suy giảm sức cạnh tranh trong dài hạn (Inderst  &amp; Shaffer, 2007; OECD, 2014). Vì vậy, Nhà nước phải tuân thủ nguyên tắc chỉ chấp  thuận TTKT khi các giao dịch không tạo ra hoặc củng cố sức mạnh thị trường quá  mức, đồng thời duy trì điều kiện cho sự gia nhập mới, đổi mới và cạnh tranh đa kênh  (Farrell &amp; Shapiro, 2010; CMA, 2019). </w:t>
      </w:r>
    </w:p>
    <w:p w14:paraId="1F2B7433" w14:textId="77777777" w:rsidR="00F60F67" w:rsidRDefault="00000000">
      <w:pPr>
        <w:widowControl w:val="0"/>
        <w:pBdr>
          <w:top w:val="nil"/>
          <w:left w:val="nil"/>
          <w:bottom w:val="nil"/>
          <w:right w:val="nil"/>
          <w:between w:val="nil"/>
        </w:pBdr>
        <w:spacing w:before="154" w:line="240" w:lineRule="auto"/>
        <w:ind w:left="1026"/>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Thứ hai, nguyên tắc minh bạch, công bằng và không phân biệt đối xử </w:t>
      </w:r>
    </w:p>
    <w:p w14:paraId="61157F00" w14:textId="77777777" w:rsidR="00F60F67" w:rsidRDefault="00000000">
      <w:pPr>
        <w:widowControl w:val="0"/>
        <w:pBdr>
          <w:top w:val="nil"/>
          <w:left w:val="nil"/>
          <w:bottom w:val="nil"/>
          <w:right w:val="nil"/>
          <w:between w:val="nil"/>
        </w:pBdr>
        <w:spacing w:before="263" w:line="345" w:lineRule="auto"/>
        <w:ind w:left="441" w:right="368" w:firstLine="56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Nguyên tắc thứ hai là đảm bảo QLNN về TTKT diễn ra trong môi trường minh  bạch về thủ tục, đối xử công bằng, không phân biệt giữa các chủ thể tham gia. Trong  lĩnh vực bán lẻ, nơi có sự tham gia của cả doanh nghiệp nội địa và tập đoàn đa quốc  gia, nguyên tắc này đặc biệt quan trọng để bảo đảm niềm tin vào pháp luật và thị </w:t>
      </w:r>
    </w:p>
    <w:p w14:paraId="10B5FEDE" w14:textId="77777777" w:rsidR="00F60F67" w:rsidRDefault="00000000">
      <w:pPr>
        <w:widowControl w:val="0"/>
        <w:pBdr>
          <w:top w:val="nil"/>
          <w:left w:val="nil"/>
          <w:bottom w:val="nil"/>
          <w:right w:val="nil"/>
          <w:between w:val="nil"/>
        </w:pBdr>
        <w:spacing w:before="34" w:line="345" w:lineRule="auto"/>
        <w:ind w:left="443" w:right="36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trường. Theo IOSCO (2017), minh bạch và công bằng là điều kiện then chốt của một  thị trường vốn - tài chính hiệu quả, gắn liền với yêu cầu công bố thông tin đầy đủ, đối  xử bình đẳng với cổ đông và ngăn ngừa hành vi thao túng. Áp dụng trong TTKT bán  lẻ, điều này đòi hỏi quy trình thẩm định phải công khai tiêu chí, các bên có quyền tiếp  cận và phản biện, đồng thời Nhà nước không có sự phân biệt trong cách thức đánh  giá giữa các loại hình bán lẻ (siêu thị so với cửa hàng tiện lợi, bán lẻ truyền thống so  với TMĐT) hay giữa nhà đầu tư trong nước và nước ngoài, trừ khi có căn cứ chính  đáng về an ninh hoặc lợi ích công (OECD, 2020a). </w:t>
      </w:r>
    </w:p>
    <w:p w14:paraId="30FF3249" w14:textId="77777777" w:rsidR="00F60F67" w:rsidRDefault="00000000">
      <w:pPr>
        <w:widowControl w:val="0"/>
        <w:pBdr>
          <w:top w:val="nil"/>
          <w:left w:val="nil"/>
          <w:bottom w:val="nil"/>
          <w:right w:val="nil"/>
          <w:between w:val="nil"/>
        </w:pBdr>
        <w:spacing w:before="149" w:line="240" w:lineRule="auto"/>
        <w:ind w:left="1026"/>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Thứ ba, nguyên tắc cân bằng lợi ích - hiệu quả và phát triển bền vững </w:t>
      </w:r>
    </w:p>
    <w:p w14:paraId="4938F7BB" w14:textId="77777777" w:rsidR="00F60F67" w:rsidRDefault="00000000">
      <w:pPr>
        <w:widowControl w:val="0"/>
        <w:pBdr>
          <w:top w:val="nil"/>
          <w:left w:val="nil"/>
          <w:bottom w:val="nil"/>
          <w:right w:val="nil"/>
          <w:between w:val="nil"/>
        </w:pBdr>
        <w:spacing w:before="268" w:line="345" w:lineRule="auto"/>
        <w:ind w:left="443" w:right="367" w:firstLine="56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Nguyên tắc thứ ba nhấn mạnh yêu cầu cân bằng giữa ngăn ngừa tác động HCCT  và khuyến khích hiệu quả - đổi mới. Trong lĩnh vực bán lẻ, các vụ việc TTKT có thể mang lại lợi ích đáng kể như giảm chi phí logistics, cải thiện quản lý chuỗi cung ứng,  mở rộng dịch vụ omnichannel và nâng cao trải nghiệm người tiêu dùng (Shapiro, </w:t>
      </w:r>
    </w:p>
    <w:p w14:paraId="29849947"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57 </w:t>
      </w:r>
    </w:p>
    <w:p w14:paraId="5EF8F230" w14:textId="77777777" w:rsidR="00F60F67" w:rsidRDefault="00000000">
      <w:pPr>
        <w:widowControl w:val="0"/>
        <w:pBdr>
          <w:top w:val="nil"/>
          <w:left w:val="nil"/>
          <w:bottom w:val="nil"/>
          <w:right w:val="nil"/>
          <w:between w:val="nil"/>
        </w:pBdr>
        <w:spacing w:before="652" w:line="346" w:lineRule="auto"/>
        <w:ind w:left="443" w:right="368" w:firstLine="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2010). Tuy nhiên, những lợi ích này chỉ được chấp nhận khi có thể chứng minh là  đặc thù (merger-specific), có thể kiểm chứng (verifiable) và có khả năng chuyển hóa  sang phúc lợi người tiêu dùng (consumer pass-on) (Farrell &amp; Shapiro, 2010; Moresi  &amp; Salop, 2013). Bên cạnh đó, bán lẻ còn gắn với tính bền vững của chuỗi cung ứng,  lao động và môi trường; vì vậy, nguyên tắc quản lý hiện đại yêu cầu cân nhắc cả các  mục tiêu công rộng hơn như đảm bảo cung ứng hàng thiết yếu, phát triển vùng sâu - </w:t>
      </w:r>
    </w:p>
    <w:p w14:paraId="0F6FFA86" w14:textId="77777777" w:rsidR="00F60F67" w:rsidRDefault="00000000">
      <w:pPr>
        <w:widowControl w:val="0"/>
        <w:pBdr>
          <w:top w:val="nil"/>
          <w:left w:val="nil"/>
          <w:bottom w:val="nil"/>
          <w:right w:val="nil"/>
          <w:between w:val="nil"/>
        </w:pBdr>
        <w:spacing w:before="28" w:line="436" w:lineRule="auto"/>
        <w:ind w:left="1026" w:right="1255" w:hanging="583"/>
        <w:rPr>
          <w:rFonts w:ascii="Times New Roman" w:eastAsia="Times New Roman" w:hAnsi="Times New Roman" w:cs="Times New Roman"/>
          <w:i/>
          <w:iCs/>
          <w:color w:val="000000"/>
          <w:sz w:val="25"/>
          <w:szCs w:val="25"/>
        </w:rPr>
      </w:pPr>
      <w:r>
        <w:rPr>
          <w:rFonts w:ascii="Times New Roman" w:eastAsia="Times New Roman" w:hAnsi="Times New Roman" w:cs="Times New Roman"/>
          <w:color w:val="000000"/>
          <w:sz w:val="25"/>
          <w:szCs w:val="25"/>
        </w:rPr>
        <w:t xml:space="preserve">vùng xa, và giảm tác động môi trường (OECD, 2015; UNCTAD, 2020). </w:t>
      </w:r>
      <w:r>
        <w:rPr>
          <w:rFonts w:ascii="Times New Roman" w:eastAsia="Times New Roman" w:hAnsi="Times New Roman" w:cs="Times New Roman"/>
          <w:i/>
          <w:iCs/>
          <w:color w:val="000000"/>
          <w:sz w:val="25"/>
          <w:szCs w:val="25"/>
        </w:rPr>
        <w:t xml:space="preserve">Thứ tư, nguyên tắc phối hợp liên ngành và phù hợp chuẩn mực quốc tế </w:t>
      </w:r>
    </w:p>
    <w:p w14:paraId="55EAAD69" w14:textId="77777777" w:rsidR="00F60F67" w:rsidRDefault="00000000">
      <w:pPr>
        <w:widowControl w:val="0"/>
        <w:pBdr>
          <w:top w:val="nil"/>
          <w:left w:val="nil"/>
          <w:bottom w:val="nil"/>
          <w:right w:val="nil"/>
          <w:between w:val="nil"/>
        </w:pBdr>
        <w:spacing w:before="56" w:line="345" w:lineRule="auto"/>
        <w:ind w:left="443" w:right="367" w:firstLine="56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Nguyên tắc thứ tư là phối hợp liên ngành và tương thích với chuẩn mực quốc  tế, phản ánh bản chất liên ngành của TTKT trong bán lẻ. Một vụ việc TTKT trong  lĩnh vực bán lẻ có thể đồng thời chịu sự điều chỉnh của Luật Cạnh tranh, Luật Doanh  nghiệp, Luật Chứng khoán, Luật Đầu tư và luật chuyên ngành (ngân hàng, TMĐT,  logistics). Vì vậy, QLNN cần cơ chế phối hợp giữa các CQCT, chứng khoán, đầu tư,  quản lý thị trường và cơ quan chuyên ngành, nhằm bảo đảm tính nhất quán và giảm  chi phí tuân thủ (OECD, 2020b; UNCTAD, 2020). Đồng thời, trong bối cảnh các tập  đoàn bán lẻ lớn hoạt động xuyên biên giới, nguyên tắc tương thích quốc tế - thông  qua hợp tác chia sẻ thông tin, hài hòa quy trình và công nhận lẫn nhau - là yếu tố quyết định để bảo đảm hiệu lực của quản lý, tránh xung đột pháp lý và tạo môi trường  đầu tư minh bạch (ICN, 2013). </w:t>
      </w:r>
    </w:p>
    <w:p w14:paraId="270B80F8" w14:textId="77777777" w:rsidR="00F60F67" w:rsidRDefault="00000000">
      <w:pPr>
        <w:widowControl w:val="0"/>
        <w:pBdr>
          <w:top w:val="nil"/>
          <w:left w:val="nil"/>
          <w:bottom w:val="nil"/>
          <w:right w:val="nil"/>
          <w:between w:val="nil"/>
        </w:pBdr>
        <w:spacing w:before="154" w:line="240" w:lineRule="auto"/>
        <w:ind w:left="44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2.3.3.3. Nội dung của quản lý nhà nước về tập trung kinh tế trong lĩnh vực bán lẻ </w:t>
      </w:r>
    </w:p>
    <w:p w14:paraId="7F5F6C2D" w14:textId="77777777" w:rsidR="00F60F67" w:rsidRDefault="00000000">
      <w:pPr>
        <w:widowControl w:val="0"/>
        <w:pBdr>
          <w:top w:val="nil"/>
          <w:left w:val="nil"/>
          <w:bottom w:val="nil"/>
          <w:right w:val="nil"/>
          <w:between w:val="nil"/>
        </w:pBdr>
        <w:spacing w:before="263" w:line="346" w:lineRule="auto"/>
        <w:ind w:left="434" w:right="367" w:firstLine="585"/>
        <w:jc w:val="both"/>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QLNN về TTKT trong lĩnh vực bán lẻ tập trung ở các nội dung chính như sau:  (1) Xây dựng pháp luật để điều chỉnh TTKT nói chung và TTKT trong lĩnh vực bán  lẻ nói riêng; (2) Áp dụng pháp luật để quản lý các vụ việc TTKT trong lĩnh vực bán  lẻ phát sinh trong thực tiễn (qua ba giai đoạn là tiền giao dịch, thẩm định và hậu  giao dịch).  </w:t>
      </w:r>
    </w:p>
    <w:p w14:paraId="0AC6027F" w14:textId="77777777" w:rsidR="00F60F67" w:rsidRDefault="00000000">
      <w:pPr>
        <w:widowControl w:val="0"/>
        <w:pBdr>
          <w:top w:val="nil"/>
          <w:left w:val="nil"/>
          <w:bottom w:val="nil"/>
          <w:right w:val="nil"/>
          <w:between w:val="nil"/>
        </w:pBdr>
        <w:spacing w:before="149" w:line="240" w:lineRule="auto"/>
        <w:ind w:left="1026"/>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(1) Xây dựng pháp luật để điều chỉnh TTKT trong lĩnh vực bán lẻ </w:t>
      </w:r>
    </w:p>
    <w:p w14:paraId="695A7742" w14:textId="77777777" w:rsidR="00F60F67" w:rsidRDefault="00000000">
      <w:pPr>
        <w:widowControl w:val="0"/>
        <w:pBdr>
          <w:top w:val="nil"/>
          <w:left w:val="nil"/>
          <w:bottom w:val="nil"/>
          <w:right w:val="nil"/>
          <w:between w:val="nil"/>
        </w:pBdr>
        <w:spacing w:before="249" w:line="346" w:lineRule="auto"/>
        <w:ind w:left="443" w:right="368" w:firstLine="56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Nội dung đầu tiên của QLNN là xây dựng khung pháp luật đồng bộ, liên ngành  để điều chỉnh TTKT. Cốt lõi của PLCT là quy định rõ các hình thức TTKT (sáp nhập,  hợp nhất, mua lại, liên doanh), ngưỡng thông báo (theo doanh thu, tài sản, giá trị giao </w:t>
      </w:r>
    </w:p>
    <w:p w14:paraId="4E9E16DC"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58 </w:t>
      </w:r>
    </w:p>
    <w:p w14:paraId="21DFE7BD" w14:textId="77777777" w:rsidR="00F60F67" w:rsidRDefault="00000000">
      <w:pPr>
        <w:widowControl w:val="0"/>
        <w:pBdr>
          <w:top w:val="nil"/>
          <w:left w:val="nil"/>
          <w:bottom w:val="nil"/>
          <w:right w:val="nil"/>
          <w:between w:val="nil"/>
        </w:pBdr>
        <w:spacing w:before="652" w:line="346" w:lineRule="auto"/>
        <w:ind w:left="443" w:right="368" w:firstLine="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dịch hoặc thị phần kết hợp) và việc đình chỉ hoàn tất giao dịch (standstill obligation)  nhằm ngăn chặn hành vi thực hiện giao dịch trước khi có quyết định của CQCT (ICN,  2018; OECD, 2020a). Việc thẩm định tác động TTKT trong lĩnh vực bán lẻ được  định hướng bởi chuẩn tác động HCCT đáng kể (SLC) và tiêu chuẩn phúc lợi người  tiêu dùng (CWS), trong đó không chỉ giới hạn ở yếu tố giá mà còn bao gồm chất  lượng, sự đa dạng sản phẩm và đổi mới (Shapiro, 2010). </w:t>
      </w:r>
    </w:p>
    <w:p w14:paraId="25CA1421" w14:textId="77777777" w:rsidR="00F60F67" w:rsidRDefault="00000000">
      <w:pPr>
        <w:widowControl w:val="0"/>
        <w:pBdr>
          <w:top w:val="nil"/>
          <w:left w:val="nil"/>
          <w:bottom w:val="nil"/>
          <w:right w:val="nil"/>
          <w:between w:val="nil"/>
        </w:pBdr>
        <w:spacing w:before="148" w:line="345" w:lineRule="auto"/>
        <w:ind w:left="441" w:right="367"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quan hệ với pháp luật doanh nghiệp và chứng khoán, TTKT bán lẻ gắn  liền với các quy định về tổ chức lại doanh nghiệp, nghị quyết/quyết định của đại hội  đồng cổ đông, công bố thông tin bắt buộc, nguyên tắc bình đẳng cổ đông và cơ chế bảo vệ cổ đông thiểu số. Những thiết chế này bảo đảm tính minh bạch và ngăn chặn  lạm dụng quyền lực trong quá trình hợp nhất hoặc thâu tóm, đặc biệt đối với các  doanh nghiệp niêm yết (IOSCO, 2017). Đồng thời, pháp luật đầu tư và cơ chế kiểm  soát, thẩm định và phê duyệt các khoản đầu tư trực tiếp nước ngoài trước khi được  triển khai tại một quốc gia tạo công cụ bảo vệ an ninh kinh tế thông qua việc giới hạn  tỷ lệ sở hữu nước ngoài hoặc áp đặt </w:t>
      </w:r>
      <w:r>
        <w:rPr>
          <w:rFonts w:ascii="Times New Roman" w:eastAsia="Times New Roman" w:hAnsi="Times New Roman" w:cs="Times New Roman"/>
          <w:color w:val="000000"/>
          <w:sz w:val="25"/>
          <w:szCs w:val="25"/>
        </w:rPr>
        <w:lastRenderedPageBreak/>
        <w:t xml:space="preserve">các điều kiện liên quan đến công nghệ, dữ liệu,  hạ tầng bán lẻ thiết yếu trong các giao dịch có yếu tố ngoại (OECD, 2020b;  UNCTAD, 2020). </w:t>
      </w:r>
    </w:p>
    <w:p w14:paraId="547300FE" w14:textId="77777777" w:rsidR="00F60F67" w:rsidRDefault="00000000">
      <w:pPr>
        <w:widowControl w:val="0"/>
        <w:pBdr>
          <w:top w:val="nil"/>
          <w:left w:val="nil"/>
          <w:bottom w:val="nil"/>
          <w:right w:val="nil"/>
          <w:between w:val="nil"/>
        </w:pBdr>
        <w:spacing w:before="154" w:line="345" w:lineRule="auto"/>
        <w:ind w:left="441" w:right="368" w:firstLine="57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Đối với lĩnh vực bán lẻ, các quy định pháp luật chuyên ngành về an toàn thực  phẩm, TMĐT, logistics và bảo vệ dữ liệu cá nhân cũng được coi là một phần nội dung  QLNN, vì TTKT có thể tác động trực tiếp đến chuỗi cung ứng và hoạt động nền tảng  số. Những chuẩn mực này nhằm nội hóa các ngoại ứng xã hội - môi trường trong lĩnh  vực bán lẻ và bảo đảm phát triển bền vững (OECD, 2014; OECD, 2015).  </w:t>
      </w:r>
    </w:p>
    <w:p w14:paraId="5AF9E34B" w14:textId="77777777" w:rsidR="00F60F67" w:rsidRDefault="00000000">
      <w:pPr>
        <w:widowControl w:val="0"/>
        <w:pBdr>
          <w:top w:val="nil"/>
          <w:left w:val="nil"/>
          <w:bottom w:val="nil"/>
          <w:right w:val="nil"/>
          <w:between w:val="nil"/>
        </w:pBdr>
        <w:spacing w:before="155" w:line="333" w:lineRule="auto"/>
        <w:ind w:left="439" w:right="368" w:firstLine="586"/>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 Áp dụng pháp luật để quản lý các vụ việc TTKT trong lĩnh vực bán lẻ phát  sinh trong thực tiễn </w:t>
      </w:r>
    </w:p>
    <w:p w14:paraId="3F9197FA" w14:textId="77777777" w:rsidR="00F60F67" w:rsidRDefault="00000000">
      <w:pPr>
        <w:widowControl w:val="0"/>
        <w:pBdr>
          <w:top w:val="nil"/>
          <w:left w:val="nil"/>
          <w:bottom w:val="nil"/>
          <w:right w:val="nil"/>
          <w:between w:val="nil"/>
        </w:pBdr>
        <w:spacing w:before="148" w:line="346" w:lineRule="auto"/>
        <w:ind w:left="441" w:right="368" w:firstLine="585"/>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Trong giai đoạn tiền giao dịch</w:t>
      </w:r>
      <w:r>
        <w:rPr>
          <w:rFonts w:ascii="Times New Roman" w:eastAsia="Times New Roman" w:hAnsi="Times New Roman" w:cs="Times New Roman"/>
          <w:color w:val="000000"/>
          <w:sz w:val="25"/>
          <w:szCs w:val="25"/>
        </w:rPr>
        <w:t xml:space="preserve">, nội dung quản lý tập trung vào nghĩa vụ thông  báo và đăng ký. Doanh nghiệp bán lẻ khi tiến hành TTKT có trách nhiệm nộp hồ sơ  tại CQCT nếu vượt ngưỡng thông báo, đồng thời thực hiện công bố thông tin tại cơ  quan chứng khoán (đối với công ty đại chúng) và cơ quan đầu tư (nếu có yếu tố FDI).  Việc thực hiện nghĩa vụ đình chỉ hoàn tất giao dịch trước khi có quyết định phê duyệt  là yêu cầu bắt buộc (ICN, 2018). </w:t>
      </w:r>
    </w:p>
    <w:p w14:paraId="4F802298"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59 </w:t>
      </w:r>
    </w:p>
    <w:p w14:paraId="01BBF3B8" w14:textId="77777777" w:rsidR="00F60F67" w:rsidRDefault="00000000">
      <w:pPr>
        <w:widowControl w:val="0"/>
        <w:pBdr>
          <w:top w:val="nil"/>
          <w:left w:val="nil"/>
          <w:bottom w:val="nil"/>
          <w:right w:val="nil"/>
          <w:between w:val="nil"/>
        </w:pBdr>
        <w:spacing w:before="652" w:line="346" w:lineRule="auto"/>
        <w:ind w:left="443" w:right="368" w:firstLine="56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Đối với doanh nghiệp bán lẻ niêm yết, quy định về công bố thông tin minh bạch,  kịp thời về kế hoạch chào mua công khai, giá chào, nguồn tài trợ và tác động quản trị sau giao dịch là nội dung thiết yếu, nhằm bảo vệ lợi ích của nhà đầu tư và đảm bảo  tính toàn vẹn của thị trường vốn (IOSCO, 2017). Trường hợp có yếu tố FDI, cơ quan  quản lý có quyền sàng lọc giao dịch theo tiêu chí an ninh, dữ liệu và chuỗi cung ứng,  thậm chí kèm điều kiện như giới hạn tỷ lệ sở hữu, nghĩa vụ duy trì chuỗi phân phối  hoặc bảo đảm dữ liệu người tiêu dùng (OECD, 2020b). </w:t>
      </w:r>
    </w:p>
    <w:p w14:paraId="22818CCC" w14:textId="77777777" w:rsidR="00F60F67" w:rsidRDefault="00000000">
      <w:pPr>
        <w:widowControl w:val="0"/>
        <w:pBdr>
          <w:top w:val="nil"/>
          <w:left w:val="nil"/>
          <w:bottom w:val="nil"/>
          <w:right w:val="nil"/>
          <w:between w:val="nil"/>
        </w:pBdr>
        <w:spacing w:before="149" w:line="334" w:lineRule="auto"/>
        <w:ind w:left="446" w:right="368" w:firstLine="579"/>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Giai đoạn thẩm định </w:t>
      </w:r>
      <w:r>
        <w:rPr>
          <w:rFonts w:ascii="Times New Roman" w:eastAsia="Times New Roman" w:hAnsi="Times New Roman" w:cs="Times New Roman"/>
          <w:color w:val="000000"/>
          <w:sz w:val="25"/>
          <w:szCs w:val="25"/>
        </w:rPr>
        <w:t xml:space="preserve">là trọng tâm của QLNN đối với TTKT trong bán lẻ. Như  đã trình bày ở trên, trong phạm vi của Luận án này, tác giả sẽ tập trung phân tích nội  dung QLNN về kiểm soát TTKT trong lĩnh vực bán lẻ, thể hiện qua giai đoạn thẩm  định một vụ việc TTKT cần thông báo đến CQCT.  </w:t>
      </w:r>
    </w:p>
    <w:p w14:paraId="5F03355E" w14:textId="77777777" w:rsidR="00F60F67" w:rsidRDefault="00000000">
      <w:pPr>
        <w:widowControl w:val="0"/>
        <w:pBdr>
          <w:top w:val="nil"/>
          <w:left w:val="nil"/>
          <w:bottom w:val="nil"/>
          <w:right w:val="nil"/>
          <w:between w:val="nil"/>
        </w:pBdr>
        <w:spacing w:before="152" w:line="345" w:lineRule="auto"/>
        <w:ind w:left="441" w:right="368" w:firstLine="57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Cụ thể, các vụ việc TTKT có thể được phân loại thành hai nhóm cơ bản. Nhóm  thứ nhất bao gồm các vụ việc TTKT bị cấm hoặc bắt buộc phải chịu sự kiểm soát từ phía CQNN, do bản chất hoàn toàn gây hại đến cạnh tranh hoặc tiềm ẩn nguy cơ ảnh  hưởng tiêu cực nếu không được kiểm soát hoặc không kèm theo các điều kiện nhằm  khắc phục hệ quả bất lợi đối với môi trường cạnh tranh. Nhóm thứ hai là các vụ việc  TTKT được phép thực hiện mà không phải chịu bất kỳ ràng buộc nào về mặt kiểm  soát, trong trường hợp đã được CQCT đánh giá và kết luận là không gây ra nguy cơ  ảnh hưởng đáng kể đến </w:t>
      </w:r>
      <w:r>
        <w:rPr>
          <w:rFonts w:ascii="Times New Roman" w:eastAsia="Times New Roman" w:hAnsi="Times New Roman" w:cs="Times New Roman"/>
          <w:color w:val="000000"/>
          <w:sz w:val="25"/>
          <w:szCs w:val="25"/>
        </w:rPr>
        <w:lastRenderedPageBreak/>
        <w:t xml:space="preserve">cạnh tranh trên thị trường. Trong quá trình thực hiện kiểm  soát TTKT, việc phân loại các vụ việc vào từng nhóm và xác định cơ chế xử lý tương  ứng được thực hiện dựa trên tiêu chí về “ngưỡng thông báo TTKT” (threshold). </w:t>
      </w:r>
    </w:p>
    <w:p w14:paraId="19233E07" w14:textId="77777777" w:rsidR="00F60F67" w:rsidRDefault="00000000">
      <w:pPr>
        <w:widowControl w:val="0"/>
        <w:pBdr>
          <w:top w:val="nil"/>
          <w:left w:val="nil"/>
          <w:bottom w:val="nil"/>
          <w:right w:val="nil"/>
          <w:between w:val="nil"/>
        </w:pBdr>
        <w:spacing w:before="149" w:line="345" w:lineRule="auto"/>
        <w:ind w:left="443" w:right="368" w:firstLine="56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Đối với lĩnh các vụ việc TTKT thuộc đối tượng phải kiểm soát, CQCT xác định  TTLQ theo hai chiều: cách thức bán lẻ (retail format) như siêu thị, đại siêu thị, cửa  hàng tiện lợi, TMĐT, và thị trường địa lý tương ứng với phạm vi phục vụ của cửa  hàng. Đặc thù của bán lẻ là cạnh tranh diễn ra chủ yếu ở cấp độ địa phương và theo  hình thức nào, do đó việc thẩm định phải phản ánh chính xác đặc điểm này (CMA,  2019; OECD, 2020a). </w:t>
      </w:r>
    </w:p>
    <w:p w14:paraId="780F5514" w14:textId="77777777" w:rsidR="00F60F67" w:rsidRDefault="00000000">
      <w:pPr>
        <w:widowControl w:val="0"/>
        <w:pBdr>
          <w:top w:val="nil"/>
          <w:left w:val="nil"/>
          <w:bottom w:val="nil"/>
          <w:right w:val="nil"/>
          <w:between w:val="nil"/>
        </w:pBdr>
        <w:spacing w:before="154" w:line="344" w:lineRule="auto"/>
        <w:ind w:left="449" w:right="368"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Sau khi tiếp nhận hồ sơ thông báo TTKT, CQCT sẽ tiến hành thẩm định, đánh  giá nội dung vụ việc theo các tiêu chí pháp lý nhằm xác định mức độ tác động của  giao dịch đến cạnh tranh theo nội dung sau: </w:t>
      </w:r>
    </w:p>
    <w:p w14:paraId="7F3FC57D"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60 </w:t>
      </w:r>
    </w:p>
    <w:p w14:paraId="4C885BE6" w14:textId="77777777" w:rsidR="00F60F67" w:rsidRDefault="00000000">
      <w:pPr>
        <w:widowControl w:val="0"/>
        <w:pBdr>
          <w:top w:val="nil"/>
          <w:left w:val="nil"/>
          <w:bottom w:val="nil"/>
          <w:right w:val="nil"/>
          <w:between w:val="nil"/>
        </w:pBdr>
        <w:spacing w:before="652" w:line="335" w:lineRule="auto"/>
        <w:ind w:left="441" w:right="366" w:firstLine="561"/>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ĐGTĐ hoặc khả năng gây tác động HCCT của việc TTKT trong lĩnh vực bán lẻ </w:t>
      </w:r>
      <w:r>
        <w:rPr>
          <w:rFonts w:ascii="Times New Roman" w:eastAsia="Times New Roman" w:hAnsi="Times New Roman" w:cs="Times New Roman"/>
          <w:color w:val="000000"/>
          <w:sz w:val="25"/>
          <w:szCs w:val="25"/>
        </w:rPr>
        <w:t xml:space="preserve">Hoạt động này được thực hiện bởi CQCT trên cơ sở tiến hành một chuỗi các  phân tích có tính chất kinh tế, dựa vào việc xem xét, đánh giá cụ thể từng vụ việc  TTKT diễn ra trên thị trường bán lẻ. Đối với các trường hợp TTKT theo chiều ngang  trong lĩnh vực này, mục đích của việc phân tích tác động HCCT là nhằm xác định  mức độ đáng kể của khả năng gây ảnh hưởng HCCT, thông qua việc tạo ra hoặc củng  cố vị thế cũng như động lực của doanh nghiệp bán lẻ trong việc sử dụng sức mạnh  thị trường sau khi thực hiện TTKT, thông qua các hành vi mang tính đơn phương  hoặc phối hợp với doanh nghiệp cạnh tranh hiện có trên thị trường bán lẻ. Do đó,  trong quá trình thẩm định tác động hoặc khả năng gây tác động HCCT, UBCTQG  thường đặt trọng tâm xem xét liệu vụ việc TTKT trong lĩnh vực bán lẻ có dẫn đến  khả năng xuất hiện các hành vi lạm dụng vị trí thị trường một cách đơn phương hoặc  dưới hình thức phối hợp hay không. </w:t>
      </w:r>
    </w:p>
    <w:p w14:paraId="263A5A67" w14:textId="77777777" w:rsidR="00F60F67" w:rsidRDefault="00000000">
      <w:pPr>
        <w:widowControl w:val="0"/>
        <w:pBdr>
          <w:top w:val="nil"/>
          <w:left w:val="nil"/>
          <w:bottom w:val="nil"/>
          <w:right w:val="nil"/>
          <w:between w:val="nil"/>
        </w:pBdr>
        <w:spacing w:before="31" w:line="240" w:lineRule="auto"/>
        <w:ind w:left="1002"/>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ĐGTĐ đơn phương  </w:t>
      </w:r>
    </w:p>
    <w:p w14:paraId="27AADEB6" w14:textId="77777777" w:rsidR="00F60F67" w:rsidRDefault="00000000">
      <w:pPr>
        <w:widowControl w:val="0"/>
        <w:pBdr>
          <w:top w:val="nil"/>
          <w:left w:val="nil"/>
          <w:bottom w:val="nil"/>
          <w:right w:val="nil"/>
          <w:between w:val="nil"/>
        </w:pBdr>
        <w:spacing w:before="129" w:line="334" w:lineRule="auto"/>
        <w:ind w:left="443" w:right="368" w:firstLine="56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Việc đánh giá mức độ rào cản gia nhập thị trường của các đối thủ tiềm năng  cũng như khả năng mở rộng sản xuất là yếu tố quan trọng trong quá trình xem xét tác  động của TTKT, bởi lẽ về nguyên tắc, việc thực hiện TTKT thường dẫn đến sự thay  đổi trong cấu trúc và tương quan cạnh tranh giữa doanh nghiệp đang hoạt động trên  thị trường bán lẻ, đồng thời làm gia tăng sức mạnh thị trường của doanh nghiệp được  hình thành sau TTKT, từ đó có thể làm suy giảm khả năng gia nhập thị trường của  các đối thủ mới. Ngoài ra, việc đánh giá mức độ cạnh tranh thực tế và tiềm năng trong  tương lai cũng đóng vai trò quan trọng, bởi nếu không có đủ áp lực cạnh tranh trực  tiếp từ các đối thủ hiện hữu, doanh nghiệp sau TTKT có thể có điều kiện để lạm dụng  sức mạnh thị trường. Ngược lại, khi thị trường có mức độ tập trung cao, áp lực cạnh  tranh bị suy giảm, điều này sẽ làm gia tăng nguy cơ doanh nghiệp sau TTKT có thể khai thác sức mạnh thị trường </w:t>
      </w:r>
      <w:r>
        <w:rPr>
          <w:rFonts w:ascii="Times New Roman" w:eastAsia="Times New Roman" w:hAnsi="Times New Roman" w:cs="Times New Roman"/>
          <w:color w:val="000000"/>
          <w:sz w:val="25"/>
          <w:szCs w:val="25"/>
        </w:rPr>
        <w:lastRenderedPageBreak/>
        <w:t xml:space="preserve">một cách bất hợp lý. Bên cạnh đó, các yếu tố như đặc  điểm phương thức cạnh tranh trên thị trường, tốc độ tăng trưởng ngành, mức độ cải  tiến công nghệ, khả năng phân biệt hóa sản phẩm, mức độ tập trung thị trường và sức  mạnh của doanh nghiệp sau TTKT, khả năng tăng giá hoặc mở rộng biên lợi nhuận  đáng kể, cũng như khả năng loại bỏ các đối thủ cạnh tranh tiềm tàng, ngăn cản sự gia  nhập hoặc mở rộng thị trường của doanh nghiệp mới, đều là yếu tố cần được cân nhắc  trong quá trình đánh giá khả năng phát sinh tác động HCCT từ TTKT. </w:t>
      </w:r>
    </w:p>
    <w:p w14:paraId="612EB5EB"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61 </w:t>
      </w:r>
    </w:p>
    <w:p w14:paraId="5805F55A" w14:textId="77777777" w:rsidR="00F60F67" w:rsidRDefault="00000000">
      <w:pPr>
        <w:widowControl w:val="0"/>
        <w:pBdr>
          <w:top w:val="nil"/>
          <w:left w:val="nil"/>
          <w:bottom w:val="nil"/>
          <w:right w:val="nil"/>
          <w:between w:val="nil"/>
        </w:pBdr>
        <w:spacing w:before="652" w:line="240" w:lineRule="auto"/>
        <w:ind w:left="1002"/>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ĐGTĐ kết hợp </w:t>
      </w:r>
    </w:p>
    <w:p w14:paraId="77A256A2" w14:textId="77777777" w:rsidR="00F60F67" w:rsidRDefault="00000000">
      <w:pPr>
        <w:widowControl w:val="0"/>
        <w:pBdr>
          <w:top w:val="nil"/>
          <w:left w:val="nil"/>
          <w:bottom w:val="nil"/>
          <w:right w:val="nil"/>
          <w:between w:val="nil"/>
        </w:pBdr>
        <w:spacing w:before="134" w:line="334" w:lineRule="auto"/>
        <w:ind w:left="441" w:right="367" w:firstLine="57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quá trình phân tích tác động phối hợp của vụ việc TTKT, CQCT thường  tiến hành đánh giá xem liệu các điều kiện thị trường sau khi TTKT được thực hiện có  làm gia tăng khả năng doanh nghiệp cấu kết một cách ngầm định hoặc tăng cường  các liên kết hiện hữu, từ đó gây ra tác động HCCT một cách đáng kể trên TTLQ hay  không. Đồng thời, cần tiến hành xem xét năng lực cạnh tranh của doanh nghiệp liên  quan trước thời điểm thực hiện TTKT, cũng như các yếu tố có khả năng kìm hãm  hoặc ngăn cản hành vi thông đồng giữa doanh nghiệp đó sau khi TTKT đã hoàn tất.  Việc đánh giá này phải dựa trên toàn bộ các bằng chứng mà CQCT có thể thu thập,  bao gồm việc phân tích các điều kiện thị trường trước khi TTKT được tiến hành để xác định liệu các điều kiện đó có tạo thuận lợi hoặc gây bất lợi cho khả năng hình  thành liên kết giữa DN, cũng như ĐGTĐ cụ thể của vụ việc TTKT đối với sự thay  đổi của những điều kiện thị trường nói trên. </w:t>
      </w:r>
    </w:p>
    <w:p w14:paraId="29E275FF" w14:textId="77777777" w:rsidR="00F60F67" w:rsidRDefault="00000000">
      <w:pPr>
        <w:widowControl w:val="0"/>
        <w:pBdr>
          <w:top w:val="nil"/>
          <w:left w:val="nil"/>
          <w:bottom w:val="nil"/>
          <w:right w:val="nil"/>
          <w:between w:val="nil"/>
        </w:pBdr>
        <w:spacing w:before="27" w:line="240" w:lineRule="auto"/>
        <w:ind w:left="1026"/>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Tác động HCCT trực tiếp </w:t>
      </w:r>
    </w:p>
    <w:p w14:paraId="6FD575E6" w14:textId="77777777" w:rsidR="00F60F67" w:rsidRDefault="00000000">
      <w:pPr>
        <w:widowControl w:val="0"/>
        <w:pBdr>
          <w:top w:val="nil"/>
          <w:left w:val="nil"/>
          <w:bottom w:val="nil"/>
          <w:right w:val="nil"/>
          <w:between w:val="nil"/>
        </w:pBdr>
        <w:spacing w:before="134" w:line="334" w:lineRule="auto"/>
        <w:ind w:left="441" w:right="368" w:firstLine="569"/>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Việc xác định TTLQ có vai trò thiết yếu trong việc thiết lập khuôn khổ thị trường, nơi doanh nghiệp được xem xét phải chịu sự tác động trực tiếp từ hành vi  cạnh tranh của các chủ thể kinh doanh khác trên cùng thị trường. Mặc dù mức độ tập  trung thị trường không phản ánh một cách trực tiếp cường độ cạnh tranh đang diễn  ra, song đây vẫn là một công cụ hữu ích để CQCT đưa ra đánh giá sơ bộ về khả năng  phát sinh lo ngại cạnh tranh từ một vụ việc TTKT, nhất là trong trường hợp sự cạnh  tranh trực tiếp từ các đối thủ không đủ mạnh để kiềm chế hành vi lạm dụng sức mạnh  thị trường của doanh nghiệp sau TTKT. Theo nguyên tắc chung, khi thị trường có  mức độ tập trung cao, áp lực cạnh tranh trực tiếp đối với doanh nghiệp hình thành sau  TTKT sẽ giảm đi tương ứng. Một số chỉ số cơ bản thường được sử dụng để đánh giá  mức độ tập trung bao gồm thị phần, chỉ số tập trung thị trường (CR) và chỉ số </w:t>
      </w:r>
    </w:p>
    <w:p w14:paraId="6B18F695" w14:textId="77777777" w:rsidR="00F60F67" w:rsidRDefault="00000000">
      <w:pPr>
        <w:widowControl w:val="0"/>
        <w:pBdr>
          <w:top w:val="nil"/>
          <w:left w:val="nil"/>
          <w:bottom w:val="nil"/>
          <w:right w:val="nil"/>
          <w:between w:val="nil"/>
        </w:pBdr>
        <w:spacing w:before="27" w:line="240" w:lineRule="auto"/>
        <w:ind w:left="44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Herfindahl-Hirschman (HHI). </w:t>
      </w:r>
    </w:p>
    <w:p w14:paraId="37B8A00D" w14:textId="77777777" w:rsidR="00F60F67" w:rsidRDefault="00000000">
      <w:pPr>
        <w:widowControl w:val="0"/>
        <w:pBdr>
          <w:top w:val="nil"/>
          <w:left w:val="nil"/>
          <w:bottom w:val="nil"/>
          <w:right w:val="nil"/>
          <w:between w:val="nil"/>
        </w:pBdr>
        <w:spacing w:before="254" w:line="345" w:lineRule="auto"/>
        <w:ind w:left="446" w:right="368" w:firstLine="56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Đặc biệt, với lĩnh vực bán lẻ, CQCT phải xem xét tác động đến quyền lực mua  (buyer power) của doanh nghiệp sau TTKT đối với nhà cung ứng. Sự gia tăng quyền  lực mua có thể dẫn tới điều khoản giao dịch bất lợi, phí trưng bày (slotting  allowances) cao </w:t>
      </w:r>
      <w:r>
        <w:rPr>
          <w:rFonts w:ascii="Times New Roman" w:eastAsia="Times New Roman" w:hAnsi="Times New Roman" w:cs="Times New Roman"/>
          <w:color w:val="000000"/>
          <w:sz w:val="25"/>
          <w:szCs w:val="25"/>
        </w:rPr>
        <w:lastRenderedPageBreak/>
        <w:t xml:space="preserve">hơn, hoặc chiến lược nhãn riêng làm suy giảm động lực đổi mới và  đa dạng hóa của nhà cung ứng (Inderst &amp; Shaffer, 2007; OECD, 2014). Dù quyền lực </w:t>
      </w:r>
    </w:p>
    <w:p w14:paraId="40E0D82E"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62 </w:t>
      </w:r>
    </w:p>
    <w:p w14:paraId="0CD2452A" w14:textId="77777777" w:rsidR="00F60F67" w:rsidRDefault="00000000">
      <w:pPr>
        <w:widowControl w:val="0"/>
        <w:pBdr>
          <w:top w:val="nil"/>
          <w:left w:val="nil"/>
          <w:bottom w:val="nil"/>
          <w:right w:val="nil"/>
          <w:between w:val="nil"/>
        </w:pBdr>
        <w:spacing w:before="652" w:line="348" w:lineRule="auto"/>
        <w:ind w:left="446" w:right="368" w:hanging="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mua có thể mang lại lợi ích ngắn hạn về giá cho người tiêu dùng, song rủi ro dài hạn  đối với sự bền vững của chuỗi cung ứng là đáng kể. </w:t>
      </w:r>
    </w:p>
    <w:p w14:paraId="79B417AC" w14:textId="77777777" w:rsidR="00F60F67" w:rsidRDefault="00000000">
      <w:pPr>
        <w:widowControl w:val="0"/>
        <w:pBdr>
          <w:top w:val="nil"/>
          <w:left w:val="nil"/>
          <w:bottom w:val="nil"/>
          <w:right w:val="nil"/>
          <w:between w:val="nil"/>
        </w:pBdr>
        <w:spacing w:before="147" w:line="334" w:lineRule="auto"/>
        <w:ind w:left="441" w:right="367" w:firstLine="57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Trên phương diện quản trị và thị trường vốn, thẩm định còn bao gồm việc kiểm  tra tính hợp pháp của nghị quyết cổ đông, bảo vệ cổ đông thiểu số, và đảm bảo công  bố thông tin chính xác, đầy đủ để ngăn chặn giao dịch nội gián hoặc thao túng cổ phiếu (IOSCO, 2017). Cuối cùng, cơ quan nhà nước (CQNN) có thể áp dụng điều  kiện nhằm nội hóa ngoại ứng xã hội - môi trường, như yêu cầu duy trì độ phủ điểm  bán ở vùng nông thôn, tuân thủ chuẩn ESG trong chuỗi cung ứng, hoặc áp dụng cơ  chế bảo mật dữ liệu để bảo vệ quyền riêng tư người tiêu dùng (OECD, 2015;  UNCTAD, 2020). </w:t>
      </w:r>
    </w:p>
    <w:p w14:paraId="0CFD2343" w14:textId="77777777" w:rsidR="00F60F67" w:rsidRDefault="00000000">
      <w:pPr>
        <w:widowControl w:val="0"/>
        <w:pBdr>
          <w:top w:val="nil"/>
          <w:left w:val="nil"/>
          <w:bottom w:val="nil"/>
          <w:right w:val="nil"/>
          <w:between w:val="nil"/>
        </w:pBdr>
        <w:spacing w:before="32" w:line="334" w:lineRule="auto"/>
        <w:ind w:left="441" w:right="368" w:firstLine="569"/>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Sau khi hoàn tất thẩm định</w:t>
      </w:r>
      <w:r>
        <w:rPr>
          <w:rFonts w:ascii="Times New Roman" w:eastAsia="Times New Roman" w:hAnsi="Times New Roman" w:cs="Times New Roman"/>
          <w:color w:val="000000"/>
          <w:sz w:val="25"/>
          <w:szCs w:val="25"/>
        </w:rPr>
        <w:t xml:space="preserve">, CQCT đưa ra quyết định: chấp thuận, chấp thuận  có điều kiện hoặc cấm. Khi chấp thuận có điều kiện, cơ quan quản lý có thể áp dụng  biện pháp khắc phục cấu trúc (thoái vốn, tách nhãn hiệu) hoặc biện pháp khắc phục  hành vi (nghĩa vụ truy cập công bằng theo nguyên tắc FRAND (i.e, Fair (Công bằng),  Reasonable (Hợp lý) và Non-Discriminatory (Không phân biệt đối xử), cấm ràng  buộc độc quyền, duy trì khả năng tương tác API, áp dụng tường lửa dữ liệu) (ICN,  2013; OECD, 2020a). Các biện pháp này nhằm đảm bảo rằng lợi ích hợp nhất được  chuyển hóa thành phúc lợi xã hội mà không gây tổn hại đến cạnh tranh. </w:t>
      </w:r>
    </w:p>
    <w:p w14:paraId="663E8BE4" w14:textId="77777777" w:rsidR="00F60F67" w:rsidRDefault="00000000">
      <w:pPr>
        <w:widowControl w:val="0"/>
        <w:pBdr>
          <w:top w:val="nil"/>
          <w:left w:val="nil"/>
          <w:bottom w:val="nil"/>
          <w:right w:val="nil"/>
          <w:between w:val="nil"/>
        </w:pBdr>
        <w:spacing w:before="27" w:line="334" w:lineRule="auto"/>
        <w:ind w:left="441" w:right="368" w:firstLine="56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Nội dung quản lý hậu giao dịch còn bao gồm giám sát và hậu kiểm. Cơ quan  quản lý theo dõi việc thực hiện các biện pháp khắc phục, đồng thời tiến hành hậu  kiểm định kỳ bằng cách đo lường biến động giá, chất lượng dịch vụ, độ phủ hệ thống  phân phối, đầu tư vào nghiên cứu và phát triển hoặc logistics sau TTKT. Nếu phát  hiện vi phạm hoặc không tuân thủ các yêu cầu của CQCT, CQCT sau đó có thể áp  dụng chế tài bổ sung, bao gồm xử phạt hành chính hoặc yêu cầu tái cấu trúc  (UNCTAD, 2020). Kết quả hậu kiểm đồng thời là cơ sở để cập nhật ngưỡng thông  báo, tiêu chuẩn thẩm định và bộ công cụ khắc phục phù hợp với bối cảnh mới, đặc  biệt trong nền kinh tế số và TMĐT. </w:t>
      </w:r>
    </w:p>
    <w:p w14:paraId="08899FC5" w14:textId="77777777" w:rsidR="00F60F67" w:rsidRDefault="00000000">
      <w:pPr>
        <w:widowControl w:val="0"/>
        <w:pBdr>
          <w:top w:val="nil"/>
          <w:left w:val="nil"/>
          <w:bottom w:val="nil"/>
          <w:right w:val="nil"/>
          <w:between w:val="nil"/>
        </w:pBdr>
        <w:spacing w:before="147" w:line="240" w:lineRule="auto"/>
        <w:ind w:left="44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2.3.3.4. Phương pháp quản lý nhà nước về tập trung kinh tế trong lĩnh vực bán lẻ </w:t>
      </w:r>
    </w:p>
    <w:p w14:paraId="22C2F84C" w14:textId="77777777" w:rsidR="00F60F67" w:rsidRDefault="00000000">
      <w:pPr>
        <w:widowControl w:val="0"/>
        <w:pBdr>
          <w:top w:val="nil"/>
          <w:left w:val="nil"/>
          <w:bottom w:val="nil"/>
          <w:right w:val="nil"/>
          <w:between w:val="nil"/>
        </w:pBdr>
        <w:spacing w:before="268" w:line="344" w:lineRule="auto"/>
        <w:ind w:left="443" w:right="368"/>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Phương pháp QLNN về kinh tế nói chung và về TTKT trong lĩnh vực bán lẻ nói riêng là tổng thể các cách thức tác động có chủ đích và có thể có của Nhà nước  lên toàn bộ hệ thống nền kinh tế hoặc lên hoạt động TTKT trong lĩnh vực bán lẻ nhằm </w:t>
      </w:r>
    </w:p>
    <w:p w14:paraId="2CBC4A23"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63 </w:t>
      </w:r>
    </w:p>
    <w:p w14:paraId="4E74E1FA" w14:textId="77777777" w:rsidR="00F60F67" w:rsidRDefault="00000000">
      <w:pPr>
        <w:widowControl w:val="0"/>
        <w:pBdr>
          <w:top w:val="nil"/>
          <w:left w:val="nil"/>
          <w:bottom w:val="nil"/>
          <w:right w:val="nil"/>
          <w:between w:val="nil"/>
        </w:pBdr>
        <w:spacing w:before="652" w:line="346" w:lineRule="auto"/>
        <w:ind w:left="441" w:right="367" w:firstLine="5"/>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đạt được các mục tiêu quản lý đã đề ra. Những phương pháp QLNN phổ biến, điển  hình </w:t>
      </w:r>
      <w:r>
        <w:rPr>
          <w:rFonts w:ascii="Times New Roman" w:eastAsia="Times New Roman" w:hAnsi="Times New Roman" w:cs="Times New Roman"/>
          <w:color w:val="000000"/>
          <w:sz w:val="25"/>
          <w:szCs w:val="25"/>
        </w:rPr>
        <w:lastRenderedPageBreak/>
        <w:t xml:space="preserve">có thể kể đến là: phương pháp hành chính, phương pháp kinh tế, phương pháp  vận động giáo dục hoặc theo cách phân loại khác là: phương pháp tác động trực tiếp,  phương pháp gián tiếp,… Trong đó: </w:t>
      </w:r>
    </w:p>
    <w:p w14:paraId="750E15AC" w14:textId="77777777" w:rsidR="00F60F67" w:rsidRDefault="00000000">
      <w:pPr>
        <w:widowControl w:val="0"/>
        <w:pBdr>
          <w:top w:val="nil"/>
          <w:left w:val="nil"/>
          <w:bottom w:val="nil"/>
          <w:right w:val="nil"/>
          <w:between w:val="nil"/>
        </w:pBdr>
        <w:spacing w:before="148" w:line="345" w:lineRule="auto"/>
        <w:ind w:left="443" w:right="368" w:firstLine="712"/>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Phương pháp hành chính </w:t>
      </w:r>
      <w:r>
        <w:rPr>
          <w:rFonts w:ascii="Times New Roman" w:eastAsia="Times New Roman" w:hAnsi="Times New Roman" w:cs="Times New Roman"/>
          <w:color w:val="000000"/>
          <w:sz w:val="25"/>
          <w:szCs w:val="25"/>
        </w:rPr>
        <w:t xml:space="preserve">là phương thức tác động trực tiếp đến đối tượng quản  lý thông qua những quy định nghĩa vụ mà đối tượng quản lý phải thực hiện. Nó có  tính bắt buộc và tính quyền lực. Tính bắt buộc đòi hỏi đối tượng quản lý phải chấp  hành nghiêm chỉnh các tác động của Nhà nước, nếu vi phạm sẽ bị xử lý. Thực chất  của phương pháp hành chính trong CQCT là nhà nước sử dụng quyền lực của mình  để tạo ra sự phục tùng của các đối tượng quản lý. Đối với hoạt động TTKT trên thị </w:t>
      </w:r>
    </w:p>
    <w:p w14:paraId="3862703B" w14:textId="77777777" w:rsidR="00F60F67" w:rsidRDefault="00000000">
      <w:pPr>
        <w:widowControl w:val="0"/>
        <w:pBdr>
          <w:top w:val="nil"/>
          <w:left w:val="nil"/>
          <w:bottom w:val="nil"/>
          <w:right w:val="nil"/>
          <w:between w:val="nil"/>
        </w:pBdr>
        <w:spacing w:before="34" w:line="345" w:lineRule="auto"/>
        <w:ind w:left="446" w:right="367" w:hanging="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trường bán lẻ Việt Nam, đối tượng chịu sự quản lý của Nhà nước là các chủ thể tham  gia hoạt động TTKT, bao gồm các nhà đầu tư trong và ngoài nước (doanh nghiệp) có  đầy đủ các điều kiện về năng lực chủ thể mà pháp luật quy định và có hoạt động kinh  doanh trong lĩnh vực bán lẻ.  </w:t>
      </w:r>
    </w:p>
    <w:p w14:paraId="33784DF1" w14:textId="77777777" w:rsidR="00F60F67" w:rsidRDefault="00000000">
      <w:pPr>
        <w:widowControl w:val="0"/>
        <w:pBdr>
          <w:top w:val="nil"/>
          <w:left w:val="nil"/>
          <w:bottom w:val="nil"/>
          <w:right w:val="nil"/>
          <w:between w:val="nil"/>
        </w:pBdr>
        <w:spacing w:before="149" w:line="346" w:lineRule="auto"/>
        <w:ind w:left="443" w:right="368" w:firstLine="712"/>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Phương pháp vận động giáo dục </w:t>
      </w:r>
      <w:r>
        <w:rPr>
          <w:rFonts w:ascii="Times New Roman" w:eastAsia="Times New Roman" w:hAnsi="Times New Roman" w:cs="Times New Roman"/>
          <w:color w:val="000000"/>
          <w:sz w:val="25"/>
          <w:szCs w:val="25"/>
        </w:rPr>
        <w:t xml:space="preserve">là cách thức tác động vào nhận thức, tâm lý,  tình cảm của con người thuộc đối tượng quản lý nhằm nâng cao tính tự giác, tích cực  và nhiệt tình của họ trong việc thực hiện nghĩa vụ. Phương pháp giáo dục có những  hình thức: tuyên truyền, vận động, thuyết phục, định hướng dư luận xã hội, truyền  thống – văn hóa – đạo đức xã hội, phong tục, tập quán, tôn giáo,...; thông qua các tổ </w:t>
      </w:r>
    </w:p>
    <w:p w14:paraId="2952ED78" w14:textId="77777777" w:rsidR="00F60F67" w:rsidRDefault="00000000">
      <w:pPr>
        <w:widowControl w:val="0"/>
        <w:pBdr>
          <w:top w:val="nil"/>
          <w:left w:val="nil"/>
          <w:bottom w:val="nil"/>
          <w:right w:val="nil"/>
          <w:between w:val="nil"/>
        </w:pBdr>
        <w:spacing w:before="34" w:line="345" w:lineRule="auto"/>
        <w:ind w:left="443" w:right="367" w:firstLine="7"/>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chức xã hội... Một trong những “phương thức” tác động được nhắc đến nhiều hiện  nay, nhất là đối với các doanh nghiệp, đó là đòi hỏi thực hiện “trách nhiệm xã hội  doanh nghiệp”. Trách nhiệm xã hội doanh nghiệp là những cam kết của doanh nghiệp  đóng góp vào sự phát triển bền vững của nền kinh tế sao cho vừa có lợi cho doanh  nghiệp vừa có ích cho sự phát triển. Nghĩa là, ngoài trách nhiệm phải thực hiện như  tuân thủ đầy đủ pháp luật thì Nhà nước còn “thuyết phục, yêu cầu” doanh nghiệp thực  hiện tốt hơn đòi hỏi của pháp luật đối với Nhà nước, người lao động, với môi trường,  với xã hội và đất nước. </w:t>
      </w:r>
    </w:p>
    <w:p w14:paraId="6D6CE30B" w14:textId="77777777" w:rsidR="00F60F67" w:rsidRDefault="00000000">
      <w:pPr>
        <w:widowControl w:val="0"/>
        <w:pBdr>
          <w:top w:val="nil"/>
          <w:left w:val="nil"/>
          <w:bottom w:val="nil"/>
          <w:right w:val="nil"/>
          <w:between w:val="nil"/>
        </w:pBdr>
        <w:spacing w:before="149" w:line="346" w:lineRule="auto"/>
        <w:ind w:left="444" w:right="368" w:firstLine="711"/>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Phương pháp kinh tế </w:t>
      </w:r>
      <w:r>
        <w:rPr>
          <w:rFonts w:ascii="Times New Roman" w:eastAsia="Times New Roman" w:hAnsi="Times New Roman" w:cs="Times New Roman"/>
          <w:color w:val="000000"/>
          <w:sz w:val="25"/>
          <w:szCs w:val="25"/>
        </w:rPr>
        <w:t xml:space="preserve">hay còn gọi là phương pháp tác động đến lợi ích của đối  tượng quản lý. Đó là phương thức tác động gián tiếp đến hành vi của đối tượng quản  lý thông qua việc sử dụng đòn bẩy kinh tế tác động đến lợi ích của đối tượng quản lý, </w:t>
      </w:r>
    </w:p>
    <w:p w14:paraId="054EFDA8"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64 </w:t>
      </w:r>
    </w:p>
    <w:p w14:paraId="4265D5CC" w14:textId="77777777" w:rsidR="00F60F67" w:rsidRDefault="00000000">
      <w:pPr>
        <w:widowControl w:val="0"/>
        <w:pBdr>
          <w:top w:val="nil"/>
          <w:left w:val="nil"/>
          <w:bottom w:val="nil"/>
          <w:right w:val="nil"/>
          <w:between w:val="nil"/>
        </w:pBdr>
        <w:spacing w:before="652" w:line="345" w:lineRule="auto"/>
        <w:ind w:left="443" w:right="36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kích thích sự quan tâm của họ đến kết quả cuối cùng của hành vi, nhờ đó mà đạt được  kết quả quản lý mà Nhà nước mong đợi. Nhà nước thông qua các quy định pháp luật  và các chính sách kinh tế - xã hội sẽ tác động đến lợi ích của chính Nhà nước, của  doanh nghiệp và người dân. Sự tác động này nhằm giải quyết hài hòa lợi ích, tạo điều  kiện thúc </w:t>
      </w:r>
      <w:r>
        <w:rPr>
          <w:rFonts w:ascii="Times New Roman" w:eastAsia="Times New Roman" w:hAnsi="Times New Roman" w:cs="Times New Roman"/>
          <w:color w:val="000000"/>
          <w:sz w:val="25"/>
          <w:szCs w:val="25"/>
        </w:rPr>
        <w:lastRenderedPageBreak/>
        <w:t xml:space="preserve">đẩy kinh tế – xã hội phát triển. Phương pháp này tạo ra điều kiện vật chất,  khuyến khích vật chất nhằm hướng cho đối tượng quản lý xác định được rằng, nếu  thực hiện theo “sự quản lý” của Nhà nước thì sẽ có những lợi ích kinh tế. Một số công  cụ sử dụng trong phương pháp kinh tế (đòn bẩy kinh tế) để CQCT về TTKT trong  lĩnh vực bán lẻ là hệ thống PLCT, các công cụ kiểm soát TTKT, và các biện pháp  hành chính khác.  </w:t>
      </w:r>
    </w:p>
    <w:p w14:paraId="57C7BCB0" w14:textId="77777777" w:rsidR="00F60F67" w:rsidRDefault="00000000">
      <w:pPr>
        <w:widowControl w:val="0"/>
        <w:pBdr>
          <w:top w:val="nil"/>
          <w:left w:val="nil"/>
          <w:bottom w:val="nil"/>
          <w:right w:val="nil"/>
          <w:between w:val="nil"/>
        </w:pBdr>
        <w:spacing w:before="154" w:line="344" w:lineRule="auto"/>
        <w:ind w:left="443" w:right="368" w:firstLine="3"/>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2.4. Kinh nghiệm quốc tế về quản lý nhà nước về tập trung kinh tế trong lĩnh  vực bán lẻ và bài học đối với Việt Nam  </w:t>
      </w:r>
    </w:p>
    <w:p w14:paraId="249E9404" w14:textId="77777777" w:rsidR="00F60F67" w:rsidRDefault="00000000">
      <w:pPr>
        <w:widowControl w:val="0"/>
        <w:pBdr>
          <w:top w:val="nil"/>
          <w:left w:val="nil"/>
          <w:bottom w:val="nil"/>
          <w:right w:val="nil"/>
          <w:between w:val="nil"/>
        </w:pBdr>
        <w:spacing w:before="36" w:line="436" w:lineRule="auto"/>
        <w:ind w:left="445" w:right="723" w:hanging="3"/>
        <w:rPr>
          <w:rFonts w:ascii="Times New Roman" w:eastAsia="Times New Roman" w:hAnsi="Times New Roman" w:cs="Times New Roman"/>
          <w:i/>
          <w:iCs/>
          <w:color w:val="000000"/>
          <w:sz w:val="25"/>
          <w:szCs w:val="25"/>
        </w:rPr>
      </w:pPr>
      <w:r>
        <w:rPr>
          <w:rFonts w:ascii="Times New Roman" w:eastAsia="Times New Roman" w:hAnsi="Times New Roman" w:cs="Times New Roman"/>
          <w:b/>
          <w:bCs/>
          <w:i/>
          <w:iCs/>
          <w:color w:val="000000"/>
          <w:sz w:val="25"/>
          <w:szCs w:val="25"/>
        </w:rPr>
        <w:t xml:space="preserve">2.4.1. Xây dựng pháp luật để điều chỉnh tập trung kinh tế trong lĩnh vực bán lẻ </w:t>
      </w:r>
      <w:r>
        <w:rPr>
          <w:rFonts w:ascii="Times New Roman" w:eastAsia="Times New Roman" w:hAnsi="Times New Roman" w:cs="Times New Roman"/>
          <w:i/>
          <w:iCs/>
          <w:color w:val="000000"/>
          <w:sz w:val="25"/>
          <w:szCs w:val="25"/>
        </w:rPr>
        <w:t xml:space="preserve">2.4.1.1. Hoa Kỳ </w:t>
      </w:r>
    </w:p>
    <w:p w14:paraId="72A11C64" w14:textId="77777777" w:rsidR="00F60F67" w:rsidRDefault="00000000">
      <w:pPr>
        <w:widowControl w:val="0"/>
        <w:pBdr>
          <w:top w:val="nil"/>
          <w:left w:val="nil"/>
          <w:bottom w:val="nil"/>
          <w:right w:val="nil"/>
          <w:between w:val="nil"/>
        </w:pBdr>
        <w:spacing w:before="51" w:line="346" w:lineRule="auto"/>
        <w:ind w:left="413" w:right="367" w:firstLine="60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Chính phủ Hoa Kỳ quản lý và kiểm soát cạnh tranh thông qua hệ thống các đạo  luật chống cạnh tranh và độc quyền, chủ chốt là Đạo luật Sherman năm 1890, Đạo  luật Clayton năm 1914 và Đạo luật Ủy ban Thương mại Liên bang năm 1914. Mỗi  luật có một cách tiếp cận khác nhau và tất cả tạo thành nền tảng các luật chống độc  quyền của Mỹ và là nền tảng cho nhiều luật toàn cầu. Trong đó, Đạo luật Sherman  nghiêm cấm “</w:t>
      </w:r>
      <w:r>
        <w:rPr>
          <w:rFonts w:ascii="Times New Roman" w:eastAsia="Times New Roman" w:hAnsi="Times New Roman" w:cs="Times New Roman"/>
          <w:i/>
          <w:iCs/>
          <w:color w:val="000000"/>
          <w:sz w:val="25"/>
          <w:szCs w:val="25"/>
        </w:rPr>
        <w:t>mọi hợp đồng, hợp tác liên doanh hay âm mưu nhằm hạn chế thương  mại</w:t>
      </w:r>
      <w:r>
        <w:rPr>
          <w:rFonts w:ascii="Times New Roman" w:eastAsia="Times New Roman" w:hAnsi="Times New Roman" w:cs="Times New Roman"/>
          <w:color w:val="000000"/>
          <w:sz w:val="25"/>
          <w:szCs w:val="25"/>
        </w:rPr>
        <w:t>”, và hành vi “</w:t>
      </w:r>
      <w:r>
        <w:rPr>
          <w:rFonts w:ascii="Times New Roman" w:eastAsia="Times New Roman" w:hAnsi="Times New Roman" w:cs="Times New Roman"/>
          <w:i/>
          <w:iCs/>
          <w:color w:val="000000"/>
          <w:sz w:val="25"/>
          <w:szCs w:val="25"/>
        </w:rPr>
        <w:t>độc quyền hóa, nỗ lực độc quyền hoặc kết hợp, thông đồng với các  bên khác để độc quyền hóa đối với bất kỳ lĩnh vực nào trong hoạt động kinh doanh  hoặc thương mại giữa các bang hoặc với nước ngoài</w:t>
      </w:r>
      <w:r>
        <w:rPr>
          <w:rFonts w:ascii="Times New Roman" w:eastAsia="Times New Roman" w:hAnsi="Times New Roman" w:cs="Times New Roman"/>
          <w:color w:val="000000"/>
          <w:sz w:val="25"/>
          <w:szCs w:val="25"/>
        </w:rPr>
        <w:t>” đều bị coi là bất hợp pháp.  Đạo luật Clayton nghiêm cấm các hoạt động M&amp;A mà có khả năng làm “</w:t>
      </w:r>
      <w:r>
        <w:rPr>
          <w:rFonts w:ascii="Times New Roman" w:eastAsia="Times New Roman" w:hAnsi="Times New Roman" w:cs="Times New Roman"/>
          <w:i/>
          <w:iCs/>
          <w:color w:val="000000"/>
          <w:sz w:val="25"/>
          <w:szCs w:val="25"/>
        </w:rPr>
        <w:t>giảm đáng  kể sự cạnh tranh</w:t>
      </w:r>
      <w:r>
        <w:rPr>
          <w:rFonts w:ascii="Times New Roman" w:eastAsia="Times New Roman" w:hAnsi="Times New Roman" w:cs="Times New Roman"/>
          <w:color w:val="000000"/>
          <w:sz w:val="25"/>
          <w:szCs w:val="25"/>
        </w:rPr>
        <w:t>” và cũng nghiêm cấm một số hành vi như phân biệt giá và thỏa  thuận giao dịch độc quyền. Đạo luật Ủy ban Thương mại Liên bang nghiêm cấm “</w:t>
      </w:r>
      <w:r>
        <w:rPr>
          <w:rFonts w:ascii="Times New Roman" w:eastAsia="Times New Roman" w:hAnsi="Times New Roman" w:cs="Times New Roman"/>
          <w:i/>
          <w:iCs/>
          <w:color w:val="000000"/>
          <w:sz w:val="25"/>
          <w:szCs w:val="25"/>
        </w:rPr>
        <w:t>các  phương thức cạnh tranh không lành mạnh</w:t>
      </w:r>
      <w:r>
        <w:rPr>
          <w:rFonts w:ascii="Times New Roman" w:eastAsia="Times New Roman" w:hAnsi="Times New Roman" w:cs="Times New Roman"/>
          <w:color w:val="000000"/>
          <w:sz w:val="25"/>
          <w:szCs w:val="25"/>
        </w:rPr>
        <w:t>” và “</w:t>
      </w:r>
      <w:r>
        <w:rPr>
          <w:rFonts w:ascii="Times New Roman" w:eastAsia="Times New Roman" w:hAnsi="Times New Roman" w:cs="Times New Roman"/>
          <w:i/>
          <w:iCs/>
          <w:color w:val="000000"/>
          <w:sz w:val="25"/>
          <w:szCs w:val="25"/>
        </w:rPr>
        <w:t>các hành vi hoặc thông lệ không công  bằng hoặc lừa đảo</w:t>
      </w:r>
      <w:r>
        <w:rPr>
          <w:rFonts w:ascii="Times New Roman" w:eastAsia="Times New Roman" w:hAnsi="Times New Roman" w:cs="Times New Roman"/>
          <w:color w:val="000000"/>
          <w:sz w:val="25"/>
          <w:szCs w:val="25"/>
        </w:rPr>
        <w:t xml:space="preserve">”. Bên cạnh ba đạo luật trên, vào năm 1976, Chính phủ Mỹ ban  hành thêm Đạo luật Hart-Scott-Rodino nhằm sửa đổi một số điều của Đạo luật  Clayton. Một trong các sửa đổi quan trọng ảnh hưởng lớn đến cách Chính phủ Hoa </w:t>
      </w:r>
    </w:p>
    <w:p w14:paraId="29CB1859"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65 </w:t>
      </w:r>
    </w:p>
    <w:p w14:paraId="6F71D716" w14:textId="77777777" w:rsidR="00F60F67" w:rsidRDefault="00000000">
      <w:pPr>
        <w:widowControl w:val="0"/>
        <w:pBdr>
          <w:top w:val="nil"/>
          <w:left w:val="nil"/>
          <w:bottom w:val="nil"/>
          <w:right w:val="nil"/>
          <w:between w:val="nil"/>
        </w:pBdr>
        <w:spacing w:before="652" w:line="346" w:lineRule="auto"/>
        <w:ind w:left="443" w:right="368"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Kỳ quản lý, kiểm soát TTKT cho tới hiện tại là việc yêu cầu doanh nghiệp trước khi  thực hiện các giao dịch M&amp;A, phải thông báo cho các CQCT có thẩm quyền và đợi  các cơ quan đánh giá, thẩm định theo pháp luật chống độc quyền của Hoa Kỳ. Yêu  cầu này cho phép các cơ quan kiểm tra các tác động tiềm ẩn của các vụ sáp nhập trước  khi chúng diễn ra. </w:t>
      </w:r>
    </w:p>
    <w:p w14:paraId="7D554F24" w14:textId="77777777" w:rsidR="00F60F67" w:rsidRDefault="00000000">
      <w:pPr>
        <w:widowControl w:val="0"/>
        <w:pBdr>
          <w:top w:val="nil"/>
          <w:left w:val="nil"/>
          <w:bottom w:val="nil"/>
          <w:right w:val="nil"/>
          <w:between w:val="nil"/>
        </w:pBdr>
        <w:spacing w:before="34" w:line="345" w:lineRule="auto"/>
        <w:ind w:left="443" w:right="367" w:firstLine="56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Ngoài các đạo luật do Chính phủ ban hành, TTKT được quản lý bởi các quy  định chặt chẽ do CQCT của Hoa Kỳ ban hành - Ủy ban Thương mại Liên bang (FTC)  và Bộ Tư pháp Mỹ (US-DOJ). Nổi bật là Hướng dẫn Sáp nhập theo Chiều ngang do  FTC và </w:t>
      </w:r>
      <w:r>
        <w:rPr>
          <w:rFonts w:ascii="Times New Roman" w:eastAsia="Times New Roman" w:hAnsi="Times New Roman" w:cs="Times New Roman"/>
          <w:color w:val="000000"/>
          <w:sz w:val="25"/>
          <w:szCs w:val="25"/>
        </w:rPr>
        <w:lastRenderedPageBreak/>
        <w:t xml:space="preserve">US-DOJ ban hành năm 2010 đưa ra khung phân tích của các cơ quan nhằm  xem xét khả năng vụ việc M&amp;A tạo ra hoặc tăng cường sức mạnh thị trường hoặc tạo  điều kiện thuận lợi cho việc thực hiện giao dịch. Chú thích Nguyên tắc Sáp nhập theo  Chiều ngang năm 2006 cung cấp nhiều ví dụ cụ thể về cách các CQCT tại Hoa Kỳ áp  dụng các nguyên tắc đó trong các vụ sáp nhập thực tế đang được xem xét. </w:t>
      </w:r>
    </w:p>
    <w:p w14:paraId="4CCA0480" w14:textId="77777777" w:rsidR="00F60F67" w:rsidRDefault="00000000">
      <w:pPr>
        <w:widowControl w:val="0"/>
        <w:pBdr>
          <w:top w:val="nil"/>
          <w:left w:val="nil"/>
          <w:bottom w:val="nil"/>
          <w:right w:val="nil"/>
          <w:between w:val="nil"/>
        </w:pBdr>
        <w:spacing w:before="29" w:line="346" w:lineRule="auto"/>
        <w:ind w:left="441" w:right="368" w:firstLine="57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Bên cạnh các luật chung cho liên bang, một số bang còn ban hành luật quản lý  hoạt M&amp;A như Đạo luật Cartwright của bang California hay Đạo luật Donnelly của  bang New York. </w:t>
      </w:r>
    </w:p>
    <w:p w14:paraId="7D1B760B" w14:textId="77777777" w:rsidR="00F60F67" w:rsidRDefault="00000000">
      <w:pPr>
        <w:widowControl w:val="0"/>
        <w:pBdr>
          <w:top w:val="nil"/>
          <w:left w:val="nil"/>
          <w:bottom w:val="nil"/>
          <w:right w:val="nil"/>
          <w:between w:val="nil"/>
        </w:pBdr>
        <w:spacing w:before="149" w:line="240" w:lineRule="auto"/>
        <w:ind w:left="44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2.4.1.2. Liên minh châu Âu (EU) </w:t>
      </w:r>
    </w:p>
    <w:p w14:paraId="218C7225" w14:textId="77777777" w:rsidR="00F60F67" w:rsidRDefault="00000000">
      <w:pPr>
        <w:widowControl w:val="0"/>
        <w:pBdr>
          <w:top w:val="nil"/>
          <w:left w:val="nil"/>
          <w:bottom w:val="nil"/>
          <w:right w:val="nil"/>
          <w:between w:val="nil"/>
        </w:pBdr>
        <w:spacing w:before="268" w:line="345" w:lineRule="auto"/>
        <w:ind w:left="435" w:right="368" w:firstLine="578"/>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EU đã đưa ra nhiều bộ luật và quy định nhằm quản lý hoạt động tập TTKT,  trong đó các bộ luật và quy định liên quan có thể kể đến là Quy chế Sáp nhập của EU,  Quy định Miễn trừ Khối liên kết theo chiều dọc (</w:t>
      </w:r>
      <w:r>
        <w:rPr>
          <w:rFonts w:ascii="Times New Roman" w:eastAsia="Times New Roman" w:hAnsi="Times New Roman" w:cs="Times New Roman"/>
          <w:i/>
          <w:iCs/>
          <w:color w:val="000000"/>
          <w:sz w:val="25"/>
          <w:szCs w:val="25"/>
        </w:rPr>
        <w:t>Vertical Block Exemption  Regulation</w:t>
      </w:r>
      <w:r>
        <w:rPr>
          <w:rFonts w:ascii="Times New Roman" w:eastAsia="Times New Roman" w:hAnsi="Times New Roman" w:cs="Times New Roman"/>
          <w:color w:val="000000"/>
          <w:sz w:val="25"/>
          <w:szCs w:val="25"/>
        </w:rPr>
        <w:t>) và Chỉ thị về Tập quán Thương mại Không công bằng (</w:t>
      </w:r>
      <w:r>
        <w:rPr>
          <w:rFonts w:ascii="Times New Roman" w:eastAsia="Times New Roman" w:hAnsi="Times New Roman" w:cs="Times New Roman"/>
          <w:i/>
          <w:iCs/>
          <w:color w:val="000000"/>
          <w:sz w:val="25"/>
          <w:szCs w:val="25"/>
        </w:rPr>
        <w:t>Unfair  Commercial Practices Directive</w:t>
      </w:r>
      <w:r>
        <w:rPr>
          <w:rFonts w:ascii="Times New Roman" w:eastAsia="Times New Roman" w:hAnsi="Times New Roman" w:cs="Times New Roman"/>
          <w:color w:val="000000"/>
          <w:sz w:val="25"/>
          <w:szCs w:val="25"/>
        </w:rPr>
        <w:t xml:space="preserve">).  </w:t>
      </w:r>
    </w:p>
    <w:p w14:paraId="2403A985" w14:textId="77777777" w:rsidR="00F60F67" w:rsidRDefault="00000000">
      <w:pPr>
        <w:widowControl w:val="0"/>
        <w:pBdr>
          <w:top w:val="nil"/>
          <w:left w:val="nil"/>
          <w:bottom w:val="nil"/>
          <w:right w:val="nil"/>
          <w:between w:val="nil"/>
        </w:pBdr>
        <w:spacing w:before="35" w:line="345" w:lineRule="auto"/>
        <w:ind w:left="443" w:right="368" w:firstLine="577"/>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Quy chế Sáp nhập của Liên minh châu Âu (EUMR) </w:t>
      </w:r>
      <w:r>
        <w:rPr>
          <w:rFonts w:ascii="Times New Roman" w:eastAsia="Times New Roman" w:hAnsi="Times New Roman" w:cs="Times New Roman"/>
          <w:color w:val="000000"/>
          <w:sz w:val="25"/>
          <w:szCs w:val="25"/>
        </w:rPr>
        <w:t xml:space="preserve">áp dụng đối với các vụ việc M&amp;A đáp ứng một số ngưỡng tài chính theo quy định. EUMR được phát triển nhằm  đảm bảo giao dịch M&amp;A giữa doanh nghiệp không dẫn đến trở ngại đáng kể đối với  sự cạnh tranh hiệu quả trong Khu vực kinh tế châu Âu (EEA). EUMR quy định việc  thông báo bắt buộc đối với các vụ việc M&amp;A, doanh nghiệp cần đáp ứng các tiêu chí  nhất định để Ủy ban châu Âu (EC) xem xét và có khả năng chặn hoặc áp đặt các điều  kiện đối với các giao dịch có thể gây hại cho cạnh tranh. Ngoài ra, EU thông qua một  số văn bản pháp luật để cung cấp hướng dẫn về cách áp dụng EUMR trong thực tế,  ví dụ như Nguyên tắc sáp nhập theo chiều ngang và Nguyên tắc sáp nhập không theo </w:t>
      </w:r>
    </w:p>
    <w:p w14:paraId="3B8B1002"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66 </w:t>
      </w:r>
    </w:p>
    <w:p w14:paraId="60F1FB82" w14:textId="77777777" w:rsidR="00F60F67" w:rsidRDefault="00000000">
      <w:pPr>
        <w:widowControl w:val="0"/>
        <w:pBdr>
          <w:top w:val="nil"/>
          <w:left w:val="nil"/>
          <w:bottom w:val="nil"/>
          <w:right w:val="nil"/>
          <w:between w:val="nil"/>
        </w:pBdr>
        <w:spacing w:before="652" w:line="346" w:lineRule="auto"/>
        <w:ind w:left="443" w:right="368" w:firstLine="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chiều ngang. Cả hai văn bản cung cấp hướng dẫn về cách Ủy ban Châu Âu (EC) đánh  giá tác động HCCT của việc sáp nhập theo chiều ngang - sự hợp nhất giữa các đối  thủ cạnh tranh hoạt động trong cùng một thị trường hay cạnh tranh của việc sáp nhập  không theo chiều ngang - sự hợp nhất giữa các công ty hoạt động ở các thị trường  khác nhau. </w:t>
      </w:r>
    </w:p>
    <w:p w14:paraId="3E4AA1D0" w14:textId="77777777" w:rsidR="00F60F67" w:rsidRDefault="00000000">
      <w:pPr>
        <w:widowControl w:val="0"/>
        <w:pBdr>
          <w:top w:val="nil"/>
          <w:left w:val="nil"/>
          <w:bottom w:val="nil"/>
          <w:right w:val="nil"/>
          <w:between w:val="nil"/>
        </w:pBdr>
        <w:spacing w:before="34" w:line="345" w:lineRule="auto"/>
        <w:ind w:left="444" w:right="368"/>
        <w:jc w:val="center"/>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Quy định Miễn trừ liên kết theo chiều dọc </w:t>
      </w:r>
      <w:r>
        <w:rPr>
          <w:rFonts w:ascii="Times New Roman" w:eastAsia="Times New Roman" w:hAnsi="Times New Roman" w:cs="Times New Roman"/>
          <w:color w:val="000000"/>
          <w:sz w:val="25"/>
          <w:szCs w:val="25"/>
        </w:rPr>
        <w:t xml:space="preserve">cho phép miễn trừ khỏi các quy tắc  chống độc quyền của EU đối với một số loại thỏa thuận theo chiều dọc giữa các công  ty, ví dụ như các thỏa thuận giữa nhà sản xuất và nhà phân phối. Tuy nhiên, miễn trừ chỉ áp dụng nếu thị phần của các bên không vượt quá một số ngưỡng quy định.  </w:t>
      </w:r>
    </w:p>
    <w:p w14:paraId="502E7E81" w14:textId="77777777" w:rsidR="00F60F67" w:rsidRDefault="00000000">
      <w:pPr>
        <w:widowControl w:val="0"/>
        <w:pBdr>
          <w:top w:val="nil"/>
          <w:left w:val="nil"/>
          <w:bottom w:val="nil"/>
          <w:right w:val="nil"/>
          <w:between w:val="nil"/>
        </w:pBdr>
        <w:spacing w:before="29" w:line="346" w:lineRule="auto"/>
        <w:ind w:left="443" w:right="368" w:firstLine="582"/>
        <w:jc w:val="both"/>
        <w:rPr>
          <w:rFonts w:ascii="Times New Roman" w:eastAsia="Times New Roman" w:hAnsi="Times New Roman" w:cs="Times New Roman"/>
          <w:color w:val="000000"/>
          <w:sz w:val="25"/>
          <w:szCs w:val="25"/>
        </w:rPr>
      </w:pPr>
      <w:r>
        <w:rPr>
          <w:rFonts w:ascii="Times New Roman" w:eastAsia="Times New Roman" w:hAnsi="Times New Roman" w:cs="Times New Roman"/>
          <w:i/>
          <w:iCs/>
          <w:color w:val="000000"/>
          <w:sz w:val="25"/>
          <w:szCs w:val="25"/>
        </w:rPr>
        <w:t xml:space="preserve">Chỉ thị Tập quán Thương mại Không công bằng </w:t>
      </w:r>
      <w:r>
        <w:rPr>
          <w:rFonts w:ascii="Times New Roman" w:eastAsia="Times New Roman" w:hAnsi="Times New Roman" w:cs="Times New Roman"/>
          <w:color w:val="000000"/>
          <w:sz w:val="25"/>
          <w:szCs w:val="25"/>
        </w:rPr>
        <w:t xml:space="preserve">cấm các hành vi thương mại  không công bằng trong các giao dịch từ doanh nghiệp đến người tiêu dùng, bao gồm  quảng cáo đánh lừa, thực hiện bán hàng quyết liệt và các điều khoản hợp đồng bất  công. Chỉ thị này </w:t>
      </w:r>
      <w:r>
        <w:rPr>
          <w:rFonts w:ascii="Times New Roman" w:eastAsia="Times New Roman" w:hAnsi="Times New Roman" w:cs="Times New Roman"/>
          <w:color w:val="000000"/>
          <w:sz w:val="25"/>
          <w:szCs w:val="25"/>
        </w:rPr>
        <w:lastRenderedPageBreak/>
        <w:t xml:space="preserve">được các cơ quan quản lý quốc gia thuộc các nước thành viên của  EU thực thi. </w:t>
      </w:r>
    </w:p>
    <w:p w14:paraId="22B801D1" w14:textId="77777777" w:rsidR="00F60F67" w:rsidRDefault="00000000">
      <w:pPr>
        <w:widowControl w:val="0"/>
        <w:pBdr>
          <w:top w:val="nil"/>
          <w:left w:val="nil"/>
          <w:bottom w:val="nil"/>
          <w:right w:val="nil"/>
          <w:between w:val="nil"/>
        </w:pBdr>
        <w:spacing w:before="149" w:line="240" w:lineRule="auto"/>
        <w:ind w:left="44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2.4.1.3. Nhật Bản </w:t>
      </w:r>
    </w:p>
    <w:p w14:paraId="082A786F" w14:textId="77777777" w:rsidR="00F60F67" w:rsidRDefault="00000000">
      <w:pPr>
        <w:widowControl w:val="0"/>
        <w:pBdr>
          <w:top w:val="nil"/>
          <w:left w:val="nil"/>
          <w:bottom w:val="nil"/>
          <w:right w:val="nil"/>
          <w:between w:val="nil"/>
        </w:pBdr>
        <w:spacing w:before="268" w:line="345" w:lineRule="auto"/>
        <w:ind w:left="441" w:right="368" w:firstLine="57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Pháp luật của Nhật Bản về kiểm soát TTKT, cũng như đối với lĩnh vực bán lẻ,  chủ yếu được quy định trong Đạo luật Chống độc quyền (Antimonopoly Act - AMA),  được ban hành từ năm 1947. Đây là một trong những văn bản pháp lý quan trọng nhất  của Nhật Bản trong việc điều chỉnh và kiểm soát TTKT đối với mọi lĩnh vực kinh  doanh, bao gồm cả lĩnh vực bán lẻ. Tương tự như quy định PLCT của nhiều quốc gia  khác, AMA điều chỉnh các vụ việc TTKT và nghiêm cấm các giao dịch có khả năng  gây HCCT một cách đáng kể hoặc dẫn đến tình trạng độc quyền trong bất kỳ lĩnh vực  nào, bao gồm các hành vi như thỏa thuận ấn định giá, lạm dụng vị trí thống lĩnh thị trường và các hành vi thương mại không công bằng khác. Ngoài ra, PLCT của Nhật  Bản còn quy định nghĩa vụ thông báo trước đối với doanh nghiệp nếu vượt ngưỡng  quy định, theo đó phải được thông báo tới Ủy ban Thương mại Công bằng Nhật Bản  (Japan Fair Trade Commission - JFTC) để tiến hành xem xét theo quy trình pháp lý  phù hợp. </w:t>
      </w:r>
    </w:p>
    <w:p w14:paraId="605AF511" w14:textId="77777777" w:rsidR="00F60F67" w:rsidRDefault="00000000">
      <w:pPr>
        <w:widowControl w:val="0"/>
        <w:pBdr>
          <w:top w:val="nil"/>
          <w:left w:val="nil"/>
          <w:bottom w:val="nil"/>
          <w:right w:val="nil"/>
          <w:between w:val="nil"/>
        </w:pBdr>
        <w:spacing w:before="29" w:line="346" w:lineRule="auto"/>
        <w:ind w:left="446" w:right="368" w:firstLine="56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AMA được thực thi bởi CQCT duy nhất của Nhật Bản là JFTC. Theo quan điểm  của nhà nước Nhật Bản, PLCT là nền tảng cơ bản cho các hoạt động kinh tế nên cần  được thực thi với tính liên tục và nhất quán bởi một cơ quan trung lập và công bằng, </w:t>
      </w:r>
    </w:p>
    <w:p w14:paraId="1C78769A"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67 </w:t>
      </w:r>
    </w:p>
    <w:p w14:paraId="546ABB39" w14:textId="77777777" w:rsidR="00F60F67" w:rsidRDefault="00000000">
      <w:pPr>
        <w:widowControl w:val="0"/>
        <w:pBdr>
          <w:top w:val="nil"/>
          <w:left w:val="nil"/>
          <w:bottom w:val="nil"/>
          <w:right w:val="nil"/>
          <w:between w:val="nil"/>
        </w:pBdr>
        <w:spacing w:before="652" w:line="345" w:lineRule="auto"/>
        <w:ind w:left="441" w:right="368"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không chịu ảnh hưởng hay tác động của bất kỳ một đảng phái chính trị nào. Vì vậy,  JFTC hoạt động một cách hoàn toàn chủ động và độc lập, không chịu sự quản lý hoặc  chỉ đạo của bất kỳ một cơ quan nào như các cơ quan hành chính thông thường khác.  JFTC có quyền điều tra, báo cáo và cáo buộc các hành vi gây HCCT. Trước khi cho  phép vụ việc TTKT được thực hiện, JFTC sẽ tiến hành quy trình xem xét, đánh giá  và nếu xét thấy TTKT gây HCCT một cách đáng kể, CQCT này có thể ban hành lệnh  ngừng và hủy bỏ hoặc yêu cầu các biện pháp khắc phục để giải quyết các tác động  đó. </w:t>
      </w:r>
    </w:p>
    <w:p w14:paraId="1D9D6C46" w14:textId="77777777" w:rsidR="00F60F67" w:rsidRDefault="00000000">
      <w:pPr>
        <w:widowControl w:val="0"/>
        <w:pBdr>
          <w:top w:val="nil"/>
          <w:left w:val="nil"/>
          <w:bottom w:val="nil"/>
          <w:right w:val="nil"/>
          <w:between w:val="nil"/>
        </w:pBdr>
        <w:spacing w:before="154" w:line="240" w:lineRule="auto"/>
        <w:ind w:left="44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2.4.1.4. Trung Quốc </w:t>
      </w:r>
    </w:p>
    <w:p w14:paraId="3B4F88DB" w14:textId="77777777" w:rsidR="00F60F67" w:rsidRDefault="00000000">
      <w:pPr>
        <w:widowControl w:val="0"/>
        <w:pBdr>
          <w:top w:val="nil"/>
          <w:left w:val="nil"/>
          <w:bottom w:val="nil"/>
          <w:right w:val="nil"/>
          <w:between w:val="nil"/>
        </w:pBdr>
        <w:spacing w:before="263" w:line="334" w:lineRule="auto"/>
        <w:ind w:left="443" w:right="368" w:firstLine="56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Khung pháp lý quan trọng nhất trong pháp luật điều chỉnh về TTKT tại Trung  Quốc là Luật chống độc quyền (AML), được thi hành bởi Tổng cục Quản lý Thị trường Nhà nước Trung Quốc (SAMR). AML nghiêm cấm giao dịch M&amp;A có khả năng loại bỏ hoặc HCCT trên thị trường. Luật này áp dụng cho pháp nhân trong và  ngoài nước tham gia vào hoạt động TKTT tại Trung Quốc, bao gồm cả những pháp  nhân trong lĩnh vực bán lẻ. SAMR tiến hành đánh giá các giao dịch M&amp;A để xác định  tác động của chúng đối với cạnh tranh và đánh giá xem các giao dịch này có khả năng  gây ra tác hại đáng kể cho cạnh tranh hay không. </w:t>
      </w:r>
    </w:p>
    <w:p w14:paraId="754201B6" w14:textId="77777777" w:rsidR="00F60F67" w:rsidRDefault="00000000">
      <w:pPr>
        <w:widowControl w:val="0"/>
        <w:pBdr>
          <w:top w:val="nil"/>
          <w:left w:val="nil"/>
          <w:bottom w:val="nil"/>
          <w:right w:val="nil"/>
          <w:between w:val="nil"/>
        </w:pBdr>
        <w:spacing w:before="32" w:line="334" w:lineRule="auto"/>
        <w:ind w:left="443" w:right="368" w:firstLine="56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Bên cạnh đó, Chính phủ Trung Quốc cũng ban hành thêm Quy định về việc Mua  lại doanh nghiệp trong nước của Nhà đầu tư nước ngoài (RADEFI) để áp dụng cho  nhà đầu tư nước ngoài muốn mua lại công ty bán lẻ Trung Quốc. RADEFI đặt ra thủ tục và yêu cầu mà nhà đầu tư nước ngoài phải tuân theo khi mua lại doanh nghiệp Trung Quốc, bao gồm cả việc xin phép SAMR và các cơ quan chính phủ có liên quan  khác. Quy định nhằm đảm bảo rằng việc mua lại công ty Trung Quốc của nhà đầu tư  nước ngoài không gây ra mối đe dọa đối với an ninh quốc gia hoặc lợi ích của các  công ty trong nước. </w:t>
      </w:r>
    </w:p>
    <w:p w14:paraId="0048A040" w14:textId="77777777" w:rsidR="00F60F67" w:rsidRDefault="00000000">
      <w:pPr>
        <w:widowControl w:val="0"/>
        <w:pBdr>
          <w:top w:val="nil"/>
          <w:left w:val="nil"/>
          <w:bottom w:val="nil"/>
          <w:right w:val="nil"/>
          <w:between w:val="nil"/>
        </w:pBdr>
        <w:spacing w:before="27" w:line="334" w:lineRule="auto"/>
        <w:ind w:left="443" w:right="368" w:firstLine="56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Ngoài AML và RADEFI, các Điều khoản về Cấm các Thỏa thuận Độc quyền  cũng giải quyết các hành vi HCCT giữa các công ty, bao gồm cả những công ty trong  lĩnh vực bán lẻ. Các điều khoản cấm các thỏa thuận giữa các công ty có khả năng gây  hạn chế hoặc loại bỏ cạnh tranh, ví dụ như thỏa thuận ấn định giá và phân bổ thị </w:t>
      </w:r>
    </w:p>
    <w:p w14:paraId="7D3877E9" w14:textId="77777777" w:rsidR="00F60F67" w:rsidRDefault="00000000">
      <w:pPr>
        <w:widowControl w:val="0"/>
        <w:pBdr>
          <w:top w:val="nil"/>
          <w:left w:val="nil"/>
          <w:bottom w:val="nil"/>
          <w:right w:val="nil"/>
          <w:between w:val="nil"/>
        </w:pBdr>
        <w:spacing w:before="32" w:line="333" w:lineRule="auto"/>
        <w:ind w:left="443" w:right="36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trường. SAMR thực thi các điều khoản này và có thể áp đặt các khoản tiền phạt đáng  kể và các hình phạt khác đối với các hành vi vi phạm.</w:t>
      </w:r>
    </w:p>
    <w:p w14:paraId="7A5D1C7B"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68 </w:t>
      </w:r>
    </w:p>
    <w:p w14:paraId="611A860E" w14:textId="77777777" w:rsidR="00F60F67" w:rsidRDefault="00000000">
      <w:pPr>
        <w:widowControl w:val="0"/>
        <w:pBdr>
          <w:top w:val="nil"/>
          <w:left w:val="nil"/>
          <w:bottom w:val="nil"/>
          <w:right w:val="nil"/>
          <w:between w:val="nil"/>
        </w:pBdr>
        <w:spacing w:before="652" w:line="348" w:lineRule="auto"/>
        <w:ind w:left="451" w:right="368" w:hanging="5"/>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2.4.1.5. Đánh giá xu hướng quản lý nhà nước về tập trung kinh tế trong lĩnh vực bán  lẻ của các nước trên thế giới trong những năm gần đây </w:t>
      </w:r>
    </w:p>
    <w:p w14:paraId="5195AC2A" w14:textId="77777777" w:rsidR="00F60F67" w:rsidRDefault="00000000">
      <w:pPr>
        <w:widowControl w:val="0"/>
        <w:pBdr>
          <w:top w:val="nil"/>
          <w:left w:val="nil"/>
          <w:bottom w:val="nil"/>
          <w:right w:val="nil"/>
          <w:between w:val="nil"/>
        </w:pBdr>
        <w:spacing w:before="147" w:line="348" w:lineRule="auto"/>
        <w:ind w:left="450" w:right="368" w:firstLine="56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Trong những năm gần đây, CQCT các nước trên thế giới có cách tiếp cận chặt  chẽ và cứng rắn hơn đối với hoạt động TTKT, cụ thể như sau: </w:t>
      </w:r>
    </w:p>
    <w:p w14:paraId="75FAA25E" w14:textId="77777777" w:rsidR="00F60F67" w:rsidRDefault="00000000">
      <w:pPr>
        <w:widowControl w:val="0"/>
        <w:pBdr>
          <w:top w:val="nil"/>
          <w:left w:val="nil"/>
          <w:bottom w:val="nil"/>
          <w:right w:val="nil"/>
          <w:between w:val="nil"/>
        </w:pBdr>
        <w:spacing w:before="147" w:line="240" w:lineRule="auto"/>
        <w:ind w:left="1026"/>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(i) Quy định mới về điều kiện đánh giá tác động của một vụ việc TTKT  </w:t>
      </w:r>
    </w:p>
    <w:p w14:paraId="2B33EB8F" w14:textId="77777777" w:rsidR="00F60F67" w:rsidRDefault="00000000">
      <w:pPr>
        <w:widowControl w:val="0"/>
        <w:pBdr>
          <w:top w:val="nil"/>
          <w:left w:val="nil"/>
          <w:bottom w:val="nil"/>
          <w:right w:val="nil"/>
          <w:between w:val="nil"/>
        </w:pBdr>
        <w:spacing w:before="268" w:line="345" w:lineRule="auto"/>
        <w:ind w:left="444" w:right="368" w:firstLine="57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Tại Hoa Kỳ, quy định bổ sung, sửa đổi năm 2020 của Nguyên tắc sáp nhập theo  chiều ngang, cung cấp hướng dẫn về cách đánh giá tác động HCCT của giao dịch  M&amp;A, bao gồm cả những hoạt động trong lĩnh vực bán lẻ. Bản cập nhật nhấn mạnh  tầm quan trọng của việc phân tích các tác hại tiềm ẩn đối với cạnh tranh ở cả thị </w:t>
      </w:r>
    </w:p>
    <w:p w14:paraId="01E086B9" w14:textId="77777777" w:rsidR="00F60F67" w:rsidRDefault="00000000">
      <w:pPr>
        <w:widowControl w:val="0"/>
        <w:pBdr>
          <w:top w:val="nil"/>
          <w:left w:val="nil"/>
          <w:bottom w:val="nil"/>
          <w:right w:val="nil"/>
          <w:between w:val="nil"/>
        </w:pBdr>
        <w:spacing w:before="29" w:line="346" w:lineRule="auto"/>
        <w:ind w:left="443" w:right="368" w:firstLine="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trường sản phẩm và địa lý, đồng thời cung cấp hướng dẫn bổ sung về cách đánh giá  tác động của hoạt động M&amp;A. Các hướng dẫn nêu rõ rằng các CQCT sẽ xem xét các  yếu tố như mức độ tập trung thị trường, rào cản gia nhập và khả năng tác động khi  đánh giá tác động HCCT của giao dịch M&amp;A. FTC trước đây đã ra quyết định cấm  hoặc chấp thuận có điều kiện cho các giao dịch M&amp;A trong lĩnh vực bán lẻ mà có  tiềm ẩn các vấn đề về HCCT (ví dụ, giao dịch sáp nhập giữa Office Depot và Staples  vào năm 2016).  </w:t>
      </w:r>
    </w:p>
    <w:p w14:paraId="1D9D1C69" w14:textId="77777777" w:rsidR="00F60F67" w:rsidRDefault="00000000">
      <w:pPr>
        <w:widowControl w:val="0"/>
        <w:pBdr>
          <w:top w:val="nil"/>
          <w:left w:val="nil"/>
          <w:bottom w:val="nil"/>
          <w:right w:val="nil"/>
          <w:between w:val="nil"/>
        </w:pBdr>
        <w:spacing w:before="149" w:line="345" w:lineRule="auto"/>
        <w:ind w:left="443" w:right="368" w:firstLine="573"/>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Tại Châu Âu, năm 2020, EC công bố Sách trắng về Trợ cấp nước ngoài, trong  đó đề xuất quy định mới nhằm giải quyết các tác động bóp méo tiềm tàng của trợ cấp  nước ngoài đối với thị trường EU, bao gồm cả các hoạt động M&amp;A. Các quy tắc sẽ cho phép EC xem xét kĩ càng các vụ việc M&amp;A mà có sự tham gia của các công ty  đã nhận một </w:t>
      </w:r>
      <w:r>
        <w:rPr>
          <w:rFonts w:ascii="Times New Roman" w:eastAsia="Times New Roman" w:hAnsi="Times New Roman" w:cs="Times New Roman"/>
          <w:color w:val="000000"/>
          <w:sz w:val="25"/>
          <w:szCs w:val="25"/>
        </w:rPr>
        <w:lastRenderedPageBreak/>
        <w:t xml:space="preserve">số loại trợ cấp nước ngoài và áp dụng các biện pháp khắc phục hoặc  ngăn chặn giao dịch nếu Uỷ ban xác định hoạt động TTKT đó có khả năng HCCT  trên thị trường. Vào ngày 12 tháng 01 năm 2023, Quy định về Trợ cấp nước ngoài đã  tạo ra một chế độ mới nhằm chống lại sự bóp méo cạnh tranh tại EU do trợ cấp nước  ngoài gây ra, qua đó giúp siết chặt hơn quy định kiểm soát TTKT tại châu Âu. Quy  định này áp đặt các yêu cầu thông báo và phê duyệt bắt buộc đối với việc mua lại  doanh nghiệp quan trọng của EU và các cuộc đấu thầu công khai lớn của EU, đồng  thời trao cho EC nhiều quyền hạn để tiến hành các cuộc điều tra chính thức. </w:t>
      </w:r>
    </w:p>
    <w:p w14:paraId="2F579A46" w14:textId="77777777" w:rsidR="00F60F67" w:rsidRDefault="00000000">
      <w:pPr>
        <w:widowControl w:val="0"/>
        <w:pBdr>
          <w:top w:val="nil"/>
          <w:left w:val="nil"/>
          <w:bottom w:val="nil"/>
          <w:right w:val="nil"/>
          <w:between w:val="nil"/>
        </w:pBdr>
        <w:spacing w:before="149" w:line="348" w:lineRule="auto"/>
        <w:ind w:left="452" w:right="367" w:firstLine="56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Tại Úc, Nguyên tắc Sáp nhập do Ủy ban Cạnh tranh và Người tiêu dùng Úc  (ACCC) ban hành năm 2004, sửa đổi năm 2017, đưa ra các hướng dẫn về cách đánh </w:t>
      </w:r>
    </w:p>
    <w:p w14:paraId="4EC64DC4" w14:textId="77777777" w:rsidR="00F60F6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69 </w:t>
      </w:r>
    </w:p>
    <w:p w14:paraId="28A225FB" w14:textId="77777777" w:rsidR="00F60F67" w:rsidRDefault="00000000">
      <w:pPr>
        <w:widowControl w:val="0"/>
        <w:pBdr>
          <w:top w:val="nil"/>
          <w:left w:val="nil"/>
          <w:bottom w:val="nil"/>
          <w:right w:val="nil"/>
          <w:between w:val="nil"/>
        </w:pBdr>
        <w:spacing w:before="652" w:line="345" w:lineRule="auto"/>
        <w:ind w:left="443" w:right="368" w:firstLine="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giá các giao dịch M&amp;A, qua đó xác định xem khả năng làm giảm đáng kể sự cạnh  tranh của những giao dịch này trên thị trường. Cuối năm 2020, ACCC cập nhật và  thay đổi một số điều quan trọng trong văn bản, theo đó các vấn đề nổi bật được nhấn  mạnh thêm bao gồm: (1) Tập trung nhiều hơn vào các tác động HCCT của việc sáp  nhập ở cấp độ địa phương, đặc biệt là ở các vùng trong khu vực; (2) Nhấn mạnh tầm  quan trọng của việc xem xét tác động của sáp nhập đối với sự đổi mới và cạnh tranh  năng động; (3) Xem xét kỹ lưỡng hơn các vụ sáp nhập theo chiều dọc, trong đó một  công ty mua lại một doanh nghiệp ở một giai đoạn khác của chuỗi cung ứng; (4) Công  nhận vai trò của dữ liệu trong các vụ sáp nhập và chú ý đến nhu cầu phân tích dữ liệu  về tác động đối với cạnh tranh và phúc lợi của người tiêu dùng. </w:t>
      </w:r>
    </w:p>
    <w:p w14:paraId="6F97D67D" w14:textId="77777777" w:rsidR="00F60F67" w:rsidRDefault="00000000">
      <w:pPr>
        <w:widowControl w:val="0"/>
        <w:pBdr>
          <w:top w:val="nil"/>
          <w:left w:val="nil"/>
          <w:bottom w:val="nil"/>
          <w:right w:val="nil"/>
          <w:between w:val="nil"/>
        </w:pBdr>
        <w:spacing w:before="154" w:line="345" w:lineRule="auto"/>
        <w:ind w:left="443" w:right="367" w:firstLine="57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Tại Trung Quốc, năm 2020, SAMR - CQCT ở Trung Quốc - đưa ra quy định  mới nhằm ngăn chặn hành vi độc quyền trong lĩnh vực bán lẻ. Các quy định này yêu  cầu các công ty phải thông báo trước cho SAMR về bất kỳ giao dịch M&amp;A nào vượt  quá các ngưỡng nhất định và trao cho SAMR quyền chặn các giao dịch mà SAMR  cho là gây HCCT. Các quy định cũng đưa ra hướng dẫn về cách SAMR sẽ đánh giá  tác động HCCT của các giao dịch M&amp;A.  </w:t>
      </w:r>
    </w:p>
    <w:p w14:paraId="2F0C5E1D" w14:textId="77777777" w:rsidR="00F60F67" w:rsidRDefault="00000000">
      <w:pPr>
        <w:widowControl w:val="0"/>
        <w:pBdr>
          <w:top w:val="nil"/>
          <w:left w:val="nil"/>
          <w:bottom w:val="nil"/>
          <w:right w:val="nil"/>
          <w:between w:val="nil"/>
        </w:pBdr>
        <w:spacing w:before="149" w:line="348" w:lineRule="auto"/>
        <w:ind w:left="452" w:right="368" w:firstLine="574"/>
        <w:rPr>
          <w:rFonts w:ascii="Times New Roman" w:eastAsia="Times New Roman" w:hAnsi="Times New Roman" w:cs="Times New Roman"/>
          <w:i/>
          <w:iCs/>
          <w:color w:val="000000"/>
          <w:sz w:val="25"/>
          <w:szCs w:val="25"/>
        </w:rPr>
      </w:pPr>
      <w:r>
        <w:rPr>
          <w:rFonts w:ascii="Times New Roman" w:eastAsia="Times New Roman" w:hAnsi="Times New Roman" w:cs="Times New Roman"/>
          <w:i/>
          <w:iCs/>
          <w:color w:val="000000"/>
          <w:sz w:val="25"/>
          <w:szCs w:val="25"/>
        </w:rPr>
        <w:t xml:space="preserve">(ii) Quy định mới về việc thông báo TTKT và thẩm định hồ sơ một vụ việc tập  trung kinh tế </w:t>
      </w:r>
    </w:p>
    <w:p w14:paraId="08835D2C" w14:textId="77777777" w:rsidR="00F60F67" w:rsidRDefault="00000000">
      <w:pPr>
        <w:widowControl w:val="0"/>
        <w:pBdr>
          <w:top w:val="nil"/>
          <w:left w:val="nil"/>
          <w:bottom w:val="nil"/>
          <w:right w:val="nil"/>
          <w:between w:val="nil"/>
        </w:pBdr>
        <w:spacing w:before="147" w:line="345" w:lineRule="auto"/>
        <w:ind w:left="443" w:right="367" w:firstLine="570"/>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EC đã công bố thông báo mới theo Điều 22 trong EUMR, khuyến khích các  quốc gia thành viên EU thông báo với EC về một số loại giao dịch M&amp;A nhất định,  ngay cả khi giao dịch đó không thuộc ngưỡng kiểm soát M&amp;A của các quốc gia thành  viên (White &amp; Case, 2022). </w:t>
      </w:r>
    </w:p>
    <w:p w14:paraId="329A2445" w14:textId="77777777" w:rsidR="00F60F67" w:rsidRDefault="00000000">
      <w:pPr>
        <w:widowControl w:val="0"/>
        <w:pBdr>
          <w:top w:val="nil"/>
          <w:left w:val="nil"/>
          <w:bottom w:val="nil"/>
          <w:right w:val="nil"/>
          <w:between w:val="nil"/>
        </w:pBdr>
        <w:spacing w:before="154" w:line="345" w:lineRule="auto"/>
        <w:ind w:left="443" w:right="367" w:firstLine="57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Cuối tháng 01/2022, DOJ và FTC Hoa Kỳ đã cập nhật các quy trình nhằm mục  đích </w:t>
      </w:r>
      <w:r>
        <w:rPr>
          <w:rFonts w:ascii="Times New Roman" w:eastAsia="Times New Roman" w:hAnsi="Times New Roman" w:cs="Times New Roman"/>
          <w:color w:val="000000"/>
          <w:sz w:val="25"/>
          <w:szCs w:val="25"/>
        </w:rPr>
        <w:lastRenderedPageBreak/>
        <w:t xml:space="preserve">kéo dài thời gian thẩm định hồ sơ thông báo TTKT (White &amp; Case, 2022). Cụ thể, FTC đã không còn áp dụng quy trình thẩm định nhanh đối với giao dịch M&amp;A,  kể cả các giao dịch không có vấn đề quan ngại về cạnh tranh. Điều này có nghĩa là  giao dịch M&amp;A thuộc ngưỡng thông báo đều phải đợi tối thiểu theo luật định ít nhất  30 ngày trước khi được thông qua. Đồng thời, trong quá trình thẩm định hồ sơ, FTC  cũng sẽ mở rộng phạm vi các chủ thể được tham vấn, bao gồm cả các bên có lợi ích </w:t>
      </w:r>
    </w:p>
    <w:sectPr w:rsidR="00F60F67">
      <w:pgSz w:w="11900" w:h="16820"/>
      <w:pgMar w:top="735" w:right="686" w:bottom="747" w:left="155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CA10A52-CEA7-4C01-9246-3B5B67E6D5BA}"/>
  </w:font>
  <w:font w:name="Gungsuh">
    <w:charset w:val="81"/>
    <w:family w:val="roman"/>
    <w:pitch w:val="variable"/>
    <w:sig w:usb0="B00002AF" w:usb1="69D77CFB" w:usb2="00000030" w:usb3="00000000" w:csb0="0008009F" w:csb1="00000000"/>
    <w:embedBold r:id="rId2" w:subsetted="1" w:fontKey="{C2DB56E0-9721-465B-BFCD-72A50720214E}"/>
  </w:font>
  <w:font w:name="Cambria Math">
    <w:panose1 w:val="02040503050406030204"/>
    <w:charset w:val="00"/>
    <w:family w:val="roman"/>
    <w:pitch w:val="variable"/>
    <w:sig w:usb0="E00006FF" w:usb1="420024FF" w:usb2="02000000" w:usb3="00000000" w:csb0="0000019F" w:csb1="00000000"/>
    <w:embedRegular r:id="rId3" w:fontKey="{A7052A7A-59E2-48F6-BC0A-89F491824017}"/>
  </w:font>
  <w:font w:name="Calibri">
    <w:panose1 w:val="020F0502020204030204"/>
    <w:charset w:val="00"/>
    <w:family w:val="swiss"/>
    <w:pitch w:val="variable"/>
    <w:sig w:usb0="E4002EFF" w:usb1="C200247B" w:usb2="00000009" w:usb3="00000000" w:csb0="000001FF" w:csb1="00000000"/>
    <w:embedRegular r:id="rId4" w:fontKey="{75FCC130-2BA5-4962-AE2F-99F8FADD07B3}"/>
  </w:font>
  <w:font w:name="Cambria">
    <w:panose1 w:val="02040503050406030204"/>
    <w:charset w:val="00"/>
    <w:family w:val="roman"/>
    <w:pitch w:val="variable"/>
    <w:sig w:usb0="E00006FF" w:usb1="420024FF" w:usb2="02000000" w:usb3="00000000" w:csb0="0000019F" w:csb1="00000000"/>
    <w:embedRegular r:id="rId5" w:fontKey="{16A64C9F-B9B4-4137-9A4C-74968743676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F67"/>
    <w:rsid w:val="004E7585"/>
    <w:rsid w:val="00EA07A0"/>
    <w:rsid w:val="00F60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0B873"/>
  <w15:docId w15:val="{E1562B0D-FFF3-4AC1-9D13-39E8BB675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69</Pages>
  <Words>25277</Words>
  <Characters>144084</Characters>
  <Application>Microsoft Office Word</Application>
  <DocSecurity>0</DocSecurity>
  <Lines>1200</Lines>
  <Paragraphs>338</Paragraphs>
  <ScaleCrop>false</ScaleCrop>
  <Company/>
  <LinksUpToDate>false</LinksUpToDate>
  <CharactersWithSpaces>169023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Thị Tố Uyên Nguyễn</cp:lastModifiedBy>
  <cp:revision>2</cp:revision>
  <dcterms:created xsi:type="dcterms:W3CDTF">2026-08-20T07:29:00Z</dcterms:created>
  <dcterms:modified xsi:type="dcterms:W3CDTF">2026-08-20T07:30:00Z</dcterms:modified>
</cp:coreProperties>
</file>