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88" w:lineRule="auto"/>
        <w:ind w:firstLine="0"/>
        <w:jc w:val="center"/>
      </w:pPr>
      <w:r>
        <w:rPr>
          <w:rFonts w:ascii="Times New Roman" w:hAnsi="Times New Roman" w:eastAsia="Times New Roman" w:cs="Times New Roman"/>
          <w:b/>
          <w:i w:val="0"/>
          <w:color w:val="000000"/>
          <w:sz w:val="26"/>
        </w:rPr>
        <w:t>[CƠ SỞ ĐÀO TẠO]</w:t>
      </w:r>
    </w:p>
    <w:p>
      <w:pPr>
        <w:keepNext w:val="0"/>
        <w:spacing w:before="800" w:after="0" w:line="288" w:lineRule="auto"/>
        <w:ind w:firstLine="0"/>
        <w:jc w:val="center"/>
      </w:pPr>
    </w:p>
    <w:p>
      <w:pPr>
        <w:keepNext w:val="0"/>
        <w:spacing w:before="800" w:after="0" w:line="288" w:lineRule="auto"/>
        <w:ind w:firstLine="0"/>
        <w:jc w:val="center"/>
      </w:pPr>
      <w:r>
        <w:rPr>
          <w:rFonts w:ascii="Times New Roman" w:hAnsi="Times New Roman" w:eastAsia="Times New Roman" w:cs="Times New Roman"/>
          <w:b/>
          <w:i w:val="0"/>
          <w:color w:val="000000"/>
          <w:sz w:val="28"/>
        </w:rPr>
        <w:t>[HỌ VÀ TÊN NGHIÊN CỨU SINH]</w:t>
      </w:r>
    </w:p>
    <w:p>
      <w:pPr>
        <w:keepNext w:val="0"/>
        <w:spacing w:before="600" w:after="0" w:line="288" w:lineRule="auto"/>
        <w:ind w:firstLine="0"/>
        <w:jc w:val="center"/>
      </w:pPr>
    </w:p>
    <w:p>
      <w:pPr>
        <w:keepNext w:val="0"/>
        <w:spacing w:before="600" w:after="0" w:line="288" w:lineRule="auto"/>
        <w:ind w:firstLine="0"/>
        <w:jc w:val="center"/>
      </w:pPr>
      <w:r>
        <w:rPr>
          <w:rFonts w:ascii="Times New Roman" w:hAnsi="Times New Roman" w:eastAsia="Times New Roman" w:cs="Times New Roman"/>
          <w:b/>
          <w:i w:val="0"/>
          <w:color w:val="000000"/>
          <w:sz w:val="32"/>
        </w:rPr>
        <w:t>BÁO CÁO CHUYÊN ĐỀ TỔNG QUAN</w:t>
      </w:r>
    </w:p>
    <w:p>
      <w:pPr>
        <w:keepNext w:val="0"/>
        <w:spacing w:before="120" w:after="0" w:line="288" w:lineRule="auto"/>
        <w:ind w:firstLine="0"/>
        <w:jc w:val="center"/>
      </w:pPr>
      <w:r>
        <w:rPr>
          <w:rFonts w:ascii="Times New Roman" w:hAnsi="Times New Roman" w:eastAsia="Times New Roman" w:cs="Times New Roman"/>
          <w:b/>
          <w:i w:val="0"/>
          <w:color w:val="000000"/>
          <w:sz w:val="28"/>
        </w:rPr>
        <w:t>TỔNG QUAN TÌNH HÌNH NGHIÊN CỨU LIÊN QUAN ĐẾN ĐỀ TÀI LUẬN ÁN</w:t>
      </w:r>
    </w:p>
    <w:p>
      <w:pPr>
        <w:keepNext w:val="0"/>
        <w:spacing w:before="400" w:after="0" w:line="288" w:lineRule="auto"/>
        <w:ind w:firstLine="0"/>
        <w:jc w:val="center"/>
      </w:pPr>
    </w:p>
    <w:p>
      <w:pPr>
        <w:keepNext w:val="0"/>
        <w:spacing w:before="200" w:after="0" w:line="288" w:lineRule="auto"/>
        <w:ind w:firstLine="0"/>
        <w:jc w:val="center"/>
      </w:pPr>
      <w:r>
        <w:rPr>
          <w:rFonts w:ascii="Times New Roman" w:hAnsi="Times New Roman" w:eastAsia="Times New Roman" w:cs="Times New Roman"/>
          <w:b w:val="0"/>
          <w:i w:val="0"/>
          <w:color w:val="000000"/>
          <w:sz w:val="26"/>
        </w:rPr>
        <w:t>Đề tài luận án:</w:t>
      </w:r>
    </w:p>
    <w:p>
      <w:pPr>
        <w:keepNext w:val="0"/>
        <w:spacing w:before="120" w:after="0" w:line="288" w:lineRule="auto"/>
        <w:ind w:firstLine="0"/>
        <w:jc w:val="center"/>
      </w:pPr>
      <w:r>
        <w:rPr>
          <w:rFonts w:ascii="Times New Roman" w:hAnsi="Times New Roman" w:eastAsia="Times New Roman" w:cs="Times New Roman"/>
          <w:b/>
          <w:i w:val="0"/>
          <w:color w:val="000000"/>
          <w:sz w:val="30"/>
        </w:rPr>
        <w:t>QUẢN LÝ NHÀ NƯỚC VỀ QUYỀN SỞ HỮU TRÍ TUỆ</w:t>
        <w:br/>
        <w:t>TRONG NỀN KINH TẾ SỐ Ở VIỆT NAM</w:t>
      </w:r>
    </w:p>
    <w:p>
      <w:pPr>
        <w:keepNext w:val="0"/>
        <w:spacing w:before="600" w:after="0" w:line="288" w:lineRule="auto"/>
        <w:ind w:firstLine="0"/>
        <w:jc w:val="center"/>
      </w:pPr>
    </w:p>
    <w:p>
      <w:pPr>
        <w:keepNext w:val="0"/>
        <w:spacing w:before="200" w:after="0" w:line="288" w:lineRule="auto"/>
        <w:ind w:firstLine="0"/>
        <w:jc w:val="center"/>
      </w:pPr>
      <w:r>
        <w:rPr>
          <w:rFonts w:ascii="Times New Roman" w:hAnsi="Times New Roman" w:eastAsia="Times New Roman" w:cs="Times New Roman"/>
          <w:b w:val="0"/>
          <w:i w:val="0"/>
          <w:color w:val="000000"/>
          <w:sz w:val="26"/>
        </w:rPr>
        <w:t>Chuyên ngành: Quản lý kinh tế</w:t>
      </w:r>
    </w:p>
    <w:p>
      <w:pPr>
        <w:keepNext w:val="0"/>
        <w:spacing w:before="0" w:after="0" w:line="288" w:lineRule="auto"/>
        <w:ind w:firstLine="0"/>
        <w:jc w:val="center"/>
      </w:pPr>
      <w:r>
        <w:rPr>
          <w:rFonts w:ascii="Times New Roman" w:hAnsi="Times New Roman" w:eastAsia="Times New Roman" w:cs="Times New Roman"/>
          <w:b w:val="0"/>
          <w:i w:val="0"/>
          <w:color w:val="000000"/>
          <w:sz w:val="26"/>
        </w:rPr>
        <w:t>Mã số: 9310110</w:t>
      </w:r>
    </w:p>
    <w:p>
      <w:pPr>
        <w:keepNext w:val="0"/>
        <w:spacing w:before="600" w:after="0" w:line="288" w:lineRule="auto"/>
        <w:ind w:firstLine="0"/>
        <w:jc w:val="center"/>
      </w:pPr>
    </w:p>
    <w:p>
      <w:pPr>
        <w:keepNext w:val="0"/>
        <w:spacing w:before="200" w:after="0" w:line="288" w:lineRule="auto"/>
        <w:ind w:firstLine="0"/>
        <w:jc w:val="center"/>
      </w:pPr>
      <w:r>
        <w:rPr>
          <w:rFonts w:ascii="Times New Roman" w:hAnsi="Times New Roman" w:eastAsia="Times New Roman" w:cs="Times New Roman"/>
          <w:b w:val="0"/>
          <w:i w:val="0"/>
          <w:color w:val="000000"/>
          <w:sz w:val="26"/>
        </w:rPr>
        <w:t>Người hướng dẫn khoa học: [Học hàm, học vị, họ và tên]</w:t>
      </w:r>
    </w:p>
    <w:p>
      <w:pPr>
        <w:keepNext w:val="0"/>
        <w:spacing w:before="800" w:after="0" w:line="288" w:lineRule="auto"/>
        <w:ind w:firstLine="0"/>
        <w:jc w:val="center"/>
      </w:pPr>
    </w:p>
    <w:p>
      <w:pPr>
        <w:keepNext w:val="0"/>
        <w:spacing w:before="200" w:after="0" w:line="288" w:lineRule="auto"/>
        <w:ind w:firstLine="0"/>
        <w:jc w:val="center"/>
      </w:pPr>
      <w:r>
        <w:rPr>
          <w:rFonts w:ascii="Times New Roman" w:hAnsi="Times New Roman" w:eastAsia="Times New Roman" w:cs="Times New Roman"/>
          <w:b/>
          <w:i w:val="0"/>
          <w:color w:val="000000"/>
          <w:sz w:val="26"/>
        </w:rPr>
        <w:t>Hà Nội, năm 2026</w:t>
      </w:r>
    </w:p>
    <w:p>
      <w:pPr>
        <w:sectPr>
          <w:pgSz w:w="11906" w:h="16838"/>
          <w:pgMar w:top="1984" w:right="1134" w:bottom="1701" w:left="1984" w:header="720" w:footer="720" w:gutter="0"/>
          <w:cols w:space="720"/>
          <w:docGrid w:linePitch="360"/>
        </w:sectPr>
      </w:pPr>
    </w:p>
    <w:p>
      <w:pPr>
        <w:keepNext w:val="0"/>
        <w:spacing w:before="0" w:after="120" w:line="360" w:lineRule="auto"/>
        <w:ind w:firstLine="0"/>
        <w:jc w:val="center"/>
      </w:pPr>
      <w:r>
        <w:rPr>
          <w:rFonts w:ascii="Times New Roman" w:hAnsi="Times New Roman" w:eastAsia="Times New Roman" w:cs="Times New Roman"/>
          <w:b/>
          <w:i w:val="0"/>
          <w:color w:val="000000"/>
          <w:sz w:val="28"/>
        </w:rPr>
        <w:t>MỤC LỤC</w:t>
      </w:r>
    </w:p>
    <w:p>
      <w:r>
        <w:rPr>
          <w:rFonts w:ascii="Times New Roman" w:hAnsi="Times New Roman" w:eastAsia="Times New Roman" w:cs="Times New Roman"/>
          <w:color w:val="000000"/>
          <w:sz w:val="26"/>
        </w:rPr>
        <w:fldChar w:fldCharType="begin"/>
        <w:instrText xml:space="preserve">TOC \o "1-4" \h \z \u</w:instrText>
        <w:fldChar w:fldCharType="separate"/>
        <w:t>Nhấn chuột phải, chọn Update Field để cập nhật.</w:t>
        <w:fldChar w:fldCharType="end"/>
      </w:r>
    </w:p>
    <w:p>
      <w:pPr>
        <w:keepNext w:val="0"/>
        <w:pageBreakBefore/>
        <w:spacing w:before="0" w:after="120" w:line="360" w:lineRule="auto"/>
        <w:ind w:firstLine="0"/>
        <w:jc w:val="center"/>
      </w:pPr>
      <w:r>
        <w:rPr>
          <w:rFonts w:ascii="Times New Roman" w:hAnsi="Times New Roman" w:eastAsia="Times New Roman" w:cs="Times New Roman"/>
          <w:b/>
          <w:i w:val="0"/>
          <w:color w:val="000000"/>
          <w:sz w:val="28"/>
        </w:rPr>
        <w:t>BẢNG BIỂU, SƠ ĐỒ</w:t>
      </w:r>
    </w:p>
    <w:p>
      <w:r>
        <w:rPr>
          <w:rFonts w:ascii="Times New Roman" w:hAnsi="Times New Roman" w:eastAsia="Times New Roman" w:cs="Times New Roman"/>
          <w:color w:val="000000"/>
          <w:sz w:val="26"/>
        </w:rPr>
        <w:fldChar w:fldCharType="begin"/>
        <w:instrText xml:space="preserve">TOC \h \z \t "Chu thich hinh bang,1"</w:instrText>
        <w:fldChar w:fldCharType="separate"/>
        <w:t>Nhấn chuột phải, chọn Update Field để cập nhật.</w:t>
        <w:fldChar w:fldCharType="end"/>
      </w:r>
    </w:p>
    <w:p>
      <w:pPr>
        <w:keepNext w:val="0"/>
        <w:pageBreakBefore/>
        <w:spacing w:before="0" w:after="120" w:line="360" w:lineRule="auto"/>
        <w:ind w:firstLine="0"/>
        <w:jc w:val="center"/>
      </w:pPr>
      <w:r>
        <w:rPr>
          <w:rFonts w:ascii="Times New Roman" w:hAnsi="Times New Roman" w:eastAsia="Times New Roman" w:cs="Times New Roman"/>
          <w:b/>
          <w:i w:val="0"/>
          <w:color w:val="000000"/>
          <w:sz w:val="28"/>
        </w:rPr>
        <w:t>DANH MỤC CHỮ VIẾT TẮT</w:t>
      </w:r>
    </w:p>
    <w:tbl>
      <w:tblPr>
        <w:tblStyle w:val="TableGrid"/>
        <w:tblW w:type="auto" w:w="0"/>
        <w:jc w:val="center"/>
        <w:tblLook w:firstColumn="1" w:firstRow="1" w:lastColumn="0" w:lastRow="0" w:noHBand="0" w:noVBand="1" w:val="04A0"/>
      </w:tblPr>
      <w:tblGrid>
        <w:gridCol w:w="4394"/>
        <w:gridCol w:w="4394"/>
      </w:tblGrid>
      <w:tr>
        <w:tc>
          <w:tcPr>
            <w:tcW w:type="dxa" w:w="1701"/>
          </w:tcPr>
          <w:p>
            <w:pPr>
              <w:jc w:val="center"/>
            </w:pPr>
            <w:r>
              <w:rPr>
                <w:rFonts w:ascii="Times New Roman" w:hAnsi="Times New Roman" w:eastAsia="Times New Roman" w:cs="Times New Roman"/>
                <w:b/>
                <w:i w:val="0"/>
                <w:color w:val="000000"/>
                <w:sz w:val="26"/>
              </w:rPr>
              <w:t>Chữ viết tắt</w:t>
            </w:r>
          </w:p>
        </w:tc>
        <w:tc>
          <w:tcPr>
            <w:tcW w:type="dxa" w:w="7087"/>
          </w:tcPr>
          <w:p>
            <w:pPr>
              <w:jc w:val="center"/>
            </w:pPr>
            <w:r>
              <w:rPr>
                <w:rFonts w:ascii="Times New Roman" w:hAnsi="Times New Roman" w:eastAsia="Times New Roman" w:cs="Times New Roman"/>
                <w:b/>
                <w:i w:val="0"/>
                <w:color w:val="000000"/>
                <w:sz w:val="26"/>
              </w:rPr>
              <w:t>Nghĩa đầy đủ</w:t>
            </w:r>
          </w:p>
        </w:tc>
      </w:tr>
      <w:tr>
        <w:tc>
          <w:tcPr>
            <w:tcW w:type="dxa" w:w="1701"/>
          </w:tcPr>
          <w:p>
            <w:pPr>
              <w:spacing w:line="288" w:lineRule="auto"/>
            </w:pPr>
            <w:r>
              <w:rPr>
                <w:rFonts w:ascii="Times New Roman" w:hAnsi="Times New Roman" w:eastAsia="Times New Roman" w:cs="Times New Roman"/>
                <w:b w:val="0"/>
                <w:i w:val="0"/>
                <w:color w:val="000000"/>
                <w:sz w:val="26"/>
              </w:rPr>
              <w:t>CSIRO</w:t>
            </w:r>
          </w:p>
        </w:tc>
        <w:tc>
          <w:tcPr>
            <w:tcW w:type="dxa" w:w="7087"/>
          </w:tcPr>
          <w:p>
            <w:pPr>
              <w:spacing w:line="288" w:lineRule="auto"/>
            </w:pPr>
            <w:r>
              <w:rPr>
                <w:rFonts w:ascii="Times New Roman" w:hAnsi="Times New Roman" w:eastAsia="Times New Roman" w:cs="Times New Roman"/>
                <w:b w:val="0"/>
                <w:i w:val="0"/>
                <w:color w:val="000000"/>
                <w:sz w:val="26"/>
              </w:rPr>
              <w:t>Cơ quan Nghiên cứu Khoa học và Công nghiệp Khối thịnh vượng chung Úc</w:t>
            </w:r>
          </w:p>
        </w:tc>
      </w:tr>
      <w:tr>
        <w:tc>
          <w:tcPr>
            <w:tcW w:type="dxa" w:w="1701"/>
          </w:tcPr>
          <w:p>
            <w:pPr>
              <w:spacing w:line="288" w:lineRule="auto"/>
            </w:pPr>
            <w:r>
              <w:rPr>
                <w:rFonts w:ascii="Times New Roman" w:hAnsi="Times New Roman" w:eastAsia="Times New Roman" w:cs="Times New Roman"/>
                <w:b w:val="0"/>
                <w:i w:val="0"/>
                <w:color w:val="000000"/>
                <w:sz w:val="26"/>
              </w:rPr>
              <w:t>EPO</w:t>
            </w:r>
          </w:p>
        </w:tc>
        <w:tc>
          <w:tcPr>
            <w:tcW w:type="dxa" w:w="7087"/>
          </w:tcPr>
          <w:p>
            <w:pPr>
              <w:spacing w:line="288" w:lineRule="auto"/>
            </w:pPr>
            <w:r>
              <w:rPr>
                <w:rFonts w:ascii="Times New Roman" w:hAnsi="Times New Roman" w:eastAsia="Times New Roman" w:cs="Times New Roman"/>
                <w:b w:val="0"/>
                <w:i w:val="0"/>
                <w:color w:val="000000"/>
                <w:sz w:val="26"/>
              </w:rPr>
              <w:t>Cơ quan Sáng chế châu Âu (European Patent Office)</w:t>
            </w:r>
          </w:p>
        </w:tc>
      </w:tr>
      <w:tr>
        <w:tc>
          <w:tcPr>
            <w:tcW w:type="dxa" w:w="1701"/>
          </w:tcPr>
          <w:p>
            <w:pPr>
              <w:spacing w:line="288" w:lineRule="auto"/>
            </w:pPr>
            <w:r>
              <w:rPr>
                <w:rFonts w:ascii="Times New Roman" w:hAnsi="Times New Roman" w:eastAsia="Times New Roman" w:cs="Times New Roman"/>
                <w:b w:val="0"/>
                <w:i w:val="0"/>
                <w:color w:val="000000"/>
                <w:sz w:val="26"/>
              </w:rPr>
              <w:t>EUIPO</w:t>
            </w:r>
          </w:p>
        </w:tc>
        <w:tc>
          <w:tcPr>
            <w:tcW w:type="dxa" w:w="7087"/>
          </w:tcPr>
          <w:p>
            <w:pPr>
              <w:spacing w:line="288" w:lineRule="auto"/>
            </w:pPr>
            <w:r>
              <w:rPr>
                <w:rFonts w:ascii="Times New Roman" w:hAnsi="Times New Roman" w:eastAsia="Times New Roman" w:cs="Times New Roman"/>
                <w:b w:val="0"/>
                <w:i w:val="0"/>
                <w:color w:val="000000"/>
                <w:sz w:val="26"/>
              </w:rPr>
              <w:t>Cơ quan Sở hữu trí tuệ Liên minh châu Âu (European Union Intellectual Property Office)</w:t>
            </w:r>
          </w:p>
        </w:tc>
      </w:tr>
      <w:tr>
        <w:tc>
          <w:tcPr>
            <w:tcW w:type="dxa" w:w="1701"/>
          </w:tcPr>
          <w:p>
            <w:pPr>
              <w:spacing w:line="288" w:lineRule="auto"/>
            </w:pPr>
            <w:r>
              <w:rPr>
                <w:rFonts w:ascii="Times New Roman" w:hAnsi="Times New Roman" w:eastAsia="Times New Roman" w:cs="Times New Roman"/>
                <w:b w:val="0"/>
                <w:i w:val="0"/>
                <w:color w:val="000000"/>
                <w:sz w:val="26"/>
              </w:rPr>
              <w:t>FDI</w:t>
            </w:r>
          </w:p>
        </w:tc>
        <w:tc>
          <w:tcPr>
            <w:tcW w:type="dxa" w:w="7087"/>
          </w:tcPr>
          <w:p>
            <w:pPr>
              <w:spacing w:line="288" w:lineRule="auto"/>
            </w:pPr>
            <w:r>
              <w:rPr>
                <w:rFonts w:ascii="Times New Roman" w:hAnsi="Times New Roman" w:eastAsia="Times New Roman" w:cs="Times New Roman"/>
                <w:b w:val="0"/>
                <w:i w:val="0"/>
                <w:color w:val="000000"/>
                <w:sz w:val="26"/>
              </w:rPr>
              <w:t>Đầu tư trực tiếp nước ngoài (Foreign Direct Investment)</w:t>
            </w:r>
          </w:p>
        </w:tc>
      </w:tr>
      <w:tr>
        <w:tc>
          <w:tcPr>
            <w:tcW w:type="dxa" w:w="1701"/>
          </w:tcPr>
          <w:p>
            <w:pPr>
              <w:spacing w:line="288" w:lineRule="auto"/>
            </w:pPr>
            <w:r>
              <w:rPr>
                <w:rFonts w:ascii="Times New Roman" w:hAnsi="Times New Roman" w:eastAsia="Times New Roman" w:cs="Times New Roman"/>
                <w:b w:val="0"/>
                <w:i w:val="0"/>
                <w:color w:val="000000"/>
                <w:sz w:val="26"/>
              </w:rPr>
              <w:t>GDP</w:t>
            </w:r>
          </w:p>
        </w:tc>
        <w:tc>
          <w:tcPr>
            <w:tcW w:type="dxa" w:w="7087"/>
          </w:tcPr>
          <w:p>
            <w:pPr>
              <w:spacing w:line="288" w:lineRule="auto"/>
            </w:pPr>
            <w:r>
              <w:rPr>
                <w:rFonts w:ascii="Times New Roman" w:hAnsi="Times New Roman" w:eastAsia="Times New Roman" w:cs="Times New Roman"/>
                <w:b w:val="0"/>
                <w:i w:val="0"/>
                <w:color w:val="000000"/>
                <w:sz w:val="26"/>
              </w:rPr>
              <w:t>Tổng sản phẩm trong nước (Gross Domestic Product)</w:t>
            </w:r>
          </w:p>
        </w:tc>
      </w:tr>
      <w:tr>
        <w:tc>
          <w:tcPr>
            <w:tcW w:type="dxa" w:w="1701"/>
          </w:tcPr>
          <w:p>
            <w:pPr>
              <w:spacing w:line="288" w:lineRule="auto"/>
            </w:pPr>
            <w:r>
              <w:rPr>
                <w:rFonts w:ascii="Times New Roman" w:hAnsi="Times New Roman" w:eastAsia="Times New Roman" w:cs="Times New Roman"/>
                <w:b w:val="0"/>
                <w:i w:val="0"/>
                <w:color w:val="000000"/>
                <w:sz w:val="26"/>
              </w:rPr>
              <w:t>IMF</w:t>
            </w:r>
          </w:p>
        </w:tc>
        <w:tc>
          <w:tcPr>
            <w:tcW w:type="dxa" w:w="7087"/>
          </w:tcPr>
          <w:p>
            <w:pPr>
              <w:spacing w:line="288" w:lineRule="auto"/>
            </w:pPr>
            <w:r>
              <w:rPr>
                <w:rFonts w:ascii="Times New Roman" w:hAnsi="Times New Roman" w:eastAsia="Times New Roman" w:cs="Times New Roman"/>
                <w:b w:val="0"/>
                <w:i w:val="0"/>
                <w:color w:val="000000"/>
                <w:sz w:val="26"/>
              </w:rPr>
              <w:t>Quỹ Tiền tệ Quốc tế (International Monetary Fund)</w:t>
            </w:r>
          </w:p>
        </w:tc>
      </w:tr>
      <w:tr>
        <w:tc>
          <w:tcPr>
            <w:tcW w:type="dxa" w:w="1701"/>
          </w:tcPr>
          <w:p>
            <w:pPr>
              <w:spacing w:line="288" w:lineRule="auto"/>
            </w:pPr>
            <w:r>
              <w:rPr>
                <w:rFonts w:ascii="Times New Roman" w:hAnsi="Times New Roman" w:eastAsia="Times New Roman" w:cs="Times New Roman"/>
                <w:b w:val="0"/>
                <w:i w:val="0"/>
                <w:color w:val="000000"/>
                <w:sz w:val="26"/>
              </w:rPr>
              <w:t>OECD</w:t>
            </w:r>
          </w:p>
        </w:tc>
        <w:tc>
          <w:tcPr>
            <w:tcW w:type="dxa" w:w="7087"/>
          </w:tcPr>
          <w:p>
            <w:pPr>
              <w:spacing w:line="288" w:lineRule="auto"/>
            </w:pPr>
            <w:r>
              <w:rPr>
                <w:rFonts w:ascii="Times New Roman" w:hAnsi="Times New Roman" w:eastAsia="Times New Roman" w:cs="Times New Roman"/>
                <w:b w:val="0"/>
                <w:i w:val="0"/>
                <w:color w:val="000000"/>
                <w:sz w:val="26"/>
              </w:rPr>
              <w:t>Tổ chức Hợp tác và Phát triển Kinh tế (Organisation for Economic Co-operation and Development)</w:t>
            </w:r>
          </w:p>
        </w:tc>
      </w:tr>
      <w:tr>
        <w:tc>
          <w:tcPr>
            <w:tcW w:type="dxa" w:w="1701"/>
          </w:tcPr>
          <w:p>
            <w:pPr>
              <w:spacing w:line="288" w:lineRule="auto"/>
            </w:pPr>
            <w:r>
              <w:rPr>
                <w:rFonts w:ascii="Times New Roman" w:hAnsi="Times New Roman" w:eastAsia="Times New Roman" w:cs="Times New Roman"/>
                <w:b w:val="0"/>
                <w:i w:val="0"/>
                <w:color w:val="000000"/>
                <w:sz w:val="26"/>
              </w:rPr>
              <w:t>QLNN</w:t>
            </w:r>
          </w:p>
        </w:tc>
        <w:tc>
          <w:tcPr>
            <w:tcW w:type="dxa" w:w="7087"/>
          </w:tcPr>
          <w:p>
            <w:pPr>
              <w:spacing w:line="288" w:lineRule="auto"/>
            </w:pPr>
            <w:r>
              <w:rPr>
                <w:rFonts w:ascii="Times New Roman" w:hAnsi="Times New Roman" w:eastAsia="Times New Roman" w:cs="Times New Roman"/>
                <w:b w:val="0"/>
                <w:i w:val="0"/>
                <w:color w:val="000000"/>
                <w:sz w:val="26"/>
              </w:rPr>
              <w:t>Quản lý nhà nước</w:t>
            </w:r>
          </w:p>
        </w:tc>
      </w:tr>
      <w:tr>
        <w:tc>
          <w:tcPr>
            <w:tcW w:type="dxa" w:w="1701"/>
          </w:tcPr>
          <w:p>
            <w:pPr>
              <w:spacing w:line="288" w:lineRule="auto"/>
            </w:pPr>
            <w:r>
              <w:rPr>
                <w:rFonts w:ascii="Times New Roman" w:hAnsi="Times New Roman" w:eastAsia="Times New Roman" w:cs="Times New Roman"/>
                <w:b w:val="0"/>
                <w:i w:val="0"/>
                <w:color w:val="000000"/>
                <w:sz w:val="26"/>
              </w:rPr>
              <w:t>SHTT</w:t>
            </w:r>
          </w:p>
        </w:tc>
        <w:tc>
          <w:tcPr>
            <w:tcW w:type="dxa" w:w="7087"/>
          </w:tcPr>
          <w:p>
            <w:pPr>
              <w:spacing w:line="288" w:lineRule="auto"/>
            </w:pPr>
            <w:r>
              <w:rPr>
                <w:rFonts w:ascii="Times New Roman" w:hAnsi="Times New Roman" w:eastAsia="Times New Roman" w:cs="Times New Roman"/>
                <w:b w:val="0"/>
                <w:i w:val="0"/>
                <w:color w:val="000000"/>
                <w:sz w:val="26"/>
              </w:rPr>
              <w:t>Sở hữu trí tuệ</w:t>
            </w:r>
          </w:p>
        </w:tc>
      </w:tr>
      <w:tr>
        <w:tc>
          <w:tcPr>
            <w:tcW w:type="dxa" w:w="1701"/>
          </w:tcPr>
          <w:p>
            <w:pPr>
              <w:spacing w:line="288" w:lineRule="auto"/>
            </w:pPr>
            <w:r>
              <w:rPr>
                <w:rFonts w:ascii="Times New Roman" w:hAnsi="Times New Roman" w:eastAsia="Times New Roman" w:cs="Times New Roman"/>
                <w:b w:val="0"/>
                <w:i w:val="0"/>
                <w:color w:val="000000"/>
                <w:sz w:val="26"/>
              </w:rPr>
              <w:t>UNCTAD</w:t>
            </w:r>
          </w:p>
        </w:tc>
        <w:tc>
          <w:tcPr>
            <w:tcW w:type="dxa" w:w="7087"/>
          </w:tcPr>
          <w:p>
            <w:pPr>
              <w:spacing w:line="288" w:lineRule="auto"/>
            </w:pPr>
            <w:r>
              <w:rPr>
                <w:rFonts w:ascii="Times New Roman" w:hAnsi="Times New Roman" w:eastAsia="Times New Roman" w:cs="Times New Roman"/>
                <w:b w:val="0"/>
                <w:i w:val="0"/>
                <w:color w:val="000000"/>
                <w:sz w:val="26"/>
              </w:rPr>
              <w:t>Hội nghị Liên hợp quốc về Thương mại và Phát triển (United Nations Conference on Trade and Development)</w:t>
            </w:r>
          </w:p>
        </w:tc>
      </w:tr>
      <w:tr>
        <w:tc>
          <w:tcPr>
            <w:tcW w:type="dxa" w:w="1701"/>
          </w:tcPr>
          <w:p>
            <w:pPr>
              <w:spacing w:line="288" w:lineRule="auto"/>
            </w:pPr>
            <w:r>
              <w:rPr>
                <w:rFonts w:ascii="Times New Roman" w:hAnsi="Times New Roman" w:eastAsia="Times New Roman" w:cs="Times New Roman"/>
                <w:b w:val="0"/>
                <w:i w:val="0"/>
                <w:color w:val="000000"/>
                <w:sz w:val="26"/>
              </w:rPr>
              <w:t>WIPO</w:t>
            </w:r>
          </w:p>
        </w:tc>
        <w:tc>
          <w:tcPr>
            <w:tcW w:type="dxa" w:w="7087"/>
          </w:tcPr>
          <w:p>
            <w:pPr>
              <w:spacing w:line="288" w:lineRule="auto"/>
            </w:pPr>
            <w:r>
              <w:rPr>
                <w:rFonts w:ascii="Times New Roman" w:hAnsi="Times New Roman" w:eastAsia="Times New Roman" w:cs="Times New Roman"/>
                <w:b w:val="0"/>
                <w:i w:val="0"/>
                <w:color w:val="000000"/>
                <w:sz w:val="26"/>
              </w:rPr>
              <w:t>Tổ chức Sở hữu trí tuệ Thế giới (World Intellectual Property Organization)</w:t>
            </w:r>
          </w:p>
        </w:tc>
      </w:tr>
    </w:tbl>
    <w:p>
      <w:pPr>
        <w:sectPr>
          <w:headerReference w:type="default" r:id="rId9"/>
          <w:pgSz w:w="11906" w:h="16838"/>
          <w:pgMar w:top="1984" w:right="1134" w:bottom="1701" w:left="1984" w:header="720" w:footer="720" w:gutter="0"/>
          <w:cols w:space="720"/>
          <w:docGrid w:linePitch="360"/>
          <w:pgNumType w:fmt="lowerRoman" w:start="1"/>
        </w:sectPr>
      </w:pPr>
    </w:p>
    <w:p>
      <w:pPr>
        <w:pStyle w:val="Heading1"/>
      </w:pPr>
      <w:r>
        <w:rPr>
          <w:rFonts w:ascii="Times New Roman" w:hAnsi="Times New Roman" w:eastAsia="Times New Roman" w:cs="Times New Roman"/>
          <w:b/>
          <w:i w:val="0"/>
          <w:color w:val="000000"/>
          <w:sz w:val="28"/>
        </w:rPr>
        <w:t>MỞ ĐẦU</w:t>
      </w:r>
    </w:p>
    <w:p>
      <w:pPr>
        <w:pStyle w:val="Heading2"/>
      </w:pPr>
      <w:r>
        <w:rPr>
          <w:rFonts w:ascii="Times New Roman" w:hAnsi="Times New Roman" w:eastAsia="Times New Roman" w:cs="Times New Roman"/>
          <w:b/>
          <w:i w:val="0"/>
          <w:color w:val="000000"/>
          <w:sz w:val="26"/>
        </w:rPr>
        <w:t>1. Tính cấp thiết của đề tài</w:t>
      </w:r>
    </w:p>
    <w:p>
      <w:pPr>
        <w:keepNext w:val="0"/>
        <w:spacing w:before="0" w:after="0" w:line="360" w:lineRule="auto"/>
        <w:ind w:firstLine="720"/>
        <w:jc w:val="both"/>
      </w:pPr>
      <w:r>
        <w:rPr>
          <w:rFonts w:ascii="Times New Roman" w:hAnsi="Times New Roman" w:eastAsia="Times New Roman" w:cs="Times New Roman"/>
          <w:b w:val="0"/>
          <w:i w:val="0"/>
          <w:color w:val="000000"/>
          <w:sz w:val="26"/>
        </w:rPr>
        <w:t>Trong nền kinh tế số, tài sản vô hình ngày càng giữ vị trí trung tâm trong quá trình tạo ra giá trị của doanh nghiệp và của nền kinh tế. Ở Việt Nam, tỷ trọng giá trị tăng thêm của kinh tế số trong tổng sản phẩm trong nước (GDP) ước đạt 14,02% năm 2025, tương đương khoảng 72,1 tỷ USD [7]. Quyền sở hữu trí tuệ (SHTT) là hình thức pháp lý để các kết quả sáng tạo trở thành tài sản có thể được sở hữu, định giá và giao dịch. Mặc dù vậy, giá trị kinh tế của quyền SHTT chỉ được hiện thực hóa khi quyền được khai thác, thông qua việc chủ thể quyền trực tiếp sử dụng đối tượng được bảo hộ trong sản xuất, kinh doanh, chuyển nhượng quyền, chuyển quyền sử dụng, góp vốn, thế chấp hoặc thương mại hóa trên thị trường. Xác lập và bảo vệ quyền là điều kiện cần, còn khai thác là khâu chuyển hóa quyền SHTT thành nguồn lực cho tăng trưởng. Sự phát triển của kinh tế số làm thay đổi đáng kể phương thức khai thác: chương trình máy tính và nội dung số được cấp phép, phân phối qua nền tảng trực tuyến; nhãn hiệu gắn với hoạt động kinh doanh trên sàn thương mại điện tử; sáng chế trong lĩnh vực công nghệ số được chuyển giao, li-xăng và kết hợp với dữ liệu để hình thành sản phẩm, dịch vụ mới. Những thay đổi này đặt ra yêu cầu mới đối với vai trò của Nhà nước trong tạo lập khuôn khổ pháp lý, hạ tầng thị trường và cơ chế hỗ trợ cho hoạt động khai thác quyền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Trọng tâm chính sách về SHTT ở Việt Nam đang thay đổi rõ nét theo hướng này. Nghị quyết số 57-NQ/TW ngày 22/12/2024 của Bộ Chính trị về đột phá phát triển khoa học, công nghệ, đổi mới sáng tạo và chuyển đổi số quốc gia xác định đây là động lực chính để phát triển lực lượng sản xuất hiện đại [1]. Luật Khoa học, công nghệ và đổi mới sáng tạo số 93/2025/QH15 mở rộng quyền sở hữu và quyền tự chủ của tổ chức chủ trì đối với kết quả nghiên cứu, tạo điều kiện cho thương mại hóa [32]. Luật sửa đổi, bổ sung một số điều của Luật Sở hữu trí tuệ số 131/2025/QH15, có hiệu lực từ ngày 01/4/2026, lần đầu tiên bổ sung một điều luật riêng (Điều 8a) về quản lý, khai thác quyền SHTT, theo đó tài sản trí tuệ có thể được định giá, giao dịch, ghi nhận trong báo cáo tài chính, sử dụng để góp vốn và làm tài sản bảo đảm [33]. Kết luận số 51-KL/TW ngày 17/6/2026 của Bộ Chính trị về đẩy mạnh công tác sở hữu trí tuệ phục vụ phát triển kinh tế - xã hội trong tình hình mới yêu cầu hoàn thiện cơ chế định giá quyền SHTT, xây dựng thị trường công nghệ hiện đại, đẩy mạnh khai thác quyền SHTT như một loại tài sản trong huy động vốn, đầu tư, góp vốn, đồng thời chuyển mạnh từ tư duy quản lý hành chính sang kiến tạo hệ sinh thái SHTT [2]. Cụ thể hóa các yêu cầu đó, Quyết định số 1624/QĐ-TTg ngày 21/8/2026 của Thủ tướng Chính phủ sửa đổi, bổ sung Chiến lược sở hữu trí tuệ đến năm 2030 đã bổ sung mục tiêu thúc đẩy giao dịch quyền SHTT trên thị trường, trong đó có nhiệm vụ thí điểm hỗ trợ xác định giá trị của ít nhất 100 quyền SHTT của viện nghiên cứu, cơ sở giáo dục đại học và doanh nghiệp khởi nghiệp sáng tạo [42]. Cùng với Luật Chuyển đổi số số 148/2025/QH15 [34], các văn bản trên cho thấy khai thác quyền SHTT trong môi trường số đã trở thành một nội dung trọng tâm của quản lý nhà nước (QLNN) về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thực tế, khoảng cách giữa số lượng quyền SHTT được xác lập và mức độ khai thác vẫn là một hạn chế của hệ thống SHTT Việt Nam. Năm 2024, Cục Sở hữu trí tuệ cấp hơn 53.600 văn bằng bảo hộ, trong khi số đơn đăng ký hợp đồng chuyển quyền sử dụng đối tượng sở hữu công nghiệp chỉ là 153 đơn, và trong 1.758 đơn đăng ký hợp đồng chuyển nhượng chỉ có 98 đơn liên quan đến sáng chế [6]; do pháp luật không bắt buộc mọi hợp đồng li-xăng phải đăng ký, các số liệu này chưa phản ánh đầy đủ hoạt động khai thác, nhưng cho thấy dữ liệu về khâu khai thác còn thiếu so với khâu xác lập. Việc Kết luận số 51-KL/TW và Quyết định số 1624/QĐ-TTg đặt ra yêu cầu hoàn thiện cơ chế định giá, phát triển thị trường và thúc đẩy giao dịch quyền SHTT phản ánh rằng các điều kiện thể chế và thị trường cho hoạt động khai thác chưa được hình thành đầy đủ. Các quy định về định giá, hạch toán, góp vốn và thế chấp bằng quyền SHTT đang trong quá trình được hướng dẫn chi tiết; thị trường quyền SHTT và mạng lưới dịch vụ trung gian (định giá, môi giới, tư vấn chuyển giao) còn mỏng; kết quả nghiên cứu hình thành từ ngân sách nhà nước chậm được thương mại hóa. Trên môi trường số, nguy cơ xâm phạm quyền với tính chất ẩn danh, xuyên biên giới làm giảm giá trị và động lực khai thác của chủ thể quyền; đồng thời, khi thời gian từ lúc công nghệ ra đời đến khi được ứng dụng ngày càng rút ngắn [126], độ trễ của thể chế và cơ chế giao dịch có thể làm mất cơ hội khai thác giá trị của chính các quyền đã được xác lập. Luận án sẽ làm rõ các hạn chế này bằng số liệu thống kê của cơ quan quản lý giai đoạn 2019-2025, kết quả khảo sát và ý kiến chuyên gia.</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phương diện lý luận, tổng quan các công trình trong và ngoài nước cho thấy phần lớn nghiên cứu về QLNN đối với quyền SHTT tập trung vào khâu xác lập, bảo hộ và xử lý vi phạm. Hoạt động khai thác quyền SHTT được nghiên cứu chủ yếu dưới góc độ luật học (hợp đồng chuyển giao, li-xăng) hoặc quản trị doanh nghiệp (chiến lược tài sản trí tuệ, định giá), và phần lớn dựa trên kinh nghiệm của các nền kinh tế phát triển. Các nghiên cứu hiện có chưa làm rõ đầy đủ QLNN đối với khai thác quyền SHTT như một đối tượng quản lý có nội dung, tiêu chí đánh giá và yếu tố ảnh hưởng riêng; đồng thời còn thiếu các đánh giá dựa trên dữ liệu khảo sát về QLNN đối với khai thác quyền SHTT trong điều kiện kinh tế số ở Việt Nam.</w:t>
      </w:r>
    </w:p>
    <w:p>
      <w:pPr>
        <w:keepNext w:val="0"/>
        <w:spacing w:before="0" w:after="0" w:line="360" w:lineRule="auto"/>
        <w:ind w:firstLine="720"/>
        <w:jc w:val="both"/>
      </w:pPr>
      <w:r>
        <w:rPr>
          <w:rFonts w:ascii="Times New Roman" w:hAnsi="Times New Roman" w:eastAsia="Times New Roman" w:cs="Times New Roman"/>
          <w:b w:val="0"/>
          <w:i w:val="0"/>
          <w:color w:val="000000"/>
          <w:sz w:val="26"/>
        </w:rPr>
        <w:t>Từ những yêu cầu trên, luận án giữ nguyên tên đề tài, đồng thời giới hạn nội dung nghiên cứu vào QLNN đối với hoạt động khai thác quyền SHTT. Cách giới hạn này dựa trên hai căn cứ. Thứ nhất, trong chu trình xác lập, khai thác và bảo vệ quyền, khai thác là khâu trực tiếp tạo ra giá trị kinh tế, phù hợp với cách tiếp cận của chuyên ngành Quản lý kinh tế. Thứ hai, đây là khâu được các chủ trương, pháp luật ban hành giai đoạn 2025-2026 đặt trọng tâm. Hoạt động xác lập và bảo vệ quyền vẫn được xem xét, nhưng ở mức độ là tiền đề và điều kiện bảo đảm cho hoạt động khai thác. Xuất phát từ những yêu cầu lý luận và thực tiễn đó, nghiên cứu sinh lựa chọn đề tài Quản lý nhà nước về quyền sở hữu trí tuệ trong nền kinh tế số ở Việt Nam làm đề tài luận án tiến sĩ chuyên ngành Quản lý kinh tế. Kết quả nghiên cứu góp phần cung cấp luận cứ khoa học cho việc tổ chức thực hiện Luật Sở hữu trí tuệ sửa đổi năm 2025, Kết luận số 51-KL/TW và Chiến lược sở hữu trí tuệ đến năm 2030 đã được sửa đổi, bổ sung.</w:t>
      </w:r>
    </w:p>
    <w:p>
      <w:pPr>
        <w:keepNext w:val="0"/>
        <w:spacing w:before="0" w:after="0" w:line="360" w:lineRule="auto"/>
        <w:ind w:firstLine="720"/>
        <w:jc w:val="both"/>
      </w:pPr>
      <w:r>
        <w:rPr>
          <w:rFonts w:ascii="Times New Roman" w:hAnsi="Times New Roman" w:eastAsia="Times New Roman" w:cs="Times New Roman"/>
          <w:b w:val="0"/>
          <w:i w:val="0"/>
          <w:color w:val="000000"/>
          <w:sz w:val="26"/>
        </w:rPr>
        <w:t>Chuyên đề tổng quan này được thực hiện nhằm hệ thống hóa các công trình có liên quan, nhận diện những vấn đề đã được giải quyết, những vấn đề còn bỏ ngỏ, làm cơ sở xác định câu hỏi, giả thuyết nghiên cứu và xây dựng đề cương chi tiết của luận án.</w:t>
      </w:r>
    </w:p>
    <w:p>
      <w:pPr>
        <w:pStyle w:val="Heading2"/>
      </w:pPr>
      <w:r>
        <w:rPr>
          <w:rFonts w:ascii="Times New Roman" w:hAnsi="Times New Roman" w:eastAsia="Times New Roman" w:cs="Times New Roman"/>
          <w:b/>
          <w:i w:val="0"/>
          <w:color w:val="000000"/>
          <w:sz w:val="26"/>
        </w:rPr>
        <w:t>2. Mục đích và nhiệm vụ của tổng quan</w:t>
      </w:r>
    </w:p>
    <w:p>
      <w:pPr>
        <w:pStyle w:val="Heading3"/>
      </w:pPr>
      <w:r>
        <w:rPr>
          <w:rFonts w:ascii="Times New Roman" w:hAnsi="Times New Roman" w:eastAsia="Times New Roman" w:cs="Times New Roman"/>
          <w:b/>
          <w:i w:val="0"/>
          <w:color w:val="000000"/>
          <w:sz w:val="26"/>
        </w:rPr>
        <w:t>2.1. Mục đích</w:t>
      </w:r>
    </w:p>
    <w:p>
      <w:pPr>
        <w:keepNext w:val="0"/>
        <w:spacing w:before="0" w:after="0" w:line="360" w:lineRule="auto"/>
        <w:ind w:firstLine="720"/>
        <w:jc w:val="both"/>
      </w:pPr>
      <w:r>
        <w:rPr>
          <w:rFonts w:ascii="Times New Roman" w:hAnsi="Times New Roman" w:eastAsia="Times New Roman" w:cs="Times New Roman"/>
          <w:b w:val="0"/>
          <w:i w:val="0"/>
          <w:color w:val="000000"/>
          <w:sz w:val="26"/>
        </w:rPr>
        <w:t>Chuyên đề tổng quan nhằm hệ thống hóa và đánh giá các công trình nghiên cứu trong và ngoài nước liên quan đến quyền SHTT, nền kinh tế số và khai thác quyền SHTT trong nền kinh tế số; trên cơ sở đó xác định những vấn đề đã đạt được sự thống nhất, những vấn đề còn tranh luận hoặc chưa được tiếp cận, những vấn đề luận án cần tiếp tục nghiên cứu, đồng thời xác lập câu hỏi, giả thuyết nghiên cứu và đề cương chi tiết của luận án.</w:t>
      </w:r>
    </w:p>
    <w:p>
      <w:pPr>
        <w:pStyle w:val="Heading3"/>
      </w:pPr>
      <w:r>
        <w:rPr>
          <w:rFonts w:ascii="Times New Roman" w:hAnsi="Times New Roman" w:eastAsia="Times New Roman" w:cs="Times New Roman"/>
          <w:b/>
          <w:i w:val="0"/>
          <w:color w:val="000000"/>
          <w:sz w:val="26"/>
        </w:rPr>
        <w:t>2.2. Nhiệm vụ</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thu thập, sàng lọc và phân loại các công trình khoa học trong và ngoài nước theo ba nhóm: quyền SHTT; nền kinh tế số; khai thác quyền SHTT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phân tích nội dung, phương pháp và kết quả của các công trình tiêu biểu trong từng nhóm, làm rõ quá trình phát triển của các hướng nghiên cứu và giá trị kế thừa đối với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đánh giá tổng quát tình hình nghiên cứu, chỉ ra những vấn đề đã thống nhất, những vấn đề còn tranh luận hoặc chưa được nghiên cứu; xác định những vấn đề đặt ra về lý luận, thực trạng và giải pháp; đề xuất câu hỏi và giả thuyết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tư, trên cơ sở kết quả tổng quan, cung cấp căn cứ để xây dựng đề cương chi tiết của luận án (được trình bày thành văn bản riêng kèm theo chuyên đề này).</w:t>
      </w:r>
    </w:p>
    <w:p>
      <w:pPr>
        <w:pStyle w:val="Heading2"/>
      </w:pPr>
      <w:r>
        <w:rPr>
          <w:rFonts w:ascii="Times New Roman" w:hAnsi="Times New Roman" w:eastAsia="Times New Roman" w:cs="Times New Roman"/>
          <w:b/>
          <w:i w:val="0"/>
          <w:color w:val="000000"/>
          <w:sz w:val="26"/>
        </w:rPr>
        <w:t>3. Đối tượng và phạm vi của chuyên đề tổng quan</w:t>
      </w:r>
    </w:p>
    <w:p>
      <w:pPr>
        <w:pStyle w:val="Heading3"/>
      </w:pPr>
      <w:r>
        <w:rPr>
          <w:rFonts w:ascii="Times New Roman" w:hAnsi="Times New Roman" w:eastAsia="Times New Roman" w:cs="Times New Roman"/>
          <w:b/>
          <w:i w:val="0"/>
          <w:color w:val="000000"/>
          <w:sz w:val="26"/>
        </w:rPr>
        <w:t>3.1. Đối tượng</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tượng của chuyên đề tổng quan là các công trình khoa học đã công bố trong và ngoài nước (sách chuyên khảo, bài báo khoa học, luận án tiến sĩ, báo cáo của các tổ chức quốc tế và cơ quan quản lý) có liên quan trực tiếp hoặc gián tiếp đến quyền SHTT, nền kinh tế số, khai thác quyền SHTT và QLNN đối với khai thác quyền SHTT trong nền kinh tế số.</w:t>
      </w:r>
    </w:p>
    <w:p>
      <w:pPr>
        <w:pStyle w:val="Heading3"/>
      </w:pPr>
      <w:r>
        <w:rPr>
          <w:rFonts w:ascii="Times New Roman" w:hAnsi="Times New Roman" w:eastAsia="Times New Roman" w:cs="Times New Roman"/>
          <w:b/>
          <w:i w:val="0"/>
          <w:color w:val="000000"/>
          <w:sz w:val="26"/>
        </w:rPr>
        <w:t>3.2. Phạm vi</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nội dung, chuyên đề tập trung vào ba nhóm công trình nêu trên, trong đó nhóm công trình về khai thác quyền SHTT trong nền kinh tế số được phân tích sâu hơn vì gắn trực tiếp với đối tượng nghiên cứu của luận án. Về thời gian, chuyên đề kết hợp các công trình nền tảng (từ những năm 1960) với các công trình phát triển và công trình mới công bố đến năm 2026. Về không gian, chuyên đề bao gồm các công trình của nước ngoài và các công trình trong nước. Các văn bản chủ trương, pháp luật được sử dụng như nguồn tài liệu bối cảnh, không phải đối tượng tổng quan chính.</w:t>
      </w:r>
    </w:p>
    <w:p>
      <w:pPr>
        <w:pStyle w:val="Heading2"/>
      </w:pPr>
      <w:r>
        <w:rPr>
          <w:rFonts w:ascii="Times New Roman" w:hAnsi="Times New Roman" w:eastAsia="Times New Roman" w:cs="Times New Roman"/>
          <w:b/>
          <w:i w:val="0"/>
          <w:color w:val="000000"/>
          <w:sz w:val="26"/>
        </w:rPr>
        <w:t>4. Cách tiếp cận và phương pháp nghiên cứu chuyên đề tổng quan</w:t>
      </w:r>
    </w:p>
    <w:p>
      <w:pPr>
        <w:pStyle w:val="Heading3"/>
      </w:pPr>
      <w:r>
        <w:rPr>
          <w:rFonts w:ascii="Times New Roman" w:hAnsi="Times New Roman" w:eastAsia="Times New Roman" w:cs="Times New Roman"/>
          <w:b/>
          <w:i w:val="0"/>
          <w:color w:val="000000"/>
          <w:sz w:val="26"/>
        </w:rPr>
        <w:t>4.1. Cách tiếp cận</w:t>
      </w:r>
    </w:p>
    <w:p>
      <w:pPr>
        <w:keepNext w:val="0"/>
        <w:spacing w:before="0" w:after="0" w:line="360" w:lineRule="auto"/>
        <w:ind w:firstLine="720"/>
        <w:jc w:val="both"/>
      </w:pPr>
      <w:r>
        <w:rPr>
          <w:rFonts w:ascii="Times New Roman" w:hAnsi="Times New Roman" w:eastAsia="Times New Roman" w:cs="Times New Roman"/>
          <w:b w:val="0"/>
          <w:i w:val="0"/>
          <w:color w:val="000000"/>
          <w:sz w:val="26"/>
        </w:rPr>
        <w:t>Chuyên đề tiếp cận theo chủ đề, trong đó các công trình được nhóm theo vấn đề nghiên cứu thay vì liệt kê theo tác giả. Trong mỗi nhóm, chuyên đề tiếp cận theo quá trình phát triển của tri thức, từ các công trình nền tảng đến các công trình phát triển, phản biện và các công trình mới, nhằm làm rõ vì sao hướng nghiên cứu mới xuất hiện và vấn đề nào còn bỏ ngỏ. Chuyên đề đồng thời vận dụng cách tiếp cận liên ngành kinh tế học, luật học và khoa học quản lý, phù hợp với tính chất của đối tượng nghiên cứu.</w:t>
      </w:r>
    </w:p>
    <w:p>
      <w:pPr>
        <w:pStyle w:val="Heading3"/>
      </w:pPr>
      <w:r>
        <w:rPr>
          <w:rFonts w:ascii="Times New Roman" w:hAnsi="Times New Roman" w:eastAsia="Times New Roman" w:cs="Times New Roman"/>
          <w:b/>
          <w:i w:val="0"/>
          <w:color w:val="000000"/>
          <w:sz w:val="26"/>
        </w:rPr>
        <w:t>4.2. Phương pháp nghiên cứu tổng quan</w:t>
      </w:r>
    </w:p>
    <w:p>
      <w:pPr>
        <w:keepNext w:val="0"/>
        <w:spacing w:before="0" w:after="0" w:line="360" w:lineRule="auto"/>
        <w:ind w:firstLine="720"/>
        <w:jc w:val="both"/>
      </w:pPr>
      <w:r>
        <w:rPr>
          <w:rFonts w:ascii="Times New Roman" w:hAnsi="Times New Roman" w:eastAsia="Times New Roman" w:cs="Times New Roman"/>
          <w:b w:val="0"/>
          <w:i w:val="0"/>
          <w:color w:val="000000"/>
          <w:sz w:val="26"/>
        </w:rPr>
        <w:t>Tài liệu được thu thập từ các cơ sở dữ liệu Scopus, Web of Science, Google Scholar, các tạp chí khoa học trong nước thuộc danh mục được Hội đồng Giáo sư nhà nước tính điểm, cơ sở dữ liệu luận án của các cơ sở đào tạo và các ấn phẩm của WIPO, Tổ chức Hợp tác và Phát triển Kinh tế (OECD), Ngân hàng Thế giới, Hội nghị Liên hợp quốc về Thương mại và Phát triển (UNCTAD). Các từ khóa chính gồm: quyền sở hữu trí tuệ, tài sản trí tuệ, khai thác, thương mại hóa, chuyển giao công nghệ, li-xăng, định giá, thị trường công nghệ, kinh tế số, quản lý nhà nước (và các thuật ngữ tiếng Anh tương ứng). Tài liệu được sàng lọc theo mức độ liên quan đến đề tài, uy tín của nơi công bố và khả năng kiểm chứng thông tin trích dẫn. Các công trình được hệ thống hóa bằng bảng tổng quan tài liệu (tác giả, năm, vấn đề nghiên cứu, phương pháp, kết quả, giá trị kế thừa), sau đó được phân tích, tổng hợp, so sánh và đánh giá để rút ra khoảng trống nghiên cứu.</w:t>
      </w:r>
    </w:p>
    <w:p>
      <w:pPr>
        <w:pStyle w:val="Heading2"/>
      </w:pPr>
      <w:r>
        <w:rPr>
          <w:rFonts w:ascii="Times New Roman" w:hAnsi="Times New Roman" w:eastAsia="Times New Roman" w:cs="Times New Roman"/>
          <w:b/>
          <w:i w:val="0"/>
          <w:color w:val="000000"/>
          <w:sz w:val="26"/>
        </w:rPr>
        <w:t>5. Kết cấu chuyên đề tổng quan</w:t>
      </w:r>
    </w:p>
    <w:p>
      <w:pPr>
        <w:keepNext w:val="0"/>
        <w:spacing w:before="0" w:after="0" w:line="360" w:lineRule="auto"/>
        <w:ind w:firstLine="720"/>
        <w:jc w:val="both"/>
      </w:pPr>
      <w:r>
        <w:rPr>
          <w:rFonts w:ascii="Times New Roman" w:hAnsi="Times New Roman" w:eastAsia="Times New Roman" w:cs="Times New Roman"/>
          <w:b w:val="0"/>
          <w:i w:val="0"/>
          <w:color w:val="000000"/>
          <w:sz w:val="26"/>
        </w:rPr>
        <w:t>Ngoài phần Mở đầu, Kết luận, Danh mục tài liệu tham khảo, nội dung chuyên đề tổng quan gồm ba phần: tổng quan tình hình nghiên cứu liên quan đến đề tài luận án (mục 1.1); nhận xét tình hình nghiên cứu (mục 1.2); những vấn đề đặt ra cần tiếp tục nghiên cứu, câu hỏi nghiên cứu và giả thuyết nghiên cứu (mục 1.3). Đề cương chi tiết nghiên cứu của luận án được trình bày thành văn bản riêng.</w:t>
      </w:r>
    </w:p>
    <w:p>
      <w:pPr>
        <w:pStyle w:val="Heading1"/>
        <w:pageBreakBefore/>
      </w:pPr>
      <w:r>
        <w:rPr>
          <w:rFonts w:ascii="Times New Roman" w:hAnsi="Times New Roman" w:eastAsia="Times New Roman" w:cs="Times New Roman"/>
          <w:b/>
          <w:i w:val="0"/>
          <w:color w:val="000000"/>
          <w:sz w:val="28"/>
        </w:rPr>
        <w:t>TỔNG QUAN TÌNH HÌNH NGHIÊN CỨU VÀ NHỮNG VẤN ĐỀ ĐẶT RA CẦN NGHIÊN CỨU CỦA ĐỀ TÀI LUẬN ÁN</w:t>
      </w:r>
    </w:p>
    <w:p>
      <w:pPr>
        <w:pStyle w:val="Heading2"/>
      </w:pPr>
      <w:r>
        <w:rPr>
          <w:rFonts w:ascii="Times New Roman" w:hAnsi="Times New Roman" w:eastAsia="Times New Roman" w:cs="Times New Roman"/>
          <w:b/>
          <w:i w:val="0"/>
          <w:color w:val="000000"/>
          <w:sz w:val="26"/>
        </w:rPr>
        <w:t>1.1. Tổng quan tình hình nghiên cứu liên quan đến đề tài luận án</w:t>
      </w:r>
    </w:p>
    <w:p>
      <w:pPr>
        <w:pStyle w:val="Heading3"/>
      </w:pPr>
      <w:r>
        <w:rPr>
          <w:rFonts w:ascii="Times New Roman" w:hAnsi="Times New Roman" w:eastAsia="Times New Roman" w:cs="Times New Roman"/>
          <w:b/>
          <w:i w:val="0"/>
          <w:color w:val="000000"/>
          <w:sz w:val="26"/>
        </w:rPr>
        <w:t>1.1.1. Những công trình nghiên cứu về quyền sở hữu trí tuệ</w:t>
      </w:r>
    </w:p>
    <w:p>
      <w:pPr>
        <w:pStyle w:val="Heading4"/>
      </w:pPr>
      <w:r>
        <w:rPr>
          <w:rFonts w:ascii="Times New Roman" w:hAnsi="Times New Roman" w:eastAsia="Times New Roman" w:cs="Times New Roman"/>
          <w:b/>
          <w:i/>
          <w:color w:val="000000"/>
          <w:sz w:val="26"/>
        </w:rPr>
        <w:t>1.1.1.1. Các công trình nghiên cứu của nước ngoài</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nước ngoài về quyền SHTT có thể được hệ thống hóa thành ba hướng: nghiên cứu về bản chất và cơ sở biện minh của quyền SHTT; nghiên cứu về vai trò của quyền SHTT đối với tăng trưởng, đầu tư và chuyển giao công nghệ; nghiên cứu về vị trí của quyền SHTT trong hệ thống đổi mới sáng tạo và vai trò của Nhà nước.</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bản chất và cơ sở biện minh của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này tập trung lý giải vì sao xã hội trao cho người sáng tạo một độc quyền có thời hạn đối với sản phẩm trí tuệ. Trong bài viết </w:t>
      </w:r>
      <w:r>
        <w:rPr>
          <w:rFonts w:ascii="Times New Roman" w:hAnsi="Times New Roman" w:eastAsia="Times New Roman" w:cs="Times New Roman"/>
          <w:b w:val="0"/>
          <w:i/>
          <w:color w:val="000000"/>
          <w:sz w:val="26"/>
        </w:rPr>
        <w:t>The Philosophy of Intellectual Property</w:t>
      </w:r>
      <w:r>
        <w:rPr>
          <w:rFonts w:ascii="Times New Roman" w:hAnsi="Times New Roman" w:eastAsia="Times New Roman" w:cs="Times New Roman"/>
          <w:b w:val="0"/>
          <w:i w:val="0"/>
          <w:color w:val="000000"/>
          <w:sz w:val="26"/>
        </w:rPr>
        <w:t xml:space="preserve">, Hughes (1988) vận dụng thuyết lao động và thuyết nhân cách để giải thích quyền của người sáng tạo đối với thành quả lao động trí óc của mình [80]. Việc chỉ dựa vào quyền tự nhiên chưa đủ để giải thích một hệ thống bảo hộ ngày càng phức tạp, vì vậy trong chương sách </w:t>
      </w:r>
      <w:r>
        <w:rPr>
          <w:rFonts w:ascii="Times New Roman" w:hAnsi="Times New Roman" w:eastAsia="Times New Roman" w:cs="Times New Roman"/>
          <w:b w:val="0"/>
          <w:i/>
          <w:color w:val="000000"/>
          <w:sz w:val="26"/>
        </w:rPr>
        <w:t>Theories of Intellectual Property</w:t>
      </w:r>
      <w:r>
        <w:rPr>
          <w:rFonts w:ascii="Times New Roman" w:hAnsi="Times New Roman" w:eastAsia="Times New Roman" w:cs="Times New Roman"/>
          <w:b w:val="0"/>
          <w:i w:val="0"/>
          <w:color w:val="000000"/>
          <w:sz w:val="26"/>
        </w:rPr>
        <w:t xml:space="preserve">, Fisher (2001) hệ thống hóa bốn luồng lý thuyết cạnh tranh nhau gồm thuyết vị lợi, thuyết lao động, thuyết nhân cách và thuyết quy hoạch xã hội, đồng thời chỉ ra rằng mỗi luồng lý thuyết dẫn tới những gợi ý chính sách khác nhau về phạm vi và thời hạn bảo hộ [68]. Trong cuốn </w:t>
      </w:r>
      <w:r>
        <w:rPr>
          <w:rFonts w:ascii="Times New Roman" w:hAnsi="Times New Roman" w:eastAsia="Times New Roman" w:cs="Times New Roman"/>
          <w:b w:val="0"/>
          <w:i/>
          <w:color w:val="000000"/>
          <w:sz w:val="26"/>
        </w:rPr>
        <w:t>Justifying Intellectual Property</w:t>
      </w:r>
      <w:r>
        <w:rPr>
          <w:rFonts w:ascii="Times New Roman" w:hAnsi="Times New Roman" w:eastAsia="Times New Roman" w:cs="Times New Roman"/>
          <w:b w:val="0"/>
          <w:i w:val="0"/>
          <w:color w:val="000000"/>
          <w:sz w:val="26"/>
        </w:rPr>
        <w:t xml:space="preserve">, Merges (2011) phát triển cách tiếp cận dựa trên các nguyên tắc tầm trung (không trùng lặp với lĩnh vực công, tương xứng, hiệu quả và phẩm giá) nhằm tạo nền tảng chung cho việc thiết kế các quy định cụ thể [95]. Khác với hai cách tiếp cận trên, trong cuốn </w:t>
      </w:r>
      <w:r>
        <w:rPr>
          <w:rFonts w:ascii="Times New Roman" w:hAnsi="Times New Roman" w:eastAsia="Times New Roman" w:cs="Times New Roman"/>
          <w:b w:val="0"/>
          <w:i/>
          <w:color w:val="000000"/>
          <w:sz w:val="26"/>
        </w:rPr>
        <w:t>A Philosophy of Intellectual Property</w:t>
      </w:r>
      <w:r>
        <w:rPr>
          <w:rFonts w:ascii="Times New Roman" w:hAnsi="Times New Roman" w:eastAsia="Times New Roman" w:cs="Times New Roman"/>
          <w:b w:val="0"/>
          <w:i w:val="0"/>
          <w:color w:val="000000"/>
          <w:sz w:val="26"/>
        </w:rPr>
        <w:t xml:space="preserve">, Drahos (1996) phản biện việc coi quyền SHTT là một dạng quyền tài sản, lập luận rằng lý thuyết SHTT nên lấy chủ nghĩa công cụ làm định hướng và dùng ngôn ngữ đặc quyền thay cho ngôn ngữ quyền tài sản, trong đó các nghĩa vụ gắn kèm đặc quyền là trung tâm [63]. Ở góc độ tiếp cận chính sách, cuốn </w:t>
      </w:r>
      <w:r>
        <w:rPr>
          <w:rFonts w:ascii="Times New Roman" w:hAnsi="Times New Roman" w:eastAsia="Times New Roman" w:cs="Times New Roman"/>
          <w:b w:val="0"/>
          <w:i/>
          <w:color w:val="000000"/>
          <w:sz w:val="26"/>
        </w:rPr>
        <w:t>The Essential Guide to Intellectual Property</w:t>
      </w:r>
      <w:r>
        <w:rPr>
          <w:rFonts w:ascii="Times New Roman" w:hAnsi="Times New Roman" w:eastAsia="Times New Roman" w:cs="Times New Roman"/>
          <w:b w:val="0"/>
          <w:i w:val="0"/>
          <w:color w:val="000000"/>
          <w:sz w:val="26"/>
        </w:rPr>
        <w:t xml:space="preserve"> của Sinnreich (2019) mô tả xu hướng mở rộng phạm vi bảo hộ trong hệ thống SHTT hiện đại và các hệ quả đối với lợi ích công cộng [111].</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có giá trị trong việc làm rõ quyền SHTT là một chế định do Nhà nước thiết kế và có thể điều chỉnh, chứ không phải một quyền tuyệt đối. Tuy vậy, các công trình chủ yếu bàn về tính chính đáng của việc trao quyền, ít đề cập đến việc quyền sau khi được xác lập sẽ được sử dụng như thế nào để tạo ra giá trị kinh tế.</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vai trò của quyền sở hữu trí tuệ đối với tăng trưởng, đầu tư và chuyển giao công nghệ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Dòng tài liệu thứ hai phân tích mối quan hệ giữa mức độ bảo hộ quyền SHTT với tăng trưởng kinh tế, đầu tư trực tiếp nước ngoài (FDI) và chuyển giao công nghệ. Bài báo </w:t>
      </w:r>
      <w:r>
        <w:rPr>
          <w:rFonts w:ascii="Times New Roman" w:hAnsi="Times New Roman" w:eastAsia="Times New Roman" w:cs="Times New Roman"/>
          <w:b w:val="0"/>
          <w:i/>
          <w:color w:val="000000"/>
          <w:sz w:val="26"/>
        </w:rPr>
        <w:t>Innovation, Imitation, and Intellectual Property Rights</w:t>
      </w:r>
      <w:r>
        <w:rPr>
          <w:rFonts w:ascii="Times New Roman" w:hAnsi="Times New Roman" w:eastAsia="Times New Roman" w:cs="Times New Roman"/>
          <w:b w:val="0"/>
          <w:i w:val="0"/>
          <w:color w:val="000000"/>
          <w:sz w:val="26"/>
        </w:rPr>
        <w:t xml:space="preserve"> của Helpman (1993) đặt nền móng lý thuyết khi chỉ ra rằng việc thắt chặt bảo hộ ở các nước đang phát triển không nhất thiết mang lại lợi ích cho chính các nước này [77]. Các nghiên cứu thực nghiệm tiếp theo cung cấp bằng chứng theo nhiều chiều: Gould và Gruben (1996) cho thấy bảo hộ quyền SHTT có tác động tích cực đến tăng trưởng, rõ hơn ở các nền kinh tế mở [75]; Thompson và Rushing (1996) cho thấy tác động của bảo hộ sáng chế đối với tăng trưởng chỉ xuất hiện khi nền kinh tế đạt tới một ngưỡng phát triển nhất định [114]; báo cáo của Mansfield (1994) cho thấy mức độ bảo hộ quyền SHTT ở nước tiếp nhận ảnh hưởng đến quyết định đầu tư và chuyển giao công nghệ của các doanh nghiệp Hoa Kỳ [92]. Ở cấp độ doanh nghiệp, bài báo </w:t>
      </w:r>
      <w:r>
        <w:rPr>
          <w:rFonts w:ascii="Times New Roman" w:hAnsi="Times New Roman" w:eastAsia="Times New Roman" w:cs="Times New Roman"/>
          <w:b w:val="0"/>
          <w:i/>
          <w:color w:val="000000"/>
          <w:sz w:val="26"/>
        </w:rPr>
        <w:t>Do Stronger Intellectual Property Rights Increase International Technology Transfer?</w:t>
      </w:r>
      <w:r>
        <w:rPr>
          <w:rFonts w:ascii="Times New Roman" w:hAnsi="Times New Roman" w:eastAsia="Times New Roman" w:cs="Times New Roman"/>
          <w:b w:val="0"/>
          <w:i w:val="0"/>
          <w:color w:val="000000"/>
          <w:sz w:val="26"/>
        </w:rPr>
        <w:t xml:space="preserve"> của Branstetter, Fisman và Foley (2006) cho thấy sau các cải cách tăng cường bảo hộ, dòng chuyển giao công nghệ trong nội bộ các tập đoàn đa quốc gia Hoa Kỳ sang nước tiếp nhận gia tăng [53]; Yang và Maskus (2001) cho thấy bảo hộ mạnh hơn làm tăng quy mô các giao dịch li-xăng quốc tế [127].</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Lập luận về tác động tích cực của việc tăng cường bảo hộ vấp phải sự phản biện khi áp dụng cho các nước đang phát triển. Trong cuốn </w:t>
      </w:r>
      <w:r>
        <w:rPr>
          <w:rFonts w:ascii="Times New Roman" w:hAnsi="Times New Roman" w:eastAsia="Times New Roman" w:cs="Times New Roman"/>
          <w:b w:val="0"/>
          <w:i/>
          <w:color w:val="000000"/>
          <w:sz w:val="26"/>
        </w:rPr>
        <w:t>Intellectual Property Rights in the Global Economy</w:t>
      </w:r>
      <w:r>
        <w:rPr>
          <w:rFonts w:ascii="Times New Roman" w:hAnsi="Times New Roman" w:eastAsia="Times New Roman" w:cs="Times New Roman"/>
          <w:b w:val="0"/>
          <w:i w:val="0"/>
          <w:color w:val="000000"/>
          <w:sz w:val="26"/>
        </w:rPr>
        <w:t xml:space="preserve">, Maskus (2000) cho thấy tác động của quyền SHTT phụ thuộc vào trình độ phát triển, năng lực hấp thụ công nghệ và cấu trúc thị trường của từng quốc gia [93]; công trình </w:t>
      </w:r>
      <w:r>
        <w:rPr>
          <w:rFonts w:ascii="Times New Roman" w:hAnsi="Times New Roman" w:eastAsia="Times New Roman" w:cs="Times New Roman"/>
          <w:b w:val="0"/>
          <w:i/>
          <w:color w:val="000000"/>
          <w:sz w:val="26"/>
        </w:rPr>
        <w:t>Intellectual Property and Development: Lessons from Recent Economic Research</w:t>
      </w:r>
      <w:r>
        <w:rPr>
          <w:rFonts w:ascii="Times New Roman" w:hAnsi="Times New Roman" w:eastAsia="Times New Roman" w:cs="Times New Roman"/>
          <w:b w:val="0"/>
          <w:i w:val="0"/>
          <w:color w:val="000000"/>
          <w:sz w:val="26"/>
        </w:rPr>
        <w:t xml:space="preserve"> do Fink và Maskus (2005) chủ biên tổng hợp các bằng chứng theo hướng này [66]. Chỉ số bảo hộ sáng chế quốc tế do Park (2008) xây dựng cho giai đoạn 1960-2005 tạo điều kiện cho các so sánh định lượng giữa các quốc gia [106]. Acemoglu và Akcigit (2012) cho thấy chính sách SHTT tối ưu cần phụ thuộc vào vị thế công nghệ của doanh nghiệp [48]; Williams (2013), khi phân tích quyền đối với dữ liệu gen người, cung cấp bằng chứng rằng quyền độc quyền có thể làm giảm hoạt động sáng tạo tiếp nối [122]. Phân tích tổng hợp (meta-analysis) của Neves và cộng sự (2021) kết luận rằng quyền SHTT có tác động tích cực tổng thể đến đổi mới sáng tạo và tăng trưởng, nhưng tác động này yếu hơn ở các nước đang phát triển [99]. Bên cạnh mức độ bảo hộ trên văn bản, hiệu quả thực thi cũng được xem xét: tổng quan của Fink, Maskus và Qian (2016) về tác động kinh tế của hàng giả và vi phạm bản quyền cho thấy hiểu biết về hậu quả của các hành vi này còn nhiều khoảng trống, từ đó khuyến nghị Chính phủ thu thập dữ liệu và tổ chức nghiên cứu để làm căn cứ cho chính sách thực thi [67].</w:t>
      </w:r>
    </w:p>
    <w:p>
      <w:pPr>
        <w:keepNext w:val="0"/>
        <w:spacing w:before="0" w:after="0" w:line="360" w:lineRule="auto"/>
        <w:ind w:firstLine="720"/>
        <w:jc w:val="both"/>
      </w:pPr>
      <w:r>
        <w:rPr>
          <w:rFonts w:ascii="Times New Roman" w:hAnsi="Times New Roman" w:eastAsia="Times New Roman" w:cs="Times New Roman"/>
          <w:b w:val="0"/>
          <w:i w:val="0"/>
          <w:color w:val="000000"/>
          <w:sz w:val="26"/>
        </w:rPr>
        <w:t>Sự chuyển dịch từ cách nhìn tuyến tính (bảo hộ càng mạnh càng tốt) sang cách nhìn có điều kiện (tác động phụ thuộc bối cảnh) là kết quả quan trọng của hướng nghiên cứu này. Điều này gợi ý rằng chính sách SHTT của Việt Nam cần được thiết kế phù hợp với năng lực công nghệ và trình độ phát triển thị trường trong nước. Mặc dù vậy, phần lớn các công trình đo lường mức độ bảo hộ bằng các chỉ số pháp lý, chưa tách riêng vai trò của các điều kiện giúp quyền được khai thác trên thị trường.</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quyền sở hữu trí tuệ trong hệ thống đổi mới sáng tạo và vai trò của Nhà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thứ ba đặt quyền SHTT trong một hệ thống thể chế rộng hơn. Công trình </w:t>
      </w:r>
      <w:r>
        <w:rPr>
          <w:rFonts w:ascii="Times New Roman" w:hAnsi="Times New Roman" w:eastAsia="Times New Roman" w:cs="Times New Roman"/>
          <w:b w:val="0"/>
          <w:i/>
          <w:color w:val="000000"/>
          <w:sz w:val="26"/>
        </w:rPr>
        <w:t>National Systems of Innovation</w:t>
      </w:r>
      <w:r>
        <w:rPr>
          <w:rFonts w:ascii="Times New Roman" w:hAnsi="Times New Roman" w:eastAsia="Times New Roman" w:cs="Times New Roman"/>
          <w:b w:val="0"/>
          <w:i w:val="0"/>
          <w:color w:val="000000"/>
          <w:sz w:val="26"/>
        </w:rPr>
        <w:t xml:space="preserve"> do Lundvall (1992) chủ biên và </w:t>
      </w:r>
      <w:r>
        <w:rPr>
          <w:rFonts w:ascii="Times New Roman" w:hAnsi="Times New Roman" w:eastAsia="Times New Roman" w:cs="Times New Roman"/>
          <w:b w:val="0"/>
          <w:i/>
          <w:color w:val="000000"/>
          <w:sz w:val="26"/>
        </w:rPr>
        <w:t>National Innovation Systems: A Comparative Analysis</w:t>
      </w:r>
      <w:r>
        <w:rPr>
          <w:rFonts w:ascii="Times New Roman" w:hAnsi="Times New Roman" w:eastAsia="Times New Roman" w:cs="Times New Roman"/>
          <w:b w:val="0"/>
          <w:i w:val="0"/>
          <w:color w:val="000000"/>
          <w:sz w:val="26"/>
        </w:rPr>
        <w:t xml:space="preserve"> do Nelson (1993) chủ biên xem quyền SHTT là một bộ phận của hệ thống đổi mới sáng tạo quốc gia, trong đó hiệu quả của hệ thống phụ thuộc vào sự tương tác giữa doanh nghiệp, viện nghiên cứu, trường đại học và Nhà nước [88], [98]. Trong cuốn </w:t>
      </w:r>
      <w:r>
        <w:rPr>
          <w:rFonts w:ascii="Times New Roman" w:hAnsi="Times New Roman" w:eastAsia="Times New Roman" w:cs="Times New Roman"/>
          <w:b w:val="0"/>
          <w:i/>
          <w:color w:val="000000"/>
          <w:sz w:val="26"/>
        </w:rPr>
        <w:t>The Entrepreneurial State</w:t>
      </w:r>
      <w:r>
        <w:rPr>
          <w:rFonts w:ascii="Times New Roman" w:hAnsi="Times New Roman" w:eastAsia="Times New Roman" w:cs="Times New Roman"/>
          <w:b w:val="0"/>
          <w:i w:val="0"/>
          <w:color w:val="000000"/>
          <w:sz w:val="26"/>
        </w:rPr>
        <w:t xml:space="preserve">, Mazzucato (2013) lập luận rằng Nhà nước không chỉ khắc phục thất bại thị trường mà còn chủ động kiến tạo thị trường và chấp nhận rủi ro trong các lĩnh vực công nghệ mới [94]. Các nghiên cứu thực nghiệm gần đây củng cố vai trò kinh tế của quyền SHTT ở cấp độ doanh nghiệp: báo cáo chung của Cơ quan Sáng chế châu Âu (EPO) và Cơ quan Sở hữu trí tuệ Liên minh châu Âu (EUIPO) năm 2021 cho thấy các doanh nghiệp sở hữu quyền SHTT có doanh thu trên mỗi lao động cao hơn khoảng 20% so với doanh nghiệp không sở hữu, và lợi ích này thể hiện rõ ở các doanh nghiệp nhỏ và vừa [64]. Báo cáo </w:t>
      </w:r>
      <w:r>
        <w:rPr>
          <w:rFonts w:ascii="Times New Roman" w:hAnsi="Times New Roman" w:eastAsia="Times New Roman" w:cs="Times New Roman"/>
          <w:b w:val="0"/>
          <w:i/>
          <w:color w:val="000000"/>
          <w:sz w:val="26"/>
        </w:rPr>
        <w:t>World Intellectual Property Report 2024: Making Innovation Policy Work for Development</w:t>
      </w:r>
      <w:r>
        <w:rPr>
          <w:rFonts w:ascii="Times New Roman" w:hAnsi="Times New Roman" w:eastAsia="Times New Roman" w:cs="Times New Roman"/>
          <w:b w:val="0"/>
          <w:i w:val="0"/>
          <w:color w:val="000000"/>
          <w:sz w:val="26"/>
        </w:rPr>
        <w:t xml:space="preserve"> của WIPO phân tích cách thức chính sách đổi mới sáng tạo có thể được thiết kế phù hợp với năng lực sẵn có của các nền kinh tế đang phát triển [123]. Ở cấp độ tổ chức bộ máy, nghiên cứu </w:t>
      </w:r>
      <w:r>
        <w:rPr>
          <w:rFonts w:ascii="Times New Roman" w:hAnsi="Times New Roman" w:eastAsia="Times New Roman" w:cs="Times New Roman"/>
          <w:b w:val="0"/>
          <w:i/>
          <w:color w:val="000000"/>
          <w:sz w:val="26"/>
        </w:rPr>
        <w:t>Models of Intellectual Property Governance and Administration</w:t>
      </w:r>
      <w:r>
        <w:rPr>
          <w:rFonts w:ascii="Times New Roman" w:hAnsi="Times New Roman" w:eastAsia="Times New Roman" w:cs="Times New Roman"/>
          <w:b w:val="0"/>
          <w:i w:val="0"/>
          <w:color w:val="000000"/>
          <w:sz w:val="26"/>
        </w:rPr>
        <w:t xml:space="preserve"> của WIPO (2024), dựa trên phỏng vấn người đứng đầu 25 cơ quan SHTT, cho thấy người đứng đầu cơ quan SHTT vừa tham gia hoạch định chính sách vừa điều hành hành chính; nhiệm vụ của cơ quan SHTT được xác định theo hai loại, một loại hướng tới mục tiêu kinh tế, xã hội rộng hơn với các chức năng xây dựng chính sách, hỗ trợ kỹ thuật và nghiên cứu kinh tế, một loại tập trung vận hành dịch vụ SHTT; phần lớn cơ quan gặp hạn chế về biên chế và ngân sách [125].</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hình thành cách tiếp cận coi quyền SHTT là một công cụ trong hệ thống chính sách phát triển, qua đó mở ra vai trò chủ động của Nhà nước. Tuy nhiên, ngoài nghiên cứu của WIPO (2024) bước đầu so sánh mô hình tổ chức cơ quan SHTT, các công trình chủ yếu phân tích ở cấp độ hệ thống hoặc doanh nghiệp, chưa đi sâu vào nội dung và phương thức QLNN đối với từng khâu của quyền SHTT, đặc biệt là khâu khai thác.</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nước ngoài đã xây dựng cơ sở lý luận tương đối đầy đủ về bản chất, vai trò kinh tế và vị trí của quyền SHTT trong hệ thống đổi mới sáng tạo. Giá trị kế thừa đối với luận án là cách tiếp cận quyền SHTT như một chế định kinh tế có thể điều chỉnh và nhận thức rằng tác động của quyền SHTT phụ thuộc vào bối cảnh. Hạn chế chung là các công trình chủ yếu tập trung vào mức độ bảo hộ, trong khi các điều kiện để quyền được khai thác và vai trò của Nhà nước ở khâu này chưa được phân tích đầy đủ; nội dung này được tiếp tục xem xét tại mục 1.1.3.</w:t>
      </w:r>
    </w:p>
    <w:p>
      <w:pPr>
        <w:pStyle w:val="Heading4"/>
      </w:pPr>
      <w:r>
        <w:rPr>
          <w:rFonts w:ascii="Times New Roman" w:hAnsi="Times New Roman" w:eastAsia="Times New Roman" w:cs="Times New Roman"/>
          <w:b/>
          <w:i/>
          <w:color w:val="000000"/>
          <w:sz w:val="26"/>
        </w:rPr>
        <w:t>1.1.1.2. Các công trình nghiên cứu trong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trong nước về quyền SHTT phát triển gắn với quá trình hoàn thiện pháp luật và hội nhập kinh tế quốc tế, có thể hệ thống hóa thành ba hướng: nền tảng lý luận pháp lý; bảo hộ và thực thi quyền đối với các đối tượng cụ thể, kể cả trong môi trường số; vai trò của quyền SHTT đối với khoa học, công nghệ và phát triển kinh tế.</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nền tảng lý luận pháp lý về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đầu tiên hình thành trong giai đoạn Việt Nam chuẩn bị gia nhập Tổ chức Thương mại Thế giới. Cuốn sách </w:t>
      </w:r>
      <w:r>
        <w:rPr>
          <w:rFonts w:ascii="Times New Roman" w:hAnsi="Times New Roman" w:eastAsia="Times New Roman" w:cs="Times New Roman"/>
          <w:b w:val="0"/>
          <w:i/>
          <w:color w:val="000000"/>
          <w:sz w:val="26"/>
        </w:rPr>
        <w:t>Quyền sở hữu trí tuệ</w:t>
      </w:r>
      <w:r>
        <w:rPr>
          <w:rFonts w:ascii="Times New Roman" w:hAnsi="Times New Roman" w:eastAsia="Times New Roman" w:cs="Times New Roman"/>
          <w:b w:val="0"/>
          <w:i w:val="0"/>
          <w:color w:val="000000"/>
          <w:sz w:val="26"/>
        </w:rPr>
        <w:t xml:space="preserve"> của Lê Nết (2006) tiếp cận theo hướng luật học so sánh, làm rõ hệ thống khái niệm và đối chiếu pháp luật trong nước với các chuẩn mực quốc tế [25]. Đóng góp chủ yếu của hướng nghiên cứu này là chuẩn hóa hệ thống khái niệm pháp lý, tạo nền tảng nhận thức chung cho việc xây dựng và áp dụng pháp luật. Khác với dòng nghiên cứu quốc tế vốn tiếp cận quyền SHTT từ góc độ kinh tế học, các công trình nền tảng trong nước chủ yếu mô tả và diễn giải pháp luật thực định. Các công trình gần đây bắt đầu đi sâu hơn vào cơ sở biện minh và giới hạn của độc quyền. Luận án </w:t>
      </w:r>
      <w:r>
        <w:rPr>
          <w:rFonts w:ascii="Times New Roman" w:hAnsi="Times New Roman" w:eastAsia="Times New Roman" w:cs="Times New Roman"/>
          <w:b w:val="0"/>
          <w:i/>
          <w:color w:val="000000"/>
          <w:sz w:val="26"/>
        </w:rPr>
        <w:t>Giới hạn quyền tác giả, quyền liên quan - Những vấn đề lý luận và thực tiễn</w:t>
      </w:r>
      <w:r>
        <w:rPr>
          <w:rFonts w:ascii="Times New Roman" w:hAnsi="Times New Roman" w:eastAsia="Times New Roman" w:cs="Times New Roman"/>
          <w:b w:val="0"/>
          <w:i w:val="0"/>
          <w:color w:val="000000"/>
          <w:sz w:val="26"/>
        </w:rPr>
        <w:t xml:space="preserve"> của Phạm Minh Huyền (2024) xây dựng khái niệm giới hạn quyền tác giả, quyền liên quan với bốn đặc điểm về đối tượng, chủ thể bị giới hạn quyền, chủ thể được hưởng lợi và mục đích giới hạn, đồng thời phân tích cơ sở của việc giới hạn quyền từ quan điểm của Locke, Hegel, học thuyết cân bằng lợi ích, học thuyết hết quyền và học thuyết sử dụng hợp lý [15]. Công trình này cho thấy nghiên cứu trong nước đã tiếp cận vấn đề cơ sở biện minh của quyền mà dòng tài liệu quốc tế ở hướng thứ nhất của mục 1.1.1.1 đặt ra, song vẫn trong khuôn khổ khoa học pháp lý và gắn với một nhóm quyền cụ thể.</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bảo hộ và thực thi quyền đối với các đối tượng cụ thể, kể cả trong môi trường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Đây là hướng nghiên cứu có số lượng công trình lớn nhất. Một số luận án tiến sĩ đi sâu vào cơ chế bảo hộ đối với từng đối tượng: Lê Thị Bích Thủy (2021) nghiên cứu bảo hộ sáng chế liên quan đến dược phẩm trong điều kiện hội nhập, làm rõ xung đột giữa độc quyền sáng chế và quyền tiếp cận thuốc [43]; Vũ Thị Phương Giang (2025) nghiên cứu bảo vệ quyền đối với nhãn hiệu theo pháp luật Việt Nam [9]. Ở khía cạnh thực thi, luận án </w:t>
      </w:r>
      <w:r>
        <w:rPr>
          <w:rFonts w:ascii="Times New Roman" w:hAnsi="Times New Roman" w:eastAsia="Times New Roman" w:cs="Times New Roman"/>
          <w:b w:val="0"/>
          <w:i/>
          <w:color w:val="000000"/>
          <w:sz w:val="26"/>
        </w:rPr>
        <w:t>Chính sách pháp luật hình sự Việt Nam đối với các tội xâm phạm quyền sở hữu trí tuệ</w:t>
      </w:r>
      <w:r>
        <w:rPr>
          <w:rFonts w:ascii="Times New Roman" w:hAnsi="Times New Roman" w:eastAsia="Times New Roman" w:cs="Times New Roman"/>
          <w:b w:val="0"/>
          <w:i w:val="0"/>
          <w:color w:val="000000"/>
          <w:sz w:val="26"/>
        </w:rPr>
        <w:t xml:space="preserve"> của Trần Văn Hải (2021) đánh giá quá trình thể hiện và thực hiện chính sách pháp luật hình sự đối với nhóm tội này qua các thời kỳ, chỉ ra rằng bên cạnh hạn chế của quy định pháp luật, năng lực chuyên môn, nghiệp vụ của chủ thể áp dụng là rào cản đối với việc thực hiện chính sách [12]. Luận án </w:t>
      </w:r>
      <w:r>
        <w:rPr>
          <w:rFonts w:ascii="Times New Roman" w:hAnsi="Times New Roman" w:eastAsia="Times New Roman" w:cs="Times New Roman"/>
          <w:b w:val="0"/>
          <w:i/>
          <w:color w:val="000000"/>
          <w:sz w:val="26"/>
        </w:rPr>
        <w:t>Bảo vệ quyền sở hữu trí tuệ tại biên giới thông qua kiểm soát hàng hoá giả mạo về sở hữu trí tuệ của Hải quan Việt Nam</w:t>
      </w:r>
      <w:r>
        <w:rPr>
          <w:rFonts w:ascii="Times New Roman" w:hAnsi="Times New Roman" w:eastAsia="Times New Roman" w:cs="Times New Roman"/>
          <w:b w:val="0"/>
          <w:i w:val="0"/>
          <w:color w:val="000000"/>
          <w:sz w:val="26"/>
        </w:rPr>
        <w:t xml:space="preserve"> của Hứa Thị Hồng (2023) xây dựng mô hình lý thuyết về hoạt động kiểm soát hàng hoá giả mạo của cơ quan hải quan và cho thấy số vụ việc do hải quan bắt giữ còn khiêm tốn, hoạt động phối hợp giữa hải quan với các cơ quan quản lý, cơ quan thực thi quyền SHTT và với chủ thể quyền chưa đạt kỳ vọng [14]. Hai công trình này bổ sung góc nhìn về năng lực và sự phối hợp của bộ máy thực thi, những vấn đề ít được đề cập trong các nghiên cứu thiên về quy phạm. Một số công trình mở rộng sang môi trường số: luận án của Trần Thị Thanh Huyền (2021) phân tích quyền sở hữu công nghiệp đối với nhãn hiệu trong thương mại điện tử [16]; luận án của Hồ Thúy Ngọc (2025) nghiên cứu bảo hộ quyền SHTT đối với các sản phẩm tạo ra từ trí tuệ nhân tạo [27]. Hoàng Văn Thùy (2024) nhận diện các thách thức và biện pháp pháp lý bảo vệ quyền SHTT trong kinh tế số [40]. Lâm Xuân Hùng (2025) chỉ ra các điểm nghẽn của pháp luật SHTT hiện hành, gồm thiếu định nghĩa thống nhất về tài sản trí tuệ và tài sản số, bất cập trong cơ chế sở hữu, định giá và thương mại hóa tài sản hình thành từ ngân sách nhà nước, và khó khăn trong thực thi quyền trên môi trường số [17].</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cung cấp nhiều luận cứ cho việc hoàn thiện pháp luật. Mặc dù vậy, mục tiêu của phần lớn các công trình dừng ở kiến nghị sửa đổi quy phạm; các phân tích về chi phí, hiệu quả kinh tế của cơ chế bảo hộ còn ít; vai trò của bộ máy nhà nước mới được xem xét ở khâu thực thi quyền, chưa được xem xét ở khâu khai thác quyền.</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vai trò của quyền sở hữu trí tuệ đối với khoa học, công nghệ và phát triển kinh tế</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Một số công trình bắt đầu tiếp cận quyền SHTT như một nguồn lực phát triển. Nguyễn Văn Kim và Nguyễn Thị Ngọc Anh (2015) phân tích vai trò của sáng chế đối với hoạt động nghiên cứu và tiềm lực khoa học, công nghệ, chỉ ra số lượng sáng chế của Việt Nam còn rất thấp so với các nước trong khu vực và đề xuất nhóm chính sách về chất lượng sáng chế, sử dụng thông tin sáng chế và hỗ trợ phát triển tài sản trí tuệ [19]. Ở cấp độ chính sách, Chiến lược sở hữu trí tuệ đến năm 2030 xác định SHTT là công cụ thúc đẩy đổi mới sáng tạo và phát triển kinh tế - xã hội [41]. Các nghiên cứu đánh giá thực hiện chính sách ở địa phương cho thấy kết quả nổi bật chủ yếu nằm ở hoạt động đăng ký, xác lập quyền; việc phát triển và khai thác tài sản trí tuệ sau bảo hộ còn là vấn đề cần được quan tâm hơn [46].</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trong nước đã hoàn thành vai trò xây dựng khung lý luận pháp lý và cung cấp luận cứ hoàn thiện pháp luật về bảo hộ, thực thi quyền. Hạn chế chung là sự mất cân đối giữa nghiên cứu luật học với nghiên cứu dưới góc độ quản lý kinh tế; các công trình về hiệu quả chính sách và về khâu khai thác quyền sau bảo hộ còn tương đối ít. Khoảng trống này càng rõ khi đặt trong bối cảnh kinh tế số, là nội dung được tổng quan tại mục 1.1.2.</w:t>
      </w:r>
    </w:p>
    <w:p>
      <w:pPr>
        <w:pStyle w:val="Heading3"/>
      </w:pPr>
      <w:r>
        <w:rPr>
          <w:rFonts w:ascii="Times New Roman" w:hAnsi="Times New Roman" w:eastAsia="Times New Roman" w:cs="Times New Roman"/>
          <w:b/>
          <w:i w:val="0"/>
          <w:color w:val="000000"/>
          <w:sz w:val="26"/>
        </w:rPr>
        <w:t>1.1.2. Những công trình nghiên cứu về nền kinh tế số</w:t>
      </w:r>
    </w:p>
    <w:p>
      <w:pPr>
        <w:pStyle w:val="Heading4"/>
      </w:pPr>
      <w:r>
        <w:rPr>
          <w:rFonts w:ascii="Times New Roman" w:hAnsi="Times New Roman" w:eastAsia="Times New Roman" w:cs="Times New Roman"/>
          <w:b/>
          <w:i/>
          <w:color w:val="000000"/>
          <w:sz w:val="26"/>
        </w:rPr>
        <w:t>1.1.2.1. Các công trình nghiên cứu của nước ngoài</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nước ngoài về kinh tế số có thể được hệ thống hóa thành bốn hướng: khái niệm và đo lường kinh tế số; cơ chế kinh tế của công nghệ số và sự gia tăng vai trò của tài sản vô hình; phân phối giá trị và quyền kiểm soát trong nền kinh tế số; quan hệ giữa bảo hộ quyền SHTT và phát triển kinh tế số.</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khái niệm và đo lường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Thuật ngữ kinh tế số được phổ biến qua cuốn sách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xml:space="preserve"> của Tapscott (1996), trong đó tác giả mô tả một nền kinh tế dựa trên mạng lưới và thông tin số hóa [112]. Cùng thời gian đó, cuốn </w:t>
      </w:r>
      <w:r>
        <w:rPr>
          <w:rFonts w:ascii="Times New Roman" w:hAnsi="Times New Roman" w:eastAsia="Times New Roman" w:cs="Times New Roman"/>
          <w:b w:val="0"/>
          <w:i/>
          <w:color w:val="000000"/>
          <w:sz w:val="26"/>
        </w:rPr>
        <w:t>Being Digital</w:t>
      </w:r>
      <w:r>
        <w:rPr>
          <w:rFonts w:ascii="Times New Roman" w:hAnsi="Times New Roman" w:eastAsia="Times New Roman" w:cs="Times New Roman"/>
          <w:b w:val="0"/>
          <w:i w:val="0"/>
          <w:color w:val="000000"/>
          <w:sz w:val="26"/>
        </w:rPr>
        <w:t xml:space="preserve"> của Negroponte (1995) nhấn mạnh sự chuyển dịch từ xử lý vật chất sang xử lý dữ liệu số [97]. Khi kinh tế số lan rộng, yêu cầu phân định phạm vi và đo lường trở nên cấp thiết. Báo cáo </w:t>
      </w:r>
      <w:r>
        <w:rPr>
          <w:rFonts w:ascii="Times New Roman" w:hAnsi="Times New Roman" w:eastAsia="Times New Roman" w:cs="Times New Roman"/>
          <w:b w:val="0"/>
          <w:i/>
          <w:color w:val="000000"/>
          <w:sz w:val="26"/>
        </w:rPr>
        <w:t>Measuring the Digital Economy: A New Perspective</w:t>
      </w:r>
      <w:r>
        <w:rPr>
          <w:rFonts w:ascii="Times New Roman" w:hAnsi="Times New Roman" w:eastAsia="Times New Roman" w:cs="Times New Roman"/>
          <w:b w:val="0"/>
          <w:i w:val="0"/>
          <w:color w:val="000000"/>
          <w:sz w:val="26"/>
        </w:rPr>
        <w:t xml:space="preserve"> của OECD (2014) đối chiếu các chỉ báo hiện có với những vấn đề chính sách về kinh tế số, chỉ ra khoảng trống trong khung đo lường và đề xuất một chương trình đo lường quốc tế [103]. Bukht và Heeks (2017) đề xuất khung ba phạm vi gồm kinh tế số lõi, kinh tế số theo nghĩa hẹp và kinh tế số hóa theo nghĩa rộng, được nhiều nghiên cứu sau này sử dụng [56]. Trên cơ sở phân định phạm vi, các cơ quan thống kê bắt đầu đưa kinh tế số vào hệ thống tài khoản quốc gia. Tài liệu </w:t>
      </w:r>
      <w:r>
        <w:rPr>
          <w:rFonts w:ascii="Times New Roman" w:hAnsi="Times New Roman" w:eastAsia="Times New Roman" w:cs="Times New Roman"/>
          <w:b w:val="0"/>
          <w:i/>
          <w:color w:val="000000"/>
          <w:sz w:val="26"/>
        </w:rPr>
        <w:t>Defining and Measuring the Digital Economy</w:t>
      </w:r>
      <w:r>
        <w:rPr>
          <w:rFonts w:ascii="Times New Roman" w:hAnsi="Times New Roman" w:eastAsia="Times New Roman" w:cs="Times New Roman"/>
          <w:b w:val="0"/>
          <w:i w:val="0"/>
          <w:color w:val="000000"/>
          <w:sz w:val="26"/>
        </w:rPr>
        <w:t xml:space="preserve"> của Barefoot và cộng sự (2018) tại Cục Phân tích Kinh tế Hoa Kỳ xây dựng ước tính theo ba bước: xác định khái niệm kinh tế số, xác định các nhóm hàng hóa và dịch vụ số trong khung cung và sử dụng, ước tính đóng góp của kinh tế số vào GDP [52]. Quỹ Tiền tệ Quốc tế (IMF) phân tích những khó khăn khi đo lường kinh tế số trong hệ thống tài khoản quốc gia [81]; OECD đề xuất lộ trình xây dựng khung đo lường chung cho kinh tế số [104]. Các công trình này cung cấp cơ sở khái niệm cho luận án, nhưng chủ yếu phục vụ mục đích thống kê, chưa đề cập đến vị trí của quyền SHTT trong cấu trúc của nền kinh tế số.</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cơ chế kinh tế của công nghệ số và vai trò của tài sản vô hình</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thứ hai lý giải vì sao công nghệ số làm thay đổi cách thức tạo ra giá trị. Bài báo </w:t>
      </w:r>
      <w:r>
        <w:rPr>
          <w:rFonts w:ascii="Times New Roman" w:hAnsi="Times New Roman" w:eastAsia="Times New Roman" w:cs="Times New Roman"/>
          <w:b w:val="0"/>
          <w:i/>
          <w:color w:val="000000"/>
          <w:sz w:val="26"/>
        </w:rPr>
        <w:t>Digital Economics</w:t>
      </w:r>
      <w:r>
        <w:rPr>
          <w:rFonts w:ascii="Times New Roman" w:hAnsi="Times New Roman" w:eastAsia="Times New Roman" w:cs="Times New Roman"/>
          <w:b w:val="0"/>
          <w:i w:val="0"/>
          <w:color w:val="000000"/>
          <w:sz w:val="26"/>
        </w:rPr>
        <w:t xml:space="preserve"> của Goldfarb và Tucker (2019) hệ thống hóa các cơ chế kinh tế cơ bản: công nghệ số làm giảm chi phí tìm kiếm, chi phí sao chép, chi phí vận chuyển, chi phí theo dõi và chi phí xác minh [74]. Chi phí sao chép gần như bằng không có hệ quả trực tiếp đối với quyền SHTT: sản phẩm trí tuệ số dễ được nhân bản và phân phối, qua đó vừa mở rộng cơ hội khai thác vừa làm tăng rủi ro bị xâm phạm. Trước đó, bài báo </w:t>
      </w:r>
      <w:r>
        <w:rPr>
          <w:rFonts w:ascii="Times New Roman" w:hAnsi="Times New Roman" w:eastAsia="Times New Roman" w:cs="Times New Roman"/>
          <w:b w:val="0"/>
          <w:i/>
          <w:color w:val="000000"/>
          <w:sz w:val="26"/>
        </w:rPr>
        <w:t>The Productivity Paradox of Information Technology</w:t>
      </w:r>
      <w:r>
        <w:rPr>
          <w:rFonts w:ascii="Times New Roman" w:hAnsi="Times New Roman" w:eastAsia="Times New Roman" w:cs="Times New Roman"/>
          <w:b w:val="0"/>
          <w:i w:val="0"/>
          <w:color w:val="000000"/>
          <w:sz w:val="26"/>
        </w:rPr>
        <w:t xml:space="preserve"> của Brynjolfsson (1993) đã chỉ ra rằng lợi ích năng suất của công nghệ thông tin chỉ xuất hiện khi doanh nghiệp đầu tư đồng bộ vào các yếu tố bổ trợ [54]. Phát triển hướng tiếp cận này, cuốn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xml:space="preserve"> của Haskel và Westlake (2018) phân tích sự gia tăng tỷ trọng của đầu tư vào tài sản vô hình (phần mềm, dữ liệu, nghiên cứu và phát triển, thương hiệu, thiết kế) và các đặc điểm kinh tế riêng của loại tài sản này [76]. Số liệu gần đây củng cố nhận định này: báo cáo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xml:space="preserve"> do WIPO và Luiss Business School công bố năm 2024 cho thấy đầu tư vào tài sản vô hình tăng nhanh gấp ba lần đầu tư vào tài sản hữu hình trong giai đoạn 2008-2023 [124]. Bằng chứng thực nghiệm của Pan và cộng sự (2022) cho thấy kinh tế số thúc đẩy năng suất nhân tố tổng hợp thông qua đổi mới sáng tạo [105].</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có giá trị trong việc làm rõ nền tảng kinh tế học của kinh tế số và vai trò trung tâm của tài sản vô hình, trong đó có tài sản trí tuệ. Tuy nhiên, các công trình tập trung vào tác động vĩ mô và doanh nghiệp, chưa phân tích cơ chế quản lý đối với các tài sản này.</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phân phối giá trị và quyền kiểm soát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gần đây tập trung vào câu hỏi ai thu được giá trị do kinh tế số tạo ra. Báo cáo kỹ thuật </w:t>
      </w:r>
      <w:r>
        <w:rPr>
          <w:rFonts w:ascii="Times New Roman" w:hAnsi="Times New Roman" w:eastAsia="Times New Roman" w:cs="Times New Roman"/>
          <w:b w:val="0"/>
          <w:i/>
          <w:color w:val="000000"/>
          <w:sz w:val="26"/>
        </w:rPr>
        <w:t>The 'New' Digital Economy and Development</w:t>
      </w:r>
      <w:r>
        <w:rPr>
          <w:rFonts w:ascii="Times New Roman" w:hAnsi="Times New Roman" w:eastAsia="Times New Roman" w:cs="Times New Roman"/>
          <w:b w:val="0"/>
          <w:i w:val="0"/>
          <w:color w:val="000000"/>
          <w:sz w:val="26"/>
        </w:rPr>
        <w:t xml:space="preserve"> của UNCTAD (2017) chỉ ra ba đặc điểm mới của kinh tế số là nguồn dữ liệu mới từ thiết bị di động và cảm biến, mô hình kinh doanh dựa trên nền tảng, sự phổ biến của trí tuệ nhân tạo và học máy; theo báo cáo, các đặc điểm này có thể mở rộng sự phân tách công việc sang cả những hoạt động ở đầu chuỗi giá trị toàn cầu như nghiên cứu và phát triển [118]. Báo cáo </w:t>
      </w:r>
      <w:r>
        <w:rPr>
          <w:rFonts w:ascii="Times New Roman" w:hAnsi="Times New Roman" w:eastAsia="Times New Roman" w:cs="Times New Roman"/>
          <w:b w:val="0"/>
          <w:i/>
          <w:color w:val="000000"/>
          <w:sz w:val="26"/>
        </w:rPr>
        <w:t>Digital Economy Report 2019: Value Creation and Capture: Implications for Developing Countries</w:t>
      </w:r>
      <w:r>
        <w:rPr>
          <w:rFonts w:ascii="Times New Roman" w:hAnsi="Times New Roman" w:eastAsia="Times New Roman" w:cs="Times New Roman"/>
          <w:b w:val="0"/>
          <w:i w:val="0"/>
          <w:color w:val="000000"/>
          <w:sz w:val="26"/>
        </w:rPr>
        <w:t xml:space="preserve"> của UNCTAD cho thấy giá trị tạo ra từ dữ liệu và nền tảng số tập trung vào một số ít doanh nghiệp nền tảng lớn, đặt ra thách thức cho các nước đang phát triển trong việc giữ lại giá trị [119]. Nghiên cứu của Foster (2024) về quá trình mở rộng dịch vụ tiền di động M-Pesa cho thấy quyền SHTT đối với dịch vụ này thuộc về tập đoàn Vodafone và được cấp phép cho doanh nghiệp vận hành tại Kenya; việc kiểm soát quyền SHTT dẫn tới những điểm nghẽn đối với đổi mới sáng tạo tại địa phương và dòng chuyển giá trị từ nước đang phát triển sang nước phát triển [69]. Các công trình này cho thấy trong nền kinh tế số, quyền SHTT không chỉ là công cụ khuyến khích sáng tạo mà còn là công cụ phân bổ và kiểm soát giá trị; do đó, việc chủ thể trong nước có khai thác được quyền của mình hay không có ý nghĩa đối với lợi ích quốc gia. Từ góc độ chính sách, tài liệu </w:t>
      </w:r>
      <w:r>
        <w:rPr>
          <w:rFonts w:ascii="Times New Roman" w:hAnsi="Times New Roman" w:eastAsia="Times New Roman" w:cs="Times New Roman"/>
          <w:b w:val="0"/>
          <w:i/>
          <w:color w:val="000000"/>
          <w:sz w:val="26"/>
        </w:rPr>
        <w:t>Harnessing the digital economy for developing countries</w:t>
      </w:r>
      <w:r>
        <w:rPr>
          <w:rFonts w:ascii="Times New Roman" w:hAnsi="Times New Roman" w:eastAsia="Times New Roman" w:cs="Times New Roman"/>
          <w:b w:val="0"/>
          <w:i w:val="0"/>
          <w:color w:val="000000"/>
          <w:sz w:val="26"/>
        </w:rPr>
        <w:t xml:space="preserve"> của Dahlman, Mealy và Wermelinger (2016) tại Trung tâm Phát triển OECD lập luận rằng lợi ích của kinh tế số không tự đến; Chính phủ các nước đang phát triển cần hoạch định chiến lược để tối đa hóa tác động phát triển và bảo đảm lợi ích được phân phối đồng đều [59]. Lập luận này nhấn mạnh vai trò chủ động của Nhà nước, song được trình bày ở cấp độ chiến lược số nói chung, chưa đi vào lĩnh vực SHTT.</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tư: quan hệ giữa bảo hộ quyền sở hữu trí tuệ và phát triển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Một số công trình gần đây, chủ yếu dựa trên dữ liệu của Trung Quốc, kiểm định trực tiếp tác động của bảo hộ quyền SHTT đối với kinh tế số. Sử dụng chỉ số kinh tế số cấp tỉnh do nhóm tác giả tự xây dựng, bài báo </w:t>
      </w:r>
      <w:r>
        <w:rPr>
          <w:rFonts w:ascii="Times New Roman" w:hAnsi="Times New Roman" w:eastAsia="Times New Roman" w:cs="Times New Roman"/>
          <w:b w:val="0"/>
          <w:i/>
          <w:color w:val="000000"/>
          <w:sz w:val="26"/>
        </w:rPr>
        <w:t>Does intellectual property protection stimulate digital economy development?</w:t>
      </w:r>
      <w:r>
        <w:rPr>
          <w:rFonts w:ascii="Times New Roman" w:hAnsi="Times New Roman" w:eastAsia="Times New Roman" w:cs="Times New Roman"/>
          <w:b w:val="0"/>
          <w:i w:val="0"/>
          <w:color w:val="000000"/>
          <w:sz w:val="26"/>
        </w:rPr>
        <w:t xml:space="preserve"> của Chen và Wu (2022) cho thấy quan hệ giữa bảo hộ quyền SHTT và kinh tế số có dạng chữ U [57]. Ở cấp độ doanh nghiệp, Zheng, Li và Zhuang (2023) sử dụng phương pháp sai phân ba lần với sự kiện thành lập các tòa án SHTT cuối năm 2014 và cho thấy tăng cường bảo hộ tư pháp đối với quyền SHTT tác động tích cực đến đổi mới sáng tạo số, rõ hơn ở doanh nghiệp nhỏ [129]; Yuan và Li (2025) cho thấy chuyển đổi số là kênh trung gian khuếch đại tác động của bảo hộ quyền SHTT đến đổi mới sáng tạo, song tác động này yếu hơn ở các ngành công nghệ cao [128]. Đáng chú ý, Ding và Yang (2025) đưa quản trị số của chính quyền vào mô hình và cho thấy quản trị số vừa thúc đẩy chuyển đổi số của doanh nghiệp thông qua nâng cao tính minh bạch của chính quyền, vừa điều tiết tích cực quan hệ giữa bảo hộ quyền SHTT và chuyển đổi số [62].</w:t>
      </w:r>
    </w:p>
    <w:p>
      <w:pPr>
        <w:keepNext w:val="0"/>
        <w:spacing w:before="0" w:after="0" w:line="360" w:lineRule="auto"/>
        <w:ind w:firstLine="720"/>
        <w:jc w:val="both"/>
      </w:pPr>
      <w:r>
        <w:rPr>
          <w:rFonts w:ascii="Times New Roman" w:hAnsi="Times New Roman" w:eastAsia="Times New Roman" w:cs="Times New Roman"/>
          <w:b w:val="0"/>
          <w:i w:val="0"/>
          <w:color w:val="000000"/>
          <w:sz w:val="26"/>
        </w:rPr>
        <w:t>Hướng nghiên cứu này bổ sung bằng chứng thực nghiệm cho cách nhìn có điều kiện về tác động của quyền SHTT đã nêu tại mục 1.1.1.1 và bước đầu đưa năng lực quản trị của chính quyền vào phân tích. Mặc dù vậy, biến số được đo lường là mức độ bảo hộ quyền, trong khi các điều kiện và hoạt động hỗ trợ khai thác quyền chưa được tách riêng; phạm vi bằng chứng cũng giới hạn ở bối cảnh Trung Quốc.</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nước ngoài đã xây dựng hệ thống khái niệm, phương pháp đo lường và nền tảng kinh tế học tương đối đầy đủ về kinh tế số, đồng thời bắt đầu kiểm định quan hệ giữa bảo hộ quyền SHTT với phát triển kinh tế số. Giá trị kế thừa đối với luận án là nhận thức về vai trò trung tâm của tài sản vô hình và về quyền SHTT như một công cụ phân bổ giá trị. Hạn chế là các công trình mới đo lường mức độ bảo hộ, chưa phân tích cụ thể vai trò của Nhà nước trong việc giúp chủ thể trong nước khai thác quyền SHTT trong môi trường số.</w:t>
      </w:r>
    </w:p>
    <w:p>
      <w:pPr>
        <w:pStyle w:val="Heading4"/>
      </w:pPr>
      <w:r>
        <w:rPr>
          <w:rFonts w:ascii="Times New Roman" w:hAnsi="Times New Roman" w:eastAsia="Times New Roman" w:cs="Times New Roman"/>
          <w:b/>
          <w:i/>
          <w:color w:val="000000"/>
          <w:sz w:val="26"/>
        </w:rPr>
        <w:t>1.1.2.2. Các công trình nghiên cứu trong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trong nước về kinh tế số phát triển mạnh từ năm 2019, gắn với các chủ trương về chuyển đổi số quốc gia, có thể hệ thống hóa thành ba hướng: khái niệm, thực trạng và đo lường kinh tế số; thể chế và QLNN đối với kinh tế số; tác động của kinh tế số đối với hệ thống SHTT.</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khái niệm, thực trạng và đo lường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Báo cáo </w:t>
      </w:r>
      <w:r>
        <w:rPr>
          <w:rFonts w:ascii="Times New Roman" w:hAnsi="Times New Roman" w:eastAsia="Times New Roman" w:cs="Times New Roman"/>
          <w:b w:val="0"/>
          <w:i/>
          <w:color w:val="000000"/>
          <w:sz w:val="26"/>
        </w:rPr>
        <w:t>Tương lai nền kinh tế số Việt Nam: Hướng tới năm 2030 và 2045</w:t>
      </w:r>
      <w:r>
        <w:rPr>
          <w:rFonts w:ascii="Times New Roman" w:hAnsi="Times New Roman" w:eastAsia="Times New Roman" w:cs="Times New Roman"/>
          <w:b w:val="0"/>
          <w:i w:val="0"/>
          <w:color w:val="000000"/>
          <w:sz w:val="26"/>
        </w:rPr>
        <w:t xml:space="preserve"> do Cơ quan Nghiên cứu Khoa học và Công nghiệp Khối thịnh vượng chung Úc (CSIRO) thực hiện với sự hợp tác của Bộ Khoa học và Công nghệ là một trong những công trình có quy mô lớn, đề xuất khái niệm và các kịch bản phát triển kinh tế số của Việt Nam [3]. Hồ Thức Tài (2019) hệ thống hóa các quan niệm về kinh tế số và đề xuất khuyến nghị chính sách phát triển kinh tế số ở Việt Nam [36]. Vận dụng khung mô hình phát triển kinh tế số của Huawei và Arthur D. Little, Dang Thi Viet Duc (2022) xếp Việt Nam vào kiểu mô hình nhà máy công nghệ thông tin và truyền thông toàn cầu, tức là sản xuất và xuất khẩu khối lượng lớn sản phẩm công nghệ nhưng phần giá trị gia tăng giữ lại còn hạn chế [61]; nhận định này gợi ý rằng năng lực làm chủ và khai thác tài sản trí tuệ là điều kiện để nâng cao phần giá trị mà nền kinh tế giữ lại. Trần Nguyễn Mỹ Linh và cộng sự (2025) tổng hợp thực trạng, cơ hội và thách thức của phát triển kinh tế số [21]. Bước sang lượng hóa, luận án </w:t>
      </w:r>
      <w:r>
        <w:rPr>
          <w:rFonts w:ascii="Times New Roman" w:hAnsi="Times New Roman" w:eastAsia="Times New Roman" w:cs="Times New Roman"/>
          <w:b w:val="0"/>
          <w:i/>
          <w:color w:val="000000"/>
          <w:sz w:val="26"/>
        </w:rPr>
        <w:t>Các yếu tố ảnh hưởng đến phát triển kinh tế số ở Việt Nam</w:t>
      </w:r>
      <w:r>
        <w:rPr>
          <w:rFonts w:ascii="Times New Roman" w:hAnsi="Times New Roman" w:eastAsia="Times New Roman" w:cs="Times New Roman"/>
          <w:b w:val="0"/>
          <w:i w:val="0"/>
          <w:color w:val="000000"/>
          <w:sz w:val="26"/>
        </w:rPr>
        <w:t xml:space="preserve"> của Trần Thị Lan (2025) tiếp cận phát triển kinh tế số qua hai nội dung sản xuất số và thị trường số; sử dụng dữ liệu bảng của 63 tỉnh, thành phố giai đoạn 2020-2023, tác giả cho thấy tỷ lệ lao động qua đào tạo, mức độ phổ cập Internet, thể chế số, FDI và an toàn thông tin nhìn chung có tác động tích cực, riêng tổng sản phẩm trên địa bàn bình quân đầu người có tác động ngược chiều [20]. Thể chế số được xác định là một yếu tố ảnh hưởng, song quyền SHTT chưa được đưa vào mô hình. Về đo lường, Nguyễn Phương Thảo (2024) so sánh phương pháp đo lường của OECD, Ngân hàng Phát triển châu Á và Cục Phân tích Kinh tế Hoa Kỳ, cho rằng một chỉ số đơn lẻ khó phản ánh đầy đủ mức độ phát triển của kinh tế số và đề xuất hướng xây dựng chỉ số đo lường tổng hợp cho Việt Nam [38]; Bui Xuan Chung (2025) so sánh kinh nghiệm quốc tế và thực tiễn đo lường kinh tế số ở Việt Nam [55]; từ năm 2025, cơ quan thống kê đã chính thức công bố chỉ tiêu tỷ trọng giá trị tăng thêm của kinh tế số trong GDP và tổng sản phẩm trên địa bàn các tỉnh, thành phố [7].</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thể chế và quản lý nhà nước đối với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Một số công trình tiếp cận kinh tế số từ góc độ thể chế và quản lý. Truong Nam Trung (2020) cho rằng kinh tế số có những đặc điểm khác biệt đòi hỏi hoàn thiện thể chế, đồng thời nêu những bất cập như chênh lệch nghĩa vụ thuế giữa nhà cung cấp dịch vụ nước ngoài và doanh nghiệp trong nước cung cấp dịch vụ tương tự [117]. Dựa trên các bộ chỉ số quốc tế về đổi mới sáng tạo và năng lực cạnh tranh, Nguyễn Chí Hải và Huỳnh Thị Ly Na (2021) đánh giá những điểm mạnh, hạn chế của hoạt động đổi mới sáng tạo trong bối cảnh kinh tế số, xem đổi mới sáng tạo là điều kiện tiên quyết cho sự phát triển của nền kinh tế số [11]. Ngô Hoài Sơn và Nguyễn Lê Kim Kiều (2022) vận dụng lý thuyết về phương pháp QLNN về kinh tế, đề xuất các giải pháp theo ba nhóm phương pháp hành chính, kinh tế và tâm lý, giáo dục để thúc đẩy xây dựng nền kinh tế số [35]. Nguyen Vinh Hung và Nguyen Duc Anh (2024) phân tích hạn chế của công tác quản lý kinh tế số ở Việt Nam, chỉ ra rằng sự phát triển nhanh của giao dịch trên nền tảng số làm gia tăng các vi phạm pháp luật liên quan đến SHTT và thuế, trong khi cơ quan quản lý còn thiếu kinh nghiệm điều chỉnh các hoạt động này; từ đó đề xuất xây dựng khung pháp luật toàn diện và có khả năng thích ứng [101].</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Công trình gần nhất với vấn đề đánh giá QLNN là bài báo </w:t>
      </w:r>
      <w:r>
        <w:rPr>
          <w:rFonts w:ascii="Times New Roman" w:hAnsi="Times New Roman" w:eastAsia="Times New Roman" w:cs="Times New Roman"/>
          <w:b w:val="0"/>
          <w:i/>
          <w:color w:val="000000"/>
          <w:sz w:val="26"/>
        </w:rPr>
        <w:t>Đánh giá hiệu quả quản lý nhà nước trong nền kinh tế số</w:t>
      </w:r>
      <w:r>
        <w:rPr>
          <w:rFonts w:ascii="Times New Roman" w:hAnsi="Times New Roman" w:eastAsia="Times New Roman" w:cs="Times New Roman"/>
          <w:b w:val="0"/>
          <w:i w:val="0"/>
          <w:color w:val="000000"/>
          <w:sz w:val="26"/>
        </w:rPr>
        <w:t xml:space="preserve"> của Nguyễn Thị Hải Hà (2023). Tác giả chỉ ra rằng các bộ chỉ số hiện hành như chỉ số cải cách hành chính, chỉ số năng lực cạnh tranh cấp tỉnh, chỉ số hài lòng về dịch vụ hành chính công và chỉ số hiệu quả quản trị và hành chính công cấp tỉnh chưa bao quát QLNN đối với kinh tế số, từ đó vận dụng mô hình lăng kính hiệu suất (Performance Prism) để đề xuất bộ tiêu chí gồm bốn tiêu chí trụ cột và 30 tiêu chí thành phần; chính tác giả lưu ý bộ tiêu chí cần được thí điểm ở một mô hình kinh tế chia sẻ cụ thể trước khi áp dụng [10]. Nhóm công trình này cho thấy QLNN đối với kinh tế số đã trở thành đối tượng nghiên cứu, kể cả ở khía cạnh tiêu chí đánh giá; song các tiêu chí được đề xuất hướng tới kinh tế số nói chung, chưa đi vào từng lĩnh vực quản lý như SHTT.</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tác động của kinh tế số đối với hệ thống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Một số ít công trình trực tiếp phân tích mối quan hệ giữa kinh tế số và SHTT. Nguyễn Vĩnh Hưng và Phan Quốc Nguyên (2020) phân tích tác động của môi trường công nghệ và thương mại điện tử đến hệ thống pháp luật SHTT, chỉ ra những khó khăn mới trong bảo hộ và thực thi quyền [18]; Hoàng Văn Thùy (2024) và Lâm Xuân Hùng (2025) tiếp tục hướng phân tích này trong bối cảnh trí tuệ nhân tạo và tài sản số [17], [40]. Tiếp cận từ chính sách quản lý tài sản trí tuệ, Nguyễn Thị Tuyết Nga (2025) chỉ ra rằng dù Luật SHTT đã được sửa đổi năm 2022 và Việt Nam đã tham gia nhiều điều ước quốc tế, thủ tục đăng ký còn rườm rà, cơ chế định giá và khai thác tài sản trí tuệ chưa rõ ràng, việc xử lý vi phạm trong môi trường số còn bất cập [26]. Đây là một trong số ít công trình trong nước nêu trực tiếp vấn đề khai thác tài sản trí tuệ trong kinh tế số, song mới dừng ở mức nhận diện.</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trong nước đã cụ thể hóa khái niệm kinh tế số vào bối cảnh Việt Nam, phản ánh thực trạng và đặt ra yêu cầu hoàn thiện thể chế. Hạn chế chung là phần lớn công trình mang tính tổng quan chính sách, chỉ một số ít công trình gần đây lượng hóa các yếu tố ảnh hưởng hoặc đề xuất tiêu chí đánh giá QLNN; các nghiên cứu về mối quan hệ giữa kinh tế số và SHTT chủ yếu tập trung vào bảo hộ và thực thi quyền, việc khai thác quyền SHTT trong môi trường số mới được nhận diện như một vấn đề, chưa được phân tích sâu. Đây là cơ sở để tổng quan nhóm công trình thứ ba tại mục 1.1.3.</w:t>
      </w:r>
    </w:p>
    <w:p>
      <w:pPr>
        <w:pStyle w:val="Heading3"/>
      </w:pPr>
      <w:r>
        <w:rPr>
          <w:rFonts w:ascii="Times New Roman" w:hAnsi="Times New Roman" w:eastAsia="Times New Roman" w:cs="Times New Roman"/>
          <w:b/>
          <w:i w:val="0"/>
          <w:color w:val="000000"/>
          <w:sz w:val="26"/>
        </w:rPr>
        <w:t>1.1.3. Những công trình nghiên cứu về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Thuật ngữ khai thác quyền SHTT được các công trình sử dụng với phạm vi không đồng nhất. Các công trình trong nước dùng song song các thuật ngữ khai thác, thương mại hóa, chuyển giao và li-xăng, nhiều khi thay thế cho nhau [30], [31], [37], [47]. Trong tài liệu quốc tế, tài liệu làm việc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xml:space="preserve"> của Kamiyama, Sheehan và Martinez (2006) tại OECD mô tả việc khai thác quyền SHTT qua nhiều kênh: đưa sáng chế vào sản phẩm, quy trình, dịch vụ mới; li-xăng cho doanh nghiệp hoặc tổ chức nghiên cứu công; sử dụng làm công cụ đàm phán; huy động vốn từ ngân hàng và nhà đầu tư [82]. Theo cách tiếp cận gần với chính sách hơn, Liu Haibo và Liu Liang (2016) phân biệt việc sử dụng quyền SHTT vì mục tiêu quốc gia, mục tiêu học thuật và mục tiêu thương mại, đồng thời chia hoạt động thương mại hóa quyền SHTT thành thực hiện nội bộ, lưu thông ra bên ngoài, tài chính SHTT và tố tụng [86]. Hai cách phân loại này cho thấy khai thác là khái niệm rộng hơn thương mại hóa theo nghĩa chuyển giao cho bên khác, bao gồm cả việc chủ thể quyền tự sử dụng và dùng quyền làm tài sản tài chính. Chuyên đề sử dụng thuật ngữ khai thác theo nghĩa rộng đó để bao quát các công trình; khái niệm chính thức được xác định tại Chương 2 của luận án.</w:t>
      </w:r>
    </w:p>
    <w:p>
      <w:pPr>
        <w:pStyle w:val="Heading4"/>
      </w:pPr>
      <w:r>
        <w:rPr>
          <w:rFonts w:ascii="Times New Roman" w:hAnsi="Times New Roman" w:eastAsia="Times New Roman" w:cs="Times New Roman"/>
          <w:b/>
          <w:i/>
          <w:color w:val="000000"/>
          <w:sz w:val="26"/>
        </w:rPr>
        <w:t>1.1.3.1. Các công trình nghiên cứu của nước ngoài</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nước ngoài liên quan đến khai thác quyền SHTT có thể được hệ thống hóa thành bốn hướng: cơ sở kinh tế của khai thác quyền và thị trường công nghệ; thương mại hóa kết quả nghiên cứu và vai trò của tổ chức trung gian; tài chính hóa quyền SHTT; khai thác quyền SHTT trong môi trường số.</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cơ sở kinh tế của khai thác quyền và thị trường công nghệ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Nền tảng lý thuyết của hướng nghiên cứu này bắt nguồn từ bài viết </w:t>
      </w:r>
      <w:r>
        <w:rPr>
          <w:rFonts w:ascii="Times New Roman" w:hAnsi="Times New Roman" w:eastAsia="Times New Roman" w:cs="Times New Roman"/>
          <w:b w:val="0"/>
          <w:i/>
          <w:color w:val="000000"/>
          <w:sz w:val="26"/>
        </w:rPr>
        <w:t>Economic Welfare and the Allocation of Resources for Invention</w:t>
      </w:r>
      <w:r>
        <w:rPr>
          <w:rFonts w:ascii="Times New Roman" w:hAnsi="Times New Roman" w:eastAsia="Times New Roman" w:cs="Times New Roman"/>
          <w:b w:val="0"/>
          <w:i w:val="0"/>
          <w:color w:val="000000"/>
          <w:sz w:val="26"/>
        </w:rPr>
        <w:t xml:space="preserve"> của Arrow (1962). Arrow chỉ ra rằng tri thức khó chiếm hữu và khó giao dịch: người mua chỉ đánh giá được giá trị của thông tin khi đã biết thông tin đó, nhưng khi đã biết thì không còn cần mua [51]. Nghịch lý thông tin này giải thích vì sao giao dịch tri thức có chi phí cao và vì sao quyền SHTT, bằng cách xác định rõ phạm vi quyền, có thể tạo điều kiện cho giao dịch. Phát triển lập luận này ở cấp độ doanh nghiệp, bài báo </w:t>
      </w:r>
      <w:r>
        <w:rPr>
          <w:rFonts w:ascii="Times New Roman" w:hAnsi="Times New Roman" w:eastAsia="Times New Roman" w:cs="Times New Roman"/>
          <w:b w:val="0"/>
          <w:i/>
          <w:color w:val="000000"/>
          <w:sz w:val="26"/>
        </w:rPr>
        <w:t>Profiting from Technological Innovation: Implications for Integration, Collaboration, Licensing and Public Policy</w:t>
      </w:r>
      <w:r>
        <w:rPr>
          <w:rFonts w:ascii="Times New Roman" w:hAnsi="Times New Roman" w:eastAsia="Times New Roman" w:cs="Times New Roman"/>
          <w:b w:val="0"/>
          <w:i w:val="0"/>
          <w:color w:val="000000"/>
          <w:sz w:val="26"/>
        </w:rPr>
        <w:t xml:space="preserve"> của Teece (1986) cho thấy người tạo ra đổi mới sáng tạo không phải lúc nào cũng thu được lợi ích từ đổi mới; kết quả phụ thuộc vào chế độ chiếm hữu (mức độ bảo hộ và bản chất của công nghệ) và khả năng kiểm soát các tài sản bổ trợ; khi chế độ chiếm hữu chặt chẽ, li-xăng trở thành phương thức khai thác khả thi [113].</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Dựa trên nền tảng đó, bài báo </w:t>
      </w:r>
      <w:r>
        <w:rPr>
          <w:rFonts w:ascii="Times New Roman" w:hAnsi="Times New Roman" w:eastAsia="Times New Roman" w:cs="Times New Roman"/>
          <w:b w:val="0"/>
          <w:i/>
          <w:color w:val="000000"/>
          <w:sz w:val="26"/>
        </w:rPr>
        <w:t>Markets for Technology and Their Implications for Corporate Strategy</w:t>
      </w:r>
      <w:r>
        <w:rPr>
          <w:rFonts w:ascii="Times New Roman" w:hAnsi="Times New Roman" w:eastAsia="Times New Roman" w:cs="Times New Roman"/>
          <w:b w:val="0"/>
          <w:i w:val="0"/>
          <w:color w:val="000000"/>
          <w:sz w:val="26"/>
        </w:rPr>
        <w:t xml:space="preserve"> của Arora, Fosfuri và Gambardella (2001) phân tích sự hình thành của thị trường công nghệ, trong đó công nghệ được mua bán, li-xăng tách rời khỏi sản phẩm; quyền sáng chế rõ ràng làm giảm chi phí giao dịch và mở rộng lựa chọn chiến lược của doanh nghiệp [50]. Gans và Stern (2003) cho thấy lựa chọn giữa việc hợp tác (li-xăng cho doanh nghiệp đang hoạt động) và cạnh tranh trực tiếp trên thị trường sản phẩm của doanh nghiệp khởi nghiệp công nghệ phụ thuộc vào mức độ bảo hộ quyền SHTT và việc ai nắm giữ tài sản bổ trợ [71]. Nghiên cứu thực nghiệm của Gans, Hsu và Stern (2008) cung cấp bằng chứng rằng khả năng ký kết hợp đồng li-xăng tăng lên rõ rệt sau khi sáng chế được cấp bằng, tức là sự không chắc chắn về quyền làm chậm giao dịch trên thị trường ý tưởng [72].</w:t>
      </w:r>
    </w:p>
    <w:p>
      <w:pPr>
        <w:keepNext w:val="0"/>
        <w:spacing w:before="0" w:after="0" w:line="360" w:lineRule="auto"/>
        <w:ind w:firstLine="720"/>
        <w:jc w:val="both"/>
      </w:pPr>
      <w:r>
        <w:rPr>
          <w:rFonts w:ascii="Times New Roman" w:hAnsi="Times New Roman" w:eastAsia="Times New Roman" w:cs="Times New Roman"/>
          <w:b w:val="0"/>
          <w:i w:val="0"/>
          <w:color w:val="000000"/>
          <w:sz w:val="26"/>
        </w:rPr>
        <w:t>Hướng nghiên cứu này làm rõ cơ chế kinh tế của khai thác quyền: quyền SHTT là điều kiện cần để giao dịch tri thức, nhưng hiệu quả khai thác phụ thuộc vào chi phí giao dịch, tài sản bổ trợ và mức độ chắc chắn của quyền. Phát hiện của Gans, Hsu và Stern có ý nghĩa trực tiếp đối với QLNN, vì thời gian xác lập quyền và chất lượng thẩm định là những yếu tố do cơ quan nhà nước quyết định. Tuy nhiên, các công trình chủ yếu phân tích ở cấp doanh nghiệp tại các nền kinh tế phát triển, chưa đề cập đến vai trò của Nhà nước trong việc hình thành thị trường công nghệ ở nước đang phát triển.</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thương mại hóa kết quả nghiên cứu và vai trò của tổ chức trung gian</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thứ hai tập trung vào khai thác quyền SHTT từ kết quả nghiên cứu của trường đại học, viện nghiên cứu. Mowery, Nelson, Sampat và Ziedonis (2001) đánh giá tác động của Đạo luật Bayh-Dole năm 1980 của Hoa Kỳ, đạo luật cho phép trường đại học sở hữu sáng chế từ nghiên cứu do liên bang tài trợ; kết quả cho thấy sự gia tăng hoạt động đăng ký sáng chế và li-xăng của các trường đại học không chỉ do đạo luật này mà còn do sự phát triển của nghiên cứu y sinh và các thay đổi khác trong chính sách [96]. Bài báo </w:t>
      </w:r>
      <w:r>
        <w:rPr>
          <w:rFonts w:ascii="Times New Roman" w:hAnsi="Times New Roman" w:eastAsia="Times New Roman" w:cs="Times New Roman"/>
          <w:b w:val="0"/>
          <w:i/>
          <w:color w:val="000000"/>
          <w:sz w:val="26"/>
        </w:rPr>
        <w:t>Encouraging university entrepreneurship? The effect of the Bayh-Dole Act on university patenting in the United States</w:t>
      </w:r>
      <w:r>
        <w:rPr>
          <w:rFonts w:ascii="Times New Roman" w:hAnsi="Times New Roman" w:eastAsia="Times New Roman" w:cs="Times New Roman"/>
          <w:b w:val="0"/>
          <w:i w:val="0"/>
          <w:color w:val="000000"/>
          <w:sz w:val="26"/>
        </w:rPr>
        <w:t xml:space="preserve"> của Shane (2004) cho thấy ở giai đoạn sau Bayh-Dole, tỷ trọng sáng chế của trường đại học trong từng lĩnh vực có tương quan với hiệu quả của li-xăng trong lĩnh vực đó [107]; đặt cạnh Mowery và cộng sự (2001), kết quả này cho thấy tác động của việc trao quyền sở hữu phụ thuộc vào đặc điểm của từng lĩnh vực công nghệ. Sử dụng phân tích bao dữ liệu kết hợp hồi quy, Thursby và Kemp (2002) cho thấy hoạt động li-xăng của trường đại học Hoa Kỳ tăng vì những lý do khác ngoài việc tăng nguồn lực [115]. Siegel, Waldman và Link (2003) cho thấy năng suất của các văn phòng chuyển giao công nghệ khác nhau đáng kể và phụ thuộc vào các yếu tố tổ chức như cơ chế khen thưởng nhà khoa học, nhân lực của văn phòng và rào cản văn hóa giữa trường đại học với doanh nghiệp [109]. Tổng quan của Siegel, Veugelers và Wright (2007) về văn phòng chuyển giao công nghệ ở Hoa Kỳ và châu Âu đi đến kết luận rằng trường đại học và vùng cần xây dựng, thực hiện chiến lược chuyển giao, thương mại hóa nhất quán và khả thi [110]. Phản biện cách đánh giá phổ biến, Holgersson và Aaboen (2019) chỉ ra rằng cả nghiên cứu lẫn thực tiễn thường đo kết quả của văn phòng chuyển giao công nghệ bằng số sáng chế, số hợp đồng li-xăng và số doanh nghiệp khởi nguồn, và đề xuất chuyển từ mô hình chiếm hữu sang mô hình sử dụng, trong đó quyền được quản lý nhằm thúc đẩy việc sử dụng kết quả nghiên cứu công [79]. Ở cấp độ chính sách quốc gia, Goldfarb và Henrekson (2003) so sánh Thụy Điển và Hoa Kỳ, lập luận rằng tỷ lệ thương mại hóa thấp ở Thụy Điển có thể một phần do chính sách thúc đẩy thương mại hóa mang tính từ trên xuống và môi trường học thuật không khuyến khích nhà khoa học tham gia, trong khi cạnh tranh giữa các trường ở Hoa Kỳ tạo ra sự tự do đáng kể để nhà khoa học tương tác với doanh nghiệp [73]. Báo cáo </w:t>
      </w:r>
      <w:r>
        <w:rPr>
          <w:rFonts w:ascii="Times New Roman" w:hAnsi="Times New Roman" w:eastAsia="Times New Roman" w:cs="Times New Roman"/>
          <w:b w:val="0"/>
          <w:i/>
          <w:color w:val="000000"/>
          <w:sz w:val="26"/>
        </w:rPr>
        <w:t>Intellectual Property Commercialization: Policy Options and Practical Instruments</w:t>
      </w:r>
      <w:r>
        <w:rPr>
          <w:rFonts w:ascii="Times New Roman" w:hAnsi="Times New Roman" w:eastAsia="Times New Roman" w:cs="Times New Roman"/>
          <w:b w:val="0"/>
          <w:i w:val="0"/>
          <w:color w:val="000000"/>
          <w:sz w:val="26"/>
        </w:rPr>
        <w:t xml:space="preserve"> của Ủy ban Kinh tế châu Âu của Liên hợp quốc (UNECE, 2011) tiếp cận từ phía chính sách công, cho rằng các nước cần duy trì, điều chỉnh và tạo lập khung thể chế, pháp lý thuận lợi cho việc tạo ra và thương mại hóa tri thức, trong đó các nền kinh tế chuyển đổi gặp thêm thách thức khi tham gia chuỗi giá trị toàn cầu [121]. Ở góc độ doanh nghiệp, cuốn </w:t>
      </w:r>
      <w:r>
        <w:rPr>
          <w:rFonts w:ascii="Times New Roman" w:hAnsi="Times New Roman" w:eastAsia="Times New Roman" w:cs="Times New Roman"/>
          <w:b w:val="0"/>
          <w:i/>
          <w:color w:val="000000"/>
          <w:sz w:val="26"/>
        </w:rPr>
        <w:t>Open Innovation: The New Imperative for Creating and Profiting from Technology</w:t>
      </w:r>
      <w:r>
        <w:rPr>
          <w:rFonts w:ascii="Times New Roman" w:hAnsi="Times New Roman" w:eastAsia="Times New Roman" w:cs="Times New Roman"/>
          <w:b w:val="0"/>
          <w:i w:val="0"/>
          <w:color w:val="000000"/>
          <w:sz w:val="26"/>
        </w:rPr>
        <w:t xml:space="preserve"> của Chesbrough (2003) chỉ ra rằng doanh nghiệp có thể tạo giá trị bằng cách li-xăng ra bên ngoài các công nghệ không sử dụng hết, đồng thời tiếp nhận công nghệ từ bên ngoài [58]. Nghiên cứu so sánh của Fasi (2022) về các văn phòng chuyển giao công nghệ ở Hoa Kỳ và Trung Quốc cho thấy khung pháp luật về quyền sở hữu của trường đại học, sự hỗ trợ của Nhà nước và các quỹ tài trợ giai đoạn chứng minh khái niệm là những điều kiện quan trọng của thương mại hóa [65]. Đối với Việt Nam, đánh giá của OECD và Ngân hàng Thế giới (2014) chỉ ra rằng thị trường tri thức và công nghệ còn kém phát triển và các tổ chức trung gian có chức năng chuyển giao tri thức, thương mại hóa là lĩnh vực cần được chính sách quan tâm [102].</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cho thấy thương mại hóa kết quả nghiên cứu không tự diễn ra khi quyền được xác lập, mà phụ thuộc vào thiết kế thể chế về quyền sở hữu, năng lực tổ chức trung gian và nguồn tài chính. Đây là những yếu tố Nhà nước có thể tác động thông qua chính sách; so sánh của Goldfarb và Henrekson còn gợi ý rằng phương thức can thiệp, không chỉ mức độ can thiệp, ảnh hưởng đến kết quả thương mại hóa. Mặc dù vậy, các công trình chủ yếu tập trung vào khu vực đại học và viện nghiên cứu, chưa bao quát khai thác quyền SHTT của khu vực doanh nghiệp.</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tài chính hóa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thứ ba xem quyền SHTT như một tài sản có thể dùng để huy động vốn. Haskel và Westlake (2018) chỉ ra rằng tài sản vô hình có chi phí chìm lớn và khó bán lại, vì vậy khó được sử dụng làm tài sản bảo đảm, gây khó khăn cho doanh nghiệp giàu tài sản vô hình khi tiếp cận tín dụng [76]. Các nghiên cứu thực nghiệm gần đây cho thấy rào cản này có thể được giảm bớt. Hochberg, Serrano và Ziedonis (2018) phân tích thị trường cho vay mạo hiểm ở Hoa Kỳ và cho thấy sáng chế được sử dụng làm tài sản bảo đảm, trong đó tính thanh khoản của thị trường thứ cấp về sáng chế có vai trò quan trọng đối với khả năng cho vay [78]. Mann (2018) cho thấy việc tăng cường quyền của bên cho vay đối với sáng chế dùng làm tài sản bảo đảm có liên hệ với khả năng huy động vốn cho hoạt động đổi mới sáng tạo [91]. Ở khu vực châu Á - Thái Bình Dương, nghiên cứu </w:t>
      </w:r>
      <w:r>
        <w:rPr>
          <w:rFonts w:ascii="Times New Roman" w:hAnsi="Times New Roman" w:eastAsia="Times New Roman" w:cs="Times New Roman"/>
          <w:b w:val="0"/>
          <w:i/>
          <w:color w:val="000000"/>
          <w:sz w:val="26"/>
        </w:rPr>
        <w:t>A Study on the Harmonization of the IP Financial System</w:t>
      </w:r>
      <w:r>
        <w:rPr>
          <w:rFonts w:ascii="Times New Roman" w:hAnsi="Times New Roman" w:eastAsia="Times New Roman" w:cs="Times New Roman"/>
          <w:b w:val="0"/>
          <w:i w:val="0"/>
          <w:color w:val="000000"/>
          <w:sz w:val="26"/>
        </w:rPr>
        <w:t xml:space="preserve"> của Nhóm chuyên gia về quyền SHTT thuộc Diễn đàn Hợp tác Kinh tế châu Á - Thái Bình Dương (APEC, 2023) chỉ ra các thách thức của tài chính SHTT, gồm tín dụng phụ thuộc vào tài sản bảo đảm là bất động sản, rủi ro của các sản phẩm tài chính dựa trên quyền SHTT, nhận thức hạn chế của tổ chức tài chính về quyền SHTT và tính lãnh thổ của quyền [49].</w:t>
      </w:r>
    </w:p>
    <w:p>
      <w:pPr>
        <w:keepNext w:val="0"/>
        <w:spacing w:before="0" w:after="0" w:line="360" w:lineRule="auto"/>
        <w:ind w:firstLine="720"/>
        <w:jc w:val="both"/>
      </w:pPr>
      <w:r>
        <w:rPr>
          <w:rFonts w:ascii="Times New Roman" w:hAnsi="Times New Roman" w:eastAsia="Times New Roman" w:cs="Times New Roman"/>
          <w:b w:val="0"/>
          <w:i w:val="0"/>
          <w:color w:val="000000"/>
          <w:sz w:val="26"/>
        </w:rPr>
        <w:t>Hướng nghiên cứu này bổ sung một luận điểm quan trọng: khai thác quyền SHTT như tài sản tài chính đòi hỏi hạ tầng thể chế gồm quy định về tài sản bảo đảm, cơ chế định giá và thị trường thứ cấp cho quyền. Các công trình thực nghiệm chủ yếu dựa trên dữ liệu của Hoa Kỳ, nơi thị trường tài chính và thị trường sáng chế đã phát triển; báo cáo của APEC bước đầu nhận diện các rào cản ở khu vực châu Á, song điều kiện để vận dụng ở nước đang phát triển chưa được làm rõ.</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tư: khai thác quyền sở hữu trí tuệ trong môi trường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Hướng nghiên cứu thứ tư phân tích những thay đổi mà công nghệ số tạo ra đối với phương thức khai thác quyền. Cuốn </w:t>
      </w:r>
      <w:r>
        <w:rPr>
          <w:rFonts w:ascii="Times New Roman" w:hAnsi="Times New Roman" w:eastAsia="Times New Roman" w:cs="Times New Roman"/>
          <w:b w:val="0"/>
          <w:i/>
          <w:color w:val="000000"/>
          <w:sz w:val="26"/>
        </w:rPr>
        <w:t>Information Rules: A Strategic Guide to the Network Economy</w:t>
      </w:r>
      <w:r>
        <w:rPr>
          <w:rFonts w:ascii="Times New Roman" w:hAnsi="Times New Roman" w:eastAsia="Times New Roman" w:cs="Times New Roman"/>
          <w:b w:val="0"/>
          <w:i w:val="0"/>
          <w:color w:val="000000"/>
          <w:sz w:val="26"/>
        </w:rPr>
        <w:t xml:space="preserve"> của Shapiro và Varian (1999) phân tích các đặc điểm kinh tế của hàng hóa thông tin, gồm chi phí sản xuất bản đầu tiên cao và chi phí nhân bản thấp, hiệu ứng mạng và hiệu ứng khóa chặt, từ đó đề xuất các chiến lược cấp phép, định giá theo phiên bản và quản lý quyền trong môi trường số [108]. Như đã phân tích tại mục 1.1.2.1, công nghệ số làm giảm mạnh chi phí sao chép và phân phối [74], đồng thời làm cho giá trị có xu hướng tập trung vào chủ thể kiểm soát nền tảng và quyền SHTT [69], [119]. Báo cáo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xml:space="preserve"> của WIPO cho thấy khoảng thời gian từ khi công nghệ ra đời đến khi được sử dụng rộng rãi đã giảm mạnh [126]. Kết hợp các phân tích này có thể thấy trong môi trường số, cơ hội khai thác quyền mở rộng nhờ khả năng tiếp cận thị trường toàn cầu, nhưng thời gian để khai thác rút ngắn và rủi ro mất quyền kiểm soát giá trị tăng lên. Các công trình gần đây bắt đầu phân tích vai trò của Nhà nước và các công cụ mới trong khai thác quyền trên môi trường số. Báo cáo </w:t>
      </w:r>
      <w:r>
        <w:rPr>
          <w:rFonts w:ascii="Times New Roman" w:hAnsi="Times New Roman" w:eastAsia="Times New Roman" w:cs="Times New Roman"/>
          <w:b w:val="0"/>
          <w:i/>
          <w:color w:val="000000"/>
          <w:sz w:val="26"/>
        </w:rPr>
        <w:t>K-content goes global: How government support and copyright policy fuelled the Republic of Korea's creative economy</w:t>
      </w:r>
      <w:r>
        <w:rPr>
          <w:rFonts w:ascii="Times New Roman" w:hAnsi="Times New Roman" w:eastAsia="Times New Roman" w:cs="Times New Roman"/>
          <w:b w:val="0"/>
          <w:i w:val="0"/>
          <w:color w:val="000000"/>
          <w:sz w:val="26"/>
        </w:rPr>
        <w:t xml:space="preserve"> của UNCTAD (2024) cho thấy sự phát triển của công nghiệp nội dung Hàn Quốc gắn với vai trò chiến lược của Chính phủ từ đầu thập niên 1990 thông qua khung pháp luật, các chương trình hỗ trợ tài chính và bảo hộ quyền tác giả mạnh, khác với cách tiếp cận để thị trường tự vận hành ở nhiều nước [120]. Trên cơ sở tổng hợp lý thuyết, Lee (2026) xây dựng khung khái niệm cho hệ sinh thái đổi mới nội dung số, trong đó lưu thông quyền SHTT, sự phụ thuộc vào nền tảng và điều phối chính sách là các thành tố [85]. Ở khía cạnh công cụ, Fu và cộng sự (2026) đề xuất khung định giá công nghệ dựa trên lý thuyết hữu dụng và phương pháp sử dụng trí tuệ nhân tạo, dữ liệu lớn, nhằm giúp việc định giá trong thương mại quốc tế về quyền SHTT khách quan và ít tốn kém hơn [70]. Các công trình này gợi ý rằng công nghệ số vừa tạo ra rủi ro mới vừa cung cấp công cụ mới cho khai thác quyền, và vai trò điều phối của Nhà nước có ý nghĩa đáng kể trong môi trường này.</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nước ngoài đã làm rõ tương đối đầy đủ cơ chế kinh tế của khai thác quyền SHTT, vai trò của thị trường công nghệ, tổ chức trung gian và các điều kiện tài chính hóa. Giá trị kế thừa đối với luận án là các luận điểm về chi phí giao dịch, mức độ chắc chắn của quyền, tài sản bổ trợ và hạ tầng thể chế cho thị trường quyền SHTT; đây là cơ sở để xác định nội dung QLNN đối với khai thác quyền. Hạn chế là các công trình phần lớn tiếp cận từ phía doanh nghiệp hoặc tổ chức nghiên cứu, trong bối cảnh các nền kinh tế phát triển; một số báo cáo của tổ chức quốc tế và công trình gần đây đã phân tích vai trò của Nhà nước nhưng dưới dạng khuyến nghị chính sách hoặc nghiên cứu tình huống quốc gia; nội dung, phương thức và tiêu chí đánh giá QLNN đối với khai thác quyền SHTT ở một nền kinh tế đang phát triển trong điều kiện kinh tế số chưa được hệ thống hóa.</w:t>
      </w:r>
    </w:p>
    <w:p>
      <w:pPr>
        <w:pStyle w:val="Heading4"/>
      </w:pPr>
      <w:r>
        <w:rPr>
          <w:rFonts w:ascii="Times New Roman" w:hAnsi="Times New Roman" w:eastAsia="Times New Roman" w:cs="Times New Roman"/>
          <w:b/>
          <w:i/>
          <w:color w:val="000000"/>
          <w:sz w:val="26"/>
        </w:rPr>
        <w:t>1.1.3.2. Các công trình nghiên cứu trong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trong nước về khai thác quyền SHTT xuất hiện từ cuối những năm 2000 và tăng nhanh trong giai đoạn gần đây, có thể hệ thống hóa thành bốn hướng: thực trạng và điểm nghẽn trong khai thác, thương mại hóa sáng chế và kết quả nghiên cứu; pháp luật về giao dịch quyền SHTT; quản trị và khai thác tài sản trí tuệ của doanh nghiệp, kể cả trong lĩnh vực số; khai thác quyền SHTT gắn với địa phương, tài chính hóa và vai trò của Nhà nước.</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nhất: thực trạng và điểm nghẽn trong khai thác, thương mại hóa sáng chế và kết quả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Đoàn Đức Lương (2009) là một trong những công trình sớm phân tích vai trò của SHTT đối với nghiên cứu khoa học và chuyển giao công nghệ trong trường đại học, kiến nghị thành lập tổ chức chuyên trách về SHTT và chuyển giao công nghệ tại các trường [23]. Trên cơ sở khảo sát và phỏng vấn sâu 201 doanh nghiệp là chủ đơn đăng ký sáng chế, kiểu dáng công nghiệp và nhãn hiệu giai đoạn 2011-2015, Nguyễn Hữu Cẩn (2017) phân tích thực trạng tạo dựng, xác lập và thương mại hóa tài sản trí tuệ của doanh nghiệp, cùng các lý do thúc đẩy và cản trở hoạt động này; theo đánh giá của doanh nghiệp, rào cản lớn nhất đối với thương mại hóa là sản phẩm chứa tài sản trí tuệ bị sao chép, làm nhái trên thị trường [4]. Mẫu khảo sát chỉ gồm doanh nghiệp có công bố thông tin tài chính và tập trung ở Bắc Bộ, Nam Bộ (87,5%), nên phản ánh chủ yếu nhóm doanh nghiệp có quy mô và mức độ minh bạch tương đối cao. Nguyễn Hữu Xuyên (2018) chỉ ra các nút thắt trong khai thác, thương mại hóa sáng chế: chưa có chính sách riêng về khai thác sáng chế, các ưu đãi mới được lồng ghép trong các văn bản và chương trình khác và chưa hấp dẫn đối với doanh nghiệp, nhà đầu tư; tác giả đề xuất cụ thể hóa cơ chế phân chia lợi ích đối với sáng chế từ ngân sách nhà nước theo hướng lấy việc đưa sáng chế vào sản xuất, kinh doanh làm trọng tâm [47]. Lê Thị Thanh Tâm và Hoàng Thị Hải Yến (2025) cho thấy thương mại hóa sáng chế thông qua chuyển giao công nghệ đạt hiệu quả rất thấp trong giai đoạn 2011-2021, trong đó thủ tục đăng ký hợp đồng là một rào cản, và đề xuất chuyển thủ tục đăng ký sang thông báo [37].</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Các công trình gần đây tập trung vào khu vực đại học. Tiếp cận từ khoa học quản lý, luận án </w:t>
      </w:r>
      <w:r>
        <w:rPr>
          <w:rFonts w:ascii="Times New Roman" w:hAnsi="Times New Roman" w:eastAsia="Times New Roman" w:cs="Times New Roman"/>
          <w:b w:val="0"/>
          <w:i/>
          <w:color w:val="000000"/>
          <w:sz w:val="26"/>
        </w:rPr>
        <w:t>Quản lý hoạt động sở hữu trí tuệ ở các trường đại học khu vực miền Trung Việt Nam</w:t>
      </w:r>
      <w:r>
        <w:rPr>
          <w:rFonts w:ascii="Times New Roman" w:hAnsi="Times New Roman" w:eastAsia="Times New Roman" w:cs="Times New Roman"/>
          <w:b w:val="0"/>
          <w:i w:val="0"/>
          <w:color w:val="000000"/>
          <w:sz w:val="26"/>
        </w:rPr>
        <w:t xml:space="preserve"> của Phạm Thị Thúy Hằng (2021) xác định bốn nội dung quản lý, trong đó có quản lý hoạt động khai thác thương mại tài sản SHTT, và khảo sát 712 cán bộ quản lý, giảng viên, chuyên viên tại Đại học Huế, Trường Đại học Quy Nhơn và Trường Đại học Tây Nguyên, kết hợp phỏng vấn 70 người [13]. Công trình có ý nghĩa tham khảo về cách khảo sát đồng thời người quản lý và người thực hiện theo cùng một bộ nội dung, song giới hạn ở quản lý cấp trường. Dựa trên số liệu giai đoạn 2019-2023 thu thập bằng bảng hỏi tại Đại học Quốc gia Hà Nội và 44 cơ sở giáo dục đại học ở ba miền, kết hợp phỏng vấn sâu lãnh đạo đơn vị và tác giả sáng chế, Luu Hoang Long (2025a) cho thấy số lượng tài sản trí tuệ được thương mại hóa rất thấp, chưa có sáng chế hoặc giải pháp hữu ích nào được thương mại hóa thông qua doanh nghiệp khởi nguồn, và đề xuất mô hình công viên công nghệ [89]; một khảo sát khác tại 11 trường đại học và 3 viện nghiên cứu của Đại học Quốc gia Hà Nội đề xuất phát triển hệ sinh thái đổi mới sáng tạo với vườn ươm khởi nghiệp làm hạt nhân [90]. So sánh chính sách của Hoa Kỳ, Vương quốc Anh, Hàn Quốc và Singapore, Dang Thanh Dat (2026) kết luận rằng kết quả thương mại hóa không phụ thuộc vào một công cụ chính sách đơn lẻ mà vào sự đồng bộ giữa quy định về quyền SHTT, năng lực tổ chức trung gian, cơ chế tài chính, động lực của nhà nghiên cứu và mức độ phát triển của thị trường công nghệ; đối với Việt Nam, các hạn chế chủ yếu gồm thiếu dữ liệu định lượng thống nhất, năng lực tổ chức chuyển giao còn yếu, thiếu vốn cho giai đoạn chứng minh khái niệm và thị trường công nghệ thiếu thông tin, chuẩn định giá [60].</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hai: pháp luật về giao dịch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Hướng nghiên cứu này tập trung vào các hợp đồng là công cụ pháp lý của khai thác quyền. Hoàng Lan Phương (2019) xem li-xăng nhãn hiệu là một hình thức thương mại hóa tài sản trí tuệ phổ biến và chỉ ra các bất cập của pháp luật về khái niệm, chủ thể, đối tượng, hình thức và nội dung hợp đồng li-xăng nhãn hiệu [30]. Nguyễn Thanh Tùng (2026) tiếp tục phân tích hạn chế của pháp luật về dạng hợp đồng, đăng ký hợp đồng và hạn chế chuyển quyền sử dụng đối với nhãn hiệu tập thể [45]. Ở khía cạnh khai thác thông tin sáng chế, Phạm Ngọc Pha (2025) đề xuất mô hình khai thác cơ sở dữ liệu sáng chế để hỗ trợ doanh nghiệp nâng cao năng lực công nghệ [28]; Tran Van Hai (2022) đề xuất vận dụng khung năng lực số trong khai thác thông tin phục vụ thương mại hóa quyền SHTT trong nền kinh tế số [116]. Các công trình này cung cấp luận cứ cụ thể cho việc hoàn thiện thể chế giao dịch, nhưng chủ yếu dừng ở kiến nghị sửa đổi quy phạm, chưa đánh giá tác động của các quy định đối với quy mô giao dịch trên thị trường.</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ba: quản trị và khai thác tài sản trí tuệ của doanh nghiệp, kể cả trong lĩnh vực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Một số công trình tiếp cận từ phía chủ thể quyền. Cuốn sách Quản trị tài sản trí tuệ của doanh nghiệp của Nguyễn Hữu Cẩn (2020) hệ thống hóa quan điểm quản trị tài sản trí tuệ một cách có chiến lược [5]. Qua khảo sát 125 doanh nghiệp tại Hà Nội, Hải Phòng, Thành phố Hồ Chí Minh, Đà Nẵng và Bắc Giang, Nguyễn Quốc Thịnh, Khúc Đại Long và Nguyễn Thu Hương (2020) cho thấy phần lớn doanh nghiệp còn chưa nhận diện rõ tài sản trí tuệ của mình: chỉ 14/125 doanh nghiệp coi kiểu dáng công nghiệp và sáng chế là đối tượng có thể khai thác thương mại thông qua nhượng quyền và các hoạt động khác, 2/125 doanh nghiệp xây dựng danh mục tài sản trí tuệ; các tác giả đề xuất quy trình nhận diện, đánh giá, quản lý và khai thác tài sản trí tuệ [39]. Người trả lời là lãnh đạo doanh nghiệp nhỏ và vừa tham gia lớp bồi dưỡng về quản trị tài sản thương hiệu, vì vậy kết quả có ý nghĩa mô tả nhiều hơn là suy rộng. Nghiên cứu định lượng trên 122 phiếu hợp lệ của doanh nghiệp ngành công nghệ thông tin và truyền thông, sử dụng thang Likert 5 mức, kiểm định Cronbach's Alpha, phân tích nhân tố khám phá và mô hình cấu trúc tuyến tính, của Le Thi Thu Ha, Nguyen Nhu Ngoc và Luong Thi Dai Trang (2022) cho thấy các cấp độ quản trị SHTT đều tác động tích cực đến hiệu quả hoạt động của doanh nghiệp, trong đó cấp độ khai thác và quản lý có mức tác động lớn nhất [84]. Công trình này đo lường quản trị SHTT từ phía doanh nghiệp của một ngành, chưa xem xét đánh giá của cơ quan quản lý. Nghiên cứu tình huống dựa trên phỏng vấn sâu giám đốc sáu doanh nghiệp nhỏ và vừa của Le và Luong (2022) nhấn mạnh vai trò của hợp tác giữa doanh nghiệp với trường đại học, viện nghiên cứu và sự hỗ trợ của Nhà nước về tài chính, chính sách; chính các tác giả thừa nhận mẫu nhỏ và chỉ gồm doanh nghiệp ở miền Bắc [83]. Trên cơ sở khảo sát 109 doanh nghiệp được chọn theo phương pháp thuận tiện và phân tích bằng điểm trung bình, độ lệch chuẩn, Nguyen Huu Xuyen (2024) đánh giá năng lực quản trị SHTT của doanh nghiệp và kiến nghị Nhà nước hỗ trợ tổ chức thương mại hóa, chuyển giao thông qua mạng lưới trung tâm chuyển giao công nghệ [100]. Cách tiếp cận thống kê mô tả của công trình này tương đồng với hướng luận án lựa chọn, song mẫu chỉ gồm doanh nghiệp. Trong khu vực đại học, Nguyễn Minh Huyền Trang (2025) phân tích cơ hội và thách thức đối với quản trị tài sản trí tuệ trong bối cảnh Cách mạng công nghiệp lần thứ tư [44].</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công trình này có giá trị ở chỗ cung cấp bằng chứng thực nghiệm rằng khai thác là cấp độ quản trị có ý nghĩa lớn nhất đối với hiệu quả của doanh nghiệp, kể cả trong lĩnh vực số, và rằng năng lực của chủ thể quyền là điều kiện quan trọng để chính sách phát huy tác dụng. Tuy vậy, trọng tâm của các công trình là quản trị nội bộ doanh nghiệp; vai trò của QLNN chỉ được đề cập ở phần kiến nghị.</w:t>
      </w:r>
    </w:p>
    <w:p>
      <w:pPr>
        <w:keepNext/>
        <w:spacing w:before="80" w:after="0" w:line="360" w:lineRule="auto"/>
        <w:ind w:firstLine="720"/>
        <w:jc w:val="both"/>
      </w:pPr>
      <w:r>
        <w:rPr>
          <w:rFonts w:ascii="Times New Roman" w:hAnsi="Times New Roman" w:eastAsia="Times New Roman" w:cs="Times New Roman"/>
          <w:b w:val="0"/>
          <w:i/>
          <w:color w:val="000000"/>
          <w:sz w:val="26"/>
        </w:rPr>
        <w:t>Hướng thứ tư: khai thác quyền sở hữu trí tuệ gắn với địa phương, tài chính hóa và vai trò của Nhà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Một số công trình đánh giá khai thác quyền SHTT ở địa phương. Đoàn Đức Lương và Ngô Minh Tiến (2022) cho thấy tỉnh Quảng Ngãi đạt nhiều kết quả trong xác lập quyền đối với chỉ dẫn địa lý, nhãn hiệu tập thể và nhãn hiệu chứng nhận, nhưng việc khai thác các tài sản này còn nhiều hạn chế [24]. Nguyễn Văn Phúc (2025) phân tích việc bảo hộ và khai thác nhãn hiệu có nguồn gốc từ tri thức truyền thống tại Thừa Thiên Huế [29]. Nghiên cứu định lượng trên 296 hộ kinh doanh cá thể tại ba tỉnh miền Trung, chọn mẫu thuận tiện từ danh sách do chính quyền địa phương giới thiệu và phân tích bằng mô hình cấu trúc tuyến tính, của Long Tran Viet và Hai Phan Thanh (2023) cho thấy tài sản trí tuệ địa phương tác động đến phát triển du lịch thông qua vai trò trung gian của hoạt động bảo hộ, khai thác quyền và sự hỗ trợ của chính quyền địa phương [87]. Luận án của Nguyễn Văn Đông (2025), thuộc chuyên ngành Quản lý kinh tế, là công trình gần với đề tài nhất về cách tiếp cận. Tác giả kết hợp khảo sát 197 hộ được chọn ngẫu nhiên trong số 390 hộ được cấp quyền sử dụng địa danh, khảo sát có chủ đích 300 khách hàng và phỏng vấn tám chuyên gia, từ đó chỉ ra rằng trong ba hoạt động xác lập, quản lý và khai thác quyền SHTT, các địa phương mới tập trung vào xác lập quyền, còn hiệu quả quản lý và khai thác chưa cao [8]. Kết luận tương tự được nêu trong đánh giá việc thực hiện chính sách phát triển tài sản trí tuệ của Nhà nước tại địa phương: thành tích nổi bật nằm ở đăng ký, xác lập quyền, trong khi việc phát triển và khai thác tài sản trí tuệ sau bảo hộ cần được quan tâm hơn [46].</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tài chính hóa, Phạm Hồng Quất, Lương Văn Thường, Nguyễn Minh Ngọc và Lê Ngọc Mỹ (2021) phân tích triển vọng, thách thức và kinh nghiệm của Hàn Quốc, Singapore, Trung Quốc, Hoa Kỳ trong việc khai thác tài sản trí tuệ thành công cụ tài chính, kiến nghị Việt Nam ban hành cơ chế khuyến khích và quy định đặc thù về hạch toán tài sản trí tuệ [31]. Phạm Trung Luân (2025) phân tích mối quan hệ giữa chuyển giao công nghệ và bảo đảm quyền đối với tài sản trí tuệ của doanh nghiệp sáng tạo [22]. Lâm Xuân Hùng (2025) đề xuất trao quyền sở hữu trực tiếp kết quả nghiên cứu cho tổ chức chủ trì nhiệm vụ khoa học và công nghệ sử dụng ngân sách nhà nước, tương tự mô hình Bayh-Dole của Hoa Kỳ, kèm cơ chế phân chia lợi nhuận hợp lý [17].</w:t>
      </w:r>
    </w:p>
    <w:p>
      <w:pPr>
        <w:keepNext w:val="0"/>
        <w:spacing w:before="0" w:after="0" w:line="360" w:lineRule="auto"/>
        <w:ind w:firstLine="720"/>
        <w:jc w:val="both"/>
      </w:pPr>
      <w:r>
        <w:rPr>
          <w:rFonts w:ascii="Times New Roman" w:hAnsi="Times New Roman" w:eastAsia="Times New Roman" w:cs="Times New Roman"/>
          <w:b w:val="0"/>
          <w:i w:val="0"/>
          <w:color w:val="000000"/>
          <w:sz w:val="26"/>
        </w:rPr>
        <w:t>Xét về phương pháp, các công trình trong nước có sử dụng dữ liệu sơ cấp đều khảo sát một hoặc hai nhóm chủ thể: doanh nghiệp [4], [39], [84], [100], cơ sở giáo dục đại học [13], [89], hộ kinh doanh và người tiêu dùng [8], [87]. Quy mô mẫu phổ biến từ khoảng 100 đến 300 quan sát, chủ yếu được chọn thuận tiện hoặc có chủ đích. Một số công trình sử dụng mô hình cấu trúc tuyến tính để kiểm định quan hệ giữa các nhân tố, số khác sử dụng thống kê mô tả để nhận diện thực trạng và rào cản. Đánh giá của cán bộ QLNN và tổ chức trung gian ít được thu thập cùng lúc với đánh giá của chủ thể quyền theo một bộ câu hỏi chung, do đó khó đối chiếu nhận định của bên quản lý với nhận định của bên chịu tác động của chính sách. Hạn chế này gợi ý rằng khi đánh giá QLNN đối với khai thác quyền SHTT, việc khảo sát đồng thời nhiều nhóm chủ thể với phần câu hỏi chung là cần thiết.</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Nhìn chung, các công trình trong nước đã nhận diện khá rõ những điểm nghẽn của khai thác quyền SHTT: thiếu chính sách riêng và cơ chế phân chia lợi ích, thủ tục giao dịch phức tạp, thị trường công nghệ thiếu thông tin và chuẩn định giá, tổ chức trung gian còn yếu, năng lực quản trị của chủ thể quyền hạn chế, và sự lệch trọng tâm của hoạt động quản lý về phía xác lập quyền. Giá trị kế thừa đối với luận án là hệ thống các điểm nghẽn này và các bằng chứng khảo sát ban đầu. Hạn chế chung là các công trình chủ yếu nghiên cứu từng hình thức khai thác, từng loại chủ thể (trường đại học, doanh nghiệp) hoặc từng địa phương; các công trình hiện có chưa tiếp cận QLNN đối với khai thác quyền SHTT như một đối tượng quản lý hoàn chỉnh ở phạm vi quốc gia, với hệ thống nội dung, tiêu chí đánh giá và yếu tố ảnh hưởng, trong điều kiện kinh tế số và giai đoạn chuyển tiếp chính sách 2025-2026.</w:t>
      </w:r>
    </w:p>
    <w:p>
      <w:pPr>
        <w:pStyle w:val="Heading2"/>
      </w:pPr>
      <w:r>
        <w:rPr>
          <w:rFonts w:ascii="Times New Roman" w:hAnsi="Times New Roman" w:eastAsia="Times New Roman" w:cs="Times New Roman"/>
          <w:b/>
          <w:i w:val="0"/>
          <w:color w:val="000000"/>
          <w:sz w:val="26"/>
        </w:rPr>
        <w:t>1.2. Nhận xét tình hình nghiên cứu đề tài luận án</w:t>
      </w:r>
    </w:p>
    <w:p>
      <w:pPr>
        <w:pStyle w:val="Heading3"/>
      </w:pPr>
      <w:r>
        <w:rPr>
          <w:rFonts w:ascii="Times New Roman" w:hAnsi="Times New Roman" w:eastAsia="Times New Roman" w:cs="Times New Roman"/>
          <w:b/>
          <w:i w:val="0"/>
          <w:color w:val="000000"/>
          <w:sz w:val="26"/>
        </w:rPr>
        <w:t>1.2.1. Nhận xét tổng quát</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công trình được tổng quan cho thấy tri thức liên quan đến đề tài phát triển theo ba dòng tương đối độc lập. Dòng thứ nhất về quyền SHTT đã chuyển từ việc biện minh cho độc quyền sang phân tích tác động kinh tế có điều kiện của quyền SHTT và vị trí của nó trong hệ thống đổi mới sáng tạo. Dòng thứ hai về kinh tế số đã chuyển từ việc định nghĩa, đo lường sang phân tích cơ chế tạo ra và phân phối giá trị, trong đó tài sản vô hình và quyền kiểm soát tài sản trí tuệ giữ vị trí trung tâm. Dòng thứ ba về khai thác quyền SHTT đã hình thành các luận điểm về chi phí giao dịch, thị trường công nghệ, tổ chức trung gian và tài chính hóa quyền SHTT; ở trong nước, dòng nghiên cứu này phát triển nhanh từ năm 2017 và đã nhận diện được nhiều điểm nghẽn cụ thể.</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phương pháp, các công trình nước ngoài sử dụng phổ biến phương pháp định lượng trên dữ liệu doanh nghiệp và quốc gia; các công trình trong nước chủ yếu sử dụng phương pháp phân tích pháp luật, tổng hợp và khảo sát ở quy mô nhỏ, một số ít công trình gần đây sử dụng khảo sát định lượng. Về góc độ tiếp cận, nghiên cứu luật học chiếm tỷ trọng lớn ở trong nước; nghiên cứu dưới góc độ quản lý kinh tế về khâu khai thác quyền còn ít, trong đó luận án của Nguyễn Văn Đông (2025) là công trình gần nhất nhưng giới hạn ở sản phẩm mang tên địa danh của một địa phương [8]. Kết quả tổng quan được tóm lược tại Bảng 1.1.</w:t>
      </w:r>
    </w:p>
    <w:p>
      <w:pPr>
        <w:pStyle w:val="Chuthichhinhbang"/>
        <w:keepNext/>
        <w:spacing w:before="120"/>
      </w:pPr>
      <w:r>
        <w:rPr>
          <w:rFonts w:ascii="Times New Roman" w:hAnsi="Times New Roman" w:eastAsia="Times New Roman" w:cs="Times New Roman"/>
          <w:b/>
          <w:i w:val="0"/>
          <w:color w:val="000000"/>
          <w:sz w:val="26"/>
        </w:rPr>
        <w:t>Bảng 1.1. Tổng hợp các hướng nghiên cứu chính, kết quả đạt được và khoảng trống liên quan đến luận án</w:t>
      </w:r>
    </w:p>
    <w:tbl>
      <w:tblPr>
        <w:tblStyle w:val="TableGrid"/>
        <w:tblW w:type="auto" w:w="0"/>
        <w:jc w:val="center"/>
        <w:tblLayout w:type="fixed"/>
        <w:tblLook w:firstColumn="1" w:firstRow="1" w:lastColumn="0" w:lastRow="0" w:noHBand="0" w:noVBand="1" w:val="04A0"/>
      </w:tblPr>
      <w:tblGrid>
        <w:gridCol w:w="1701"/>
        <w:gridCol w:w="2381"/>
        <w:gridCol w:w="2381"/>
        <w:gridCol w:w="2324"/>
      </w:tblGrid>
      <w:tr>
        <w:trPr>
          <w:tblHeader w:val="true"/>
        </w:trPr>
        <w:tc>
          <w:tcPr>
            <w:tcW w:type="dxa" w:w="1701"/>
          </w:tcPr>
          <w:p>
            <w:pPr>
              <w:spacing w:line="276" w:lineRule="auto"/>
              <w:jc w:val="center"/>
            </w:pPr>
            <w:r>
              <w:rPr>
                <w:rFonts w:ascii="Times New Roman" w:hAnsi="Times New Roman" w:eastAsia="Times New Roman" w:cs="Times New Roman"/>
                <w:b/>
                <w:i w:val="0"/>
                <w:color w:val="000000"/>
                <w:sz w:val="24"/>
              </w:rPr>
              <w:t>Nhóm công trình</w:t>
            </w:r>
          </w:p>
        </w:tc>
        <w:tc>
          <w:tcPr>
            <w:tcW w:type="dxa" w:w="2381"/>
          </w:tcPr>
          <w:p>
            <w:pPr>
              <w:spacing w:line="276" w:lineRule="auto"/>
              <w:jc w:val="center"/>
            </w:pPr>
            <w:r>
              <w:rPr>
                <w:rFonts w:ascii="Times New Roman" w:hAnsi="Times New Roman" w:eastAsia="Times New Roman" w:cs="Times New Roman"/>
                <w:b/>
                <w:i w:val="0"/>
                <w:color w:val="000000"/>
                <w:sz w:val="24"/>
              </w:rPr>
              <w:t>Hướng nghiên cứu chính</w:t>
            </w:r>
          </w:p>
        </w:tc>
        <w:tc>
          <w:tcPr>
            <w:tcW w:type="dxa" w:w="2381"/>
          </w:tcPr>
          <w:p>
            <w:pPr>
              <w:spacing w:line="276" w:lineRule="auto"/>
              <w:jc w:val="center"/>
            </w:pPr>
            <w:r>
              <w:rPr>
                <w:rFonts w:ascii="Times New Roman" w:hAnsi="Times New Roman" w:eastAsia="Times New Roman" w:cs="Times New Roman"/>
                <w:b/>
                <w:i w:val="0"/>
                <w:color w:val="000000"/>
                <w:sz w:val="24"/>
              </w:rPr>
              <w:t>Kết quả đạt được</w:t>
            </w:r>
          </w:p>
        </w:tc>
        <w:tc>
          <w:tcPr>
            <w:tcW w:type="dxa" w:w="2324"/>
          </w:tcPr>
          <w:p>
            <w:pPr>
              <w:spacing w:line="276" w:lineRule="auto"/>
              <w:jc w:val="center"/>
            </w:pPr>
            <w:r>
              <w:rPr>
                <w:rFonts w:ascii="Times New Roman" w:hAnsi="Times New Roman" w:eastAsia="Times New Roman" w:cs="Times New Roman"/>
                <w:b/>
                <w:i w:val="0"/>
                <w:color w:val="000000"/>
                <w:sz w:val="24"/>
              </w:rPr>
              <w:t>Hạn chế, khoảng trống liên quan đến luận án</w:t>
            </w:r>
          </w:p>
        </w:tc>
      </w:tr>
      <w:tr>
        <w:tc>
          <w:tcPr>
            <w:tcW w:type="dxa" w:w="1701"/>
          </w:tcPr>
          <w:p>
            <w:pPr>
              <w:spacing w:line="276" w:lineRule="auto"/>
              <w:jc w:val="left"/>
            </w:pPr>
            <w:r>
              <w:rPr>
                <w:rFonts w:ascii="Times New Roman" w:hAnsi="Times New Roman" w:eastAsia="Times New Roman" w:cs="Times New Roman"/>
                <w:b w:val="0"/>
                <w:i w:val="0"/>
                <w:color w:val="000000"/>
                <w:sz w:val="24"/>
              </w:rPr>
              <w:t>Quyền SHTT (nước ngoài)</w:t>
            </w:r>
          </w:p>
        </w:tc>
        <w:tc>
          <w:tcPr>
            <w:tcW w:type="dxa" w:w="2381"/>
          </w:tcPr>
          <w:p>
            <w:pPr>
              <w:spacing w:line="276" w:lineRule="auto"/>
              <w:jc w:val="left"/>
            </w:pPr>
            <w:r>
              <w:rPr>
                <w:rFonts w:ascii="Times New Roman" w:hAnsi="Times New Roman" w:eastAsia="Times New Roman" w:cs="Times New Roman"/>
                <w:b w:val="0"/>
                <w:i w:val="0"/>
                <w:color w:val="000000"/>
                <w:sz w:val="24"/>
              </w:rPr>
              <w:t>Bản chất, cơ sở biện minh; vai trò đối với tăng trưởng, FDI, chuyển giao công nghệ; quyền SHTT trong hệ thống đổi mới sáng tạo</w:t>
            </w:r>
          </w:p>
        </w:tc>
        <w:tc>
          <w:tcPr>
            <w:tcW w:type="dxa" w:w="2381"/>
          </w:tcPr>
          <w:p>
            <w:pPr>
              <w:spacing w:line="276" w:lineRule="auto"/>
              <w:jc w:val="left"/>
            </w:pPr>
            <w:r>
              <w:rPr>
                <w:rFonts w:ascii="Times New Roman" w:hAnsi="Times New Roman" w:eastAsia="Times New Roman" w:cs="Times New Roman"/>
                <w:b w:val="0"/>
                <w:i w:val="0"/>
                <w:color w:val="000000"/>
                <w:sz w:val="24"/>
              </w:rPr>
              <w:t>Quyền SHTT là chế định kinh tế có thể điều chỉnh; tác động phụ thuộc trình độ phát triển; Nhà nước có vai trò kiến tạo</w:t>
            </w:r>
          </w:p>
        </w:tc>
        <w:tc>
          <w:tcPr>
            <w:tcW w:type="dxa" w:w="2324"/>
          </w:tcPr>
          <w:p>
            <w:pPr>
              <w:spacing w:line="276" w:lineRule="auto"/>
              <w:jc w:val="left"/>
            </w:pPr>
            <w:r>
              <w:rPr>
                <w:rFonts w:ascii="Times New Roman" w:hAnsi="Times New Roman" w:eastAsia="Times New Roman" w:cs="Times New Roman"/>
                <w:b w:val="0"/>
                <w:i w:val="0"/>
                <w:color w:val="000000"/>
                <w:sz w:val="24"/>
              </w:rPr>
              <w:t>Tập trung vào mức độ bảo hộ; chưa phân tích nội dung QLNN đối với khâu khai thác</w:t>
            </w:r>
          </w:p>
        </w:tc>
      </w:tr>
      <w:tr>
        <w:tc>
          <w:tcPr>
            <w:tcW w:type="dxa" w:w="1701"/>
          </w:tcPr>
          <w:p>
            <w:pPr>
              <w:spacing w:line="276" w:lineRule="auto"/>
              <w:jc w:val="left"/>
            </w:pPr>
            <w:r>
              <w:rPr>
                <w:rFonts w:ascii="Times New Roman" w:hAnsi="Times New Roman" w:eastAsia="Times New Roman" w:cs="Times New Roman"/>
                <w:b w:val="0"/>
                <w:i w:val="0"/>
                <w:color w:val="000000"/>
                <w:sz w:val="24"/>
              </w:rPr>
              <w:t>Quyền SHTT (trong nước)</w:t>
            </w:r>
          </w:p>
        </w:tc>
        <w:tc>
          <w:tcPr>
            <w:tcW w:type="dxa" w:w="2381"/>
          </w:tcPr>
          <w:p>
            <w:pPr>
              <w:spacing w:line="276" w:lineRule="auto"/>
              <w:jc w:val="left"/>
            </w:pPr>
            <w:r>
              <w:rPr>
                <w:rFonts w:ascii="Times New Roman" w:hAnsi="Times New Roman" w:eastAsia="Times New Roman" w:cs="Times New Roman"/>
                <w:b w:val="0"/>
                <w:i w:val="0"/>
                <w:color w:val="000000"/>
                <w:sz w:val="24"/>
              </w:rPr>
              <w:t>Lý luận pháp lý; bảo hộ, thực thi đối với từng đối tượng, kể cả môi trường số; vai trò của sáng chế đối với khoa học, công nghệ</w:t>
            </w:r>
          </w:p>
        </w:tc>
        <w:tc>
          <w:tcPr>
            <w:tcW w:type="dxa" w:w="2381"/>
          </w:tcPr>
          <w:p>
            <w:pPr>
              <w:spacing w:line="276" w:lineRule="auto"/>
              <w:jc w:val="left"/>
            </w:pPr>
            <w:r>
              <w:rPr>
                <w:rFonts w:ascii="Times New Roman" w:hAnsi="Times New Roman" w:eastAsia="Times New Roman" w:cs="Times New Roman"/>
                <w:b w:val="0"/>
                <w:i w:val="0"/>
                <w:color w:val="000000"/>
                <w:sz w:val="24"/>
              </w:rPr>
              <w:t>Chuẩn hóa khái niệm; nhiều luận cứ hoàn thiện pháp luật về bảo hộ, thực thi; bước đầu đánh giá năng lực và sự phối hợp của bộ máy thực thi</w:t>
            </w:r>
          </w:p>
        </w:tc>
        <w:tc>
          <w:tcPr>
            <w:tcW w:type="dxa" w:w="2324"/>
          </w:tcPr>
          <w:p>
            <w:pPr>
              <w:spacing w:line="276" w:lineRule="auto"/>
              <w:jc w:val="left"/>
            </w:pPr>
            <w:r>
              <w:rPr>
                <w:rFonts w:ascii="Times New Roman" w:hAnsi="Times New Roman" w:eastAsia="Times New Roman" w:cs="Times New Roman"/>
                <w:b w:val="0"/>
                <w:i w:val="0"/>
                <w:color w:val="000000"/>
                <w:sz w:val="24"/>
              </w:rPr>
              <w:t>Thiên về luật học; ít nghiên cứu hiệu quả chính sách và khâu khai thác sau bảo hộ</w:t>
            </w:r>
          </w:p>
        </w:tc>
      </w:tr>
      <w:tr>
        <w:tc>
          <w:tcPr>
            <w:tcW w:type="dxa" w:w="1701"/>
          </w:tcPr>
          <w:p>
            <w:pPr>
              <w:spacing w:line="276" w:lineRule="auto"/>
              <w:jc w:val="left"/>
            </w:pPr>
            <w:r>
              <w:rPr>
                <w:rFonts w:ascii="Times New Roman" w:hAnsi="Times New Roman" w:eastAsia="Times New Roman" w:cs="Times New Roman"/>
                <w:b w:val="0"/>
                <w:i w:val="0"/>
                <w:color w:val="000000"/>
                <w:sz w:val="24"/>
              </w:rPr>
              <w:t>Kinh tế số (nước ngoài)</w:t>
            </w:r>
          </w:p>
        </w:tc>
        <w:tc>
          <w:tcPr>
            <w:tcW w:type="dxa" w:w="2381"/>
          </w:tcPr>
          <w:p>
            <w:pPr>
              <w:spacing w:line="276" w:lineRule="auto"/>
              <w:jc w:val="left"/>
            </w:pPr>
            <w:r>
              <w:rPr>
                <w:rFonts w:ascii="Times New Roman" w:hAnsi="Times New Roman" w:eastAsia="Times New Roman" w:cs="Times New Roman"/>
                <w:b w:val="0"/>
                <w:i w:val="0"/>
                <w:color w:val="000000"/>
                <w:sz w:val="24"/>
              </w:rPr>
              <w:t>Khái niệm, đo lường; cơ chế kinh tế của công nghệ số, tài sản vô hình; phân phối giá trị và quyền kiểm soát; quan hệ giữa bảo hộ quyền SHTT và kinh tế số</w:t>
            </w:r>
          </w:p>
        </w:tc>
        <w:tc>
          <w:tcPr>
            <w:tcW w:type="dxa" w:w="2381"/>
          </w:tcPr>
          <w:p>
            <w:pPr>
              <w:spacing w:line="276" w:lineRule="auto"/>
              <w:jc w:val="left"/>
            </w:pPr>
            <w:r>
              <w:rPr>
                <w:rFonts w:ascii="Times New Roman" w:hAnsi="Times New Roman" w:eastAsia="Times New Roman" w:cs="Times New Roman"/>
                <w:b w:val="0"/>
                <w:i w:val="0"/>
                <w:color w:val="000000"/>
                <w:sz w:val="24"/>
              </w:rPr>
              <w:t>Tài sản vô hình là nguồn giá trị trung tâm; quyền SHTT là công cụ phân bổ và kiểm soát giá trị</w:t>
            </w:r>
          </w:p>
        </w:tc>
        <w:tc>
          <w:tcPr>
            <w:tcW w:type="dxa" w:w="2324"/>
          </w:tcPr>
          <w:p>
            <w:pPr>
              <w:spacing w:line="276" w:lineRule="auto"/>
              <w:jc w:val="left"/>
            </w:pPr>
            <w:r>
              <w:rPr>
                <w:rFonts w:ascii="Times New Roman" w:hAnsi="Times New Roman" w:eastAsia="Times New Roman" w:cs="Times New Roman"/>
                <w:b w:val="0"/>
                <w:i w:val="0"/>
                <w:color w:val="000000"/>
                <w:sz w:val="24"/>
              </w:rPr>
              <w:t>Chưa phân tích vai trò của Nhà nước trong giúp chủ thể trong nước khai thác quyền</w:t>
            </w:r>
          </w:p>
        </w:tc>
      </w:tr>
      <w:tr>
        <w:tc>
          <w:tcPr>
            <w:tcW w:type="dxa" w:w="1701"/>
          </w:tcPr>
          <w:p>
            <w:pPr>
              <w:spacing w:line="276" w:lineRule="auto"/>
              <w:jc w:val="left"/>
            </w:pPr>
            <w:r>
              <w:rPr>
                <w:rFonts w:ascii="Times New Roman" w:hAnsi="Times New Roman" w:eastAsia="Times New Roman" w:cs="Times New Roman"/>
                <w:b w:val="0"/>
                <w:i w:val="0"/>
                <w:color w:val="000000"/>
                <w:sz w:val="24"/>
              </w:rPr>
              <w:t>Kinh tế số (trong nước)</w:t>
            </w:r>
          </w:p>
        </w:tc>
        <w:tc>
          <w:tcPr>
            <w:tcW w:type="dxa" w:w="2381"/>
          </w:tcPr>
          <w:p>
            <w:pPr>
              <w:spacing w:line="276" w:lineRule="auto"/>
              <w:jc w:val="left"/>
            </w:pPr>
            <w:r>
              <w:rPr>
                <w:rFonts w:ascii="Times New Roman" w:hAnsi="Times New Roman" w:eastAsia="Times New Roman" w:cs="Times New Roman"/>
                <w:b w:val="0"/>
                <w:i w:val="0"/>
                <w:color w:val="000000"/>
                <w:sz w:val="24"/>
              </w:rPr>
              <w:t>Khái niệm, thực trạng, đo lường; thể chế và QLNN đối với kinh tế số; tác động đến hệ thống SHTT</w:t>
            </w:r>
          </w:p>
        </w:tc>
        <w:tc>
          <w:tcPr>
            <w:tcW w:type="dxa" w:w="2381"/>
          </w:tcPr>
          <w:p>
            <w:pPr>
              <w:spacing w:line="276" w:lineRule="auto"/>
              <w:jc w:val="left"/>
            </w:pPr>
            <w:r>
              <w:rPr>
                <w:rFonts w:ascii="Times New Roman" w:hAnsi="Times New Roman" w:eastAsia="Times New Roman" w:cs="Times New Roman"/>
                <w:b w:val="0"/>
                <w:i w:val="0"/>
                <w:color w:val="000000"/>
                <w:sz w:val="24"/>
              </w:rPr>
              <w:t>Cụ thể hóa khái niệm vào bối cảnh Việt Nam; bắt đầu đo lường chính thức, lượng hóa yếu tố ảnh hưởng và đề xuất tiêu chí đánh giá QLNN; nhận diện áp lực đối với pháp luật SHTT</w:t>
            </w:r>
          </w:p>
        </w:tc>
        <w:tc>
          <w:tcPr>
            <w:tcW w:type="dxa" w:w="2324"/>
          </w:tcPr>
          <w:p>
            <w:pPr>
              <w:spacing w:line="276" w:lineRule="auto"/>
              <w:jc w:val="left"/>
            </w:pPr>
            <w:r>
              <w:rPr>
                <w:rFonts w:ascii="Times New Roman" w:hAnsi="Times New Roman" w:eastAsia="Times New Roman" w:cs="Times New Roman"/>
                <w:b w:val="0"/>
                <w:i w:val="0"/>
                <w:color w:val="000000"/>
                <w:sz w:val="24"/>
              </w:rPr>
              <w:t>Chủ yếu tổng quan chính sách; mối quan hệ với SHTT mới dừng ở bảo hộ, thực thi</w:t>
            </w:r>
          </w:p>
        </w:tc>
      </w:tr>
      <w:tr>
        <w:tc>
          <w:tcPr>
            <w:tcW w:type="dxa" w:w="1701"/>
          </w:tcPr>
          <w:p>
            <w:pPr>
              <w:spacing w:line="276" w:lineRule="auto"/>
              <w:jc w:val="left"/>
            </w:pPr>
            <w:r>
              <w:rPr>
                <w:rFonts w:ascii="Times New Roman" w:hAnsi="Times New Roman" w:eastAsia="Times New Roman" w:cs="Times New Roman"/>
                <w:b w:val="0"/>
                <w:i w:val="0"/>
                <w:color w:val="000000"/>
                <w:sz w:val="24"/>
              </w:rPr>
              <w:t>Khai thác quyền SHTT (nước ngoài)</w:t>
            </w:r>
          </w:p>
        </w:tc>
        <w:tc>
          <w:tcPr>
            <w:tcW w:type="dxa" w:w="2381"/>
          </w:tcPr>
          <w:p>
            <w:pPr>
              <w:spacing w:line="276" w:lineRule="auto"/>
              <w:jc w:val="left"/>
            </w:pPr>
            <w:r>
              <w:rPr>
                <w:rFonts w:ascii="Times New Roman" w:hAnsi="Times New Roman" w:eastAsia="Times New Roman" w:cs="Times New Roman"/>
                <w:b w:val="0"/>
                <w:i w:val="0"/>
                <w:color w:val="000000"/>
                <w:sz w:val="24"/>
              </w:rPr>
              <w:t>Cơ sở kinh tế và thị trường công nghệ; thương mại hóa kết quả nghiên cứu, tổ chức trung gian; tài chính hóa; khai thác trong môi trường số</w:t>
            </w:r>
          </w:p>
        </w:tc>
        <w:tc>
          <w:tcPr>
            <w:tcW w:type="dxa" w:w="2381"/>
          </w:tcPr>
          <w:p>
            <w:pPr>
              <w:spacing w:line="276" w:lineRule="auto"/>
              <w:jc w:val="left"/>
            </w:pPr>
            <w:r>
              <w:rPr>
                <w:rFonts w:ascii="Times New Roman" w:hAnsi="Times New Roman" w:eastAsia="Times New Roman" w:cs="Times New Roman"/>
                <w:b w:val="0"/>
                <w:i w:val="0"/>
                <w:color w:val="000000"/>
                <w:sz w:val="24"/>
              </w:rPr>
              <w:t>Làm rõ vai trò của chi phí giao dịch, mức độ chắc chắn của quyền, tài sản bổ trợ, tổ chức trung gian và hạ tầng thể chế</w:t>
            </w:r>
          </w:p>
        </w:tc>
        <w:tc>
          <w:tcPr>
            <w:tcW w:type="dxa" w:w="2324"/>
          </w:tcPr>
          <w:p>
            <w:pPr>
              <w:spacing w:line="276" w:lineRule="auto"/>
              <w:jc w:val="left"/>
            </w:pPr>
            <w:r>
              <w:rPr>
                <w:rFonts w:ascii="Times New Roman" w:hAnsi="Times New Roman" w:eastAsia="Times New Roman" w:cs="Times New Roman"/>
                <w:b w:val="0"/>
                <w:i w:val="0"/>
                <w:color w:val="000000"/>
                <w:sz w:val="24"/>
              </w:rPr>
              <w:t>Tiếp cận từ phía doanh nghiệp, tổ chức nghiên cứu ở nước phát triển; chưa hệ thống hóa nội dung, tiêu chí QLNN</w:t>
            </w:r>
          </w:p>
        </w:tc>
      </w:tr>
      <w:tr>
        <w:tc>
          <w:tcPr>
            <w:tcW w:type="dxa" w:w="1701"/>
          </w:tcPr>
          <w:p>
            <w:pPr>
              <w:spacing w:line="276" w:lineRule="auto"/>
              <w:jc w:val="left"/>
            </w:pPr>
            <w:r>
              <w:rPr>
                <w:rFonts w:ascii="Times New Roman" w:hAnsi="Times New Roman" w:eastAsia="Times New Roman" w:cs="Times New Roman"/>
                <w:b w:val="0"/>
                <w:i w:val="0"/>
                <w:color w:val="000000"/>
                <w:sz w:val="24"/>
              </w:rPr>
              <w:t>Khai thác quyền SHTT (trong nước)</w:t>
            </w:r>
          </w:p>
        </w:tc>
        <w:tc>
          <w:tcPr>
            <w:tcW w:type="dxa" w:w="2381"/>
          </w:tcPr>
          <w:p>
            <w:pPr>
              <w:spacing w:line="276" w:lineRule="auto"/>
              <w:jc w:val="left"/>
            </w:pPr>
            <w:r>
              <w:rPr>
                <w:rFonts w:ascii="Times New Roman" w:hAnsi="Times New Roman" w:eastAsia="Times New Roman" w:cs="Times New Roman"/>
                <w:b w:val="0"/>
                <w:i w:val="0"/>
                <w:color w:val="000000"/>
                <w:sz w:val="24"/>
              </w:rPr>
              <w:t>Điểm nghẽn thương mại hóa; pháp luật giao dịch; quản trị tài sản trí tuệ của doanh nghiệp; khai thác gắn với địa phương, tài chính hóa</w:t>
            </w:r>
          </w:p>
        </w:tc>
        <w:tc>
          <w:tcPr>
            <w:tcW w:type="dxa" w:w="2381"/>
          </w:tcPr>
          <w:p>
            <w:pPr>
              <w:spacing w:line="276" w:lineRule="auto"/>
              <w:jc w:val="left"/>
            </w:pPr>
            <w:r>
              <w:rPr>
                <w:rFonts w:ascii="Times New Roman" w:hAnsi="Times New Roman" w:eastAsia="Times New Roman" w:cs="Times New Roman"/>
                <w:b w:val="0"/>
                <w:i w:val="0"/>
                <w:color w:val="000000"/>
                <w:sz w:val="24"/>
              </w:rPr>
              <w:t>Nhận diện nhiều điểm nghẽn cụ thể; bằng chứng khảo sát ban đầu; quản lý còn lệch về xác lập quyền</w:t>
            </w:r>
          </w:p>
        </w:tc>
        <w:tc>
          <w:tcPr>
            <w:tcW w:type="dxa" w:w="2324"/>
          </w:tcPr>
          <w:p>
            <w:pPr>
              <w:spacing w:line="276" w:lineRule="auto"/>
              <w:jc w:val="left"/>
            </w:pPr>
            <w:r>
              <w:rPr>
                <w:rFonts w:ascii="Times New Roman" w:hAnsi="Times New Roman" w:eastAsia="Times New Roman" w:cs="Times New Roman"/>
                <w:b w:val="0"/>
                <w:i w:val="0"/>
                <w:color w:val="000000"/>
                <w:sz w:val="24"/>
              </w:rPr>
              <w:t>Nghiên cứu theo từng hình thức, chủ thể, địa phương; chưa tiếp cận QLNN đối với khai thác ở phạm vi quốc gia</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pStyle w:val="Heading3"/>
      </w:pPr>
      <w:r>
        <w:rPr>
          <w:rFonts w:ascii="Times New Roman" w:hAnsi="Times New Roman" w:eastAsia="Times New Roman" w:cs="Times New Roman"/>
          <w:b/>
          <w:i w:val="0"/>
          <w:color w:val="000000"/>
          <w:sz w:val="26"/>
        </w:rPr>
        <w:t>1.2.2. Những vấn đề đã đạt được sự thống nhất trong nghiên cứu liên quan đến đề tài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các công trình thống nhất rằng quyền SHTT là một chế định kinh tế do Nhà nước thiết kế và có thể điều chỉnh; tác động của quyền SHTT đối với đổi mới sáng tạo và tăng trưởng không đồng nhất mà phụ thuộc vào trình độ phát triển, năng lực hấp thụ công nghệ và mức độ phát triển của thị trường [93], [99].</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các công trình thống nhất rằng xác lập quyền là điều kiện cần nhưng chưa đủ để quyền SHTT tạo ra giá trị kinh tế; hiệu quả khai thác phụ thuộc vào chi phí giao dịch, mức độ chắc chắn của quyền, tài sản bổ trợ, năng lực của tổ chức trung gian và năng lực quản trị của chủ thể quyền [50], [72], [84], [113].</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trong nền kinh tế số, tài sản vô hình, trong đó có tài sản trí tuệ, trở thành nguồn tạo giá trị trung tâm; công nghệ số vừa mở rộng cơ hội khai thác quyền vừa làm cho giá trị có xu hướng tập trung vào chủ thể kiểm soát nền tảng và quyền SHTT [69], [74], [76].</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tư, các công trình trong nước thống nhất rằng hoạt động khai thác quyền SHTT ở Việt Nam còn hạn chế so với hoạt động xác lập quyền, với các điểm nghẽn về chính sách, thủ tục giao dịch, định giá, tổ chức trung gian, cơ chế phân chia lợi ích và năng lực của chủ thể quyền [8], [37], [47], [60], [89].</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năm, dù tiếp cận từ các phía khác nhau, các công trình đã nhận diện tương đối thống nhất những yếu tố ảnh hưởng đến kết quả khai thác quyền SHTT. Đối chiếu với vị trí của cơ quan quản lý, các yếu tố này có thể chia thành hai nhóm (Bảng 1.2). Nhóm thứ nhất gắn trực tiếp với hoạt động của bộ máy QLNN: mức độ chắc chắn và hiệu lực của quyền, vốn phụ thuộc thời gian xác lập, chất lượng thẩm định và hiệu quả thực thi; thủ tục và quy định về giao dịch quyền; cơ chế sở hữu, phân chia lợi ích đối với kết quả nghiên cứu sử dụng ngân sách nhà nước; hệ thống thông tin, dữ liệu về quyền và giao dịch quyền. Nhóm thứ hai nằm bên ngoài bộ máy, gồm năng lực của tổ chức trung gian, hạ tầng tài chính cho quyền SHTT, đặc điểm của môi trường số, năng lực quản trị và tài sản bổ trợ của chủ thể quyền, mức độ liên kết giữa doanh nghiệp với trường đại học, viện nghiên cứu. Cơ quan quản lý không quyết định trực tiếp các yếu tố thuộc nhóm thứ hai nhưng có thể tác động đến chúng thông qua chính sách hỗ trợ. Các công trình mới nhận diện từng yếu tố riêng lẻ và chủ yếu từ phía chủ thể khai thác; những yếu tố thuộc bản thân bộ máy quản lý như năng lực phối hợp giữa các cơ quan và nguồn lực dành cho hoạt động hỗ trợ khai thác còn ít được phân tích. Hệ thống yếu tố tại Bảng 1.2 là căn cứ để luận án xác định các nhóm yếu tố ảnh hưởng và thiết kế phần câu hỏi tương ứng trong bảng hỏi khảo sát.</w:t>
      </w:r>
    </w:p>
    <w:p>
      <w:pPr>
        <w:pStyle w:val="Chuthichhinhbang"/>
        <w:keepNext/>
        <w:spacing w:before="120"/>
      </w:pPr>
      <w:r>
        <w:rPr>
          <w:rFonts w:ascii="Times New Roman" w:hAnsi="Times New Roman" w:eastAsia="Times New Roman" w:cs="Times New Roman"/>
          <w:b/>
          <w:i w:val="0"/>
          <w:color w:val="000000"/>
          <w:sz w:val="26"/>
        </w:rPr>
        <w:t>Bảng 1.2. Các yếu tố ảnh hưởng đến khai thác quyền SHTT được nhận diện trong các công trình và hàm ý đối với QLNN</w:t>
      </w:r>
    </w:p>
    <w:tbl>
      <w:tblPr>
        <w:tblStyle w:val="TableGrid"/>
        <w:tblW w:type="auto" w:w="0"/>
        <w:jc w:val="center"/>
        <w:tblLayout w:type="fixed"/>
        <w:tblLook w:firstColumn="1" w:firstRow="1" w:lastColumn="0" w:lastRow="0" w:noHBand="0" w:noVBand="1" w:val="04A0"/>
      </w:tblPr>
      <w:tblGrid>
        <w:gridCol w:w="1474"/>
        <w:gridCol w:w="2268"/>
        <w:gridCol w:w="1474"/>
        <w:gridCol w:w="3572"/>
      </w:tblGrid>
      <w:tr>
        <w:trPr>
          <w:tblHeader w:val="true"/>
        </w:trPr>
        <w:tc>
          <w:tcPr>
            <w:tcW w:type="dxa" w:w="1474"/>
          </w:tcPr>
          <w:p>
            <w:pPr>
              <w:spacing w:line="276" w:lineRule="auto"/>
              <w:jc w:val="center"/>
            </w:pPr>
            <w:r>
              <w:rPr>
                <w:rFonts w:ascii="Times New Roman" w:hAnsi="Times New Roman" w:eastAsia="Times New Roman" w:cs="Times New Roman"/>
                <w:b/>
                <w:i w:val="0"/>
                <w:color w:val="000000"/>
                <w:sz w:val="24"/>
              </w:rPr>
              <w:t>Nhóm yếu tố</w:t>
            </w:r>
          </w:p>
        </w:tc>
        <w:tc>
          <w:tcPr>
            <w:tcW w:type="dxa" w:w="2268"/>
          </w:tcPr>
          <w:p>
            <w:pPr>
              <w:spacing w:line="276" w:lineRule="auto"/>
              <w:jc w:val="center"/>
            </w:pPr>
            <w:r>
              <w:rPr>
                <w:rFonts w:ascii="Times New Roman" w:hAnsi="Times New Roman" w:eastAsia="Times New Roman" w:cs="Times New Roman"/>
                <w:b/>
                <w:i w:val="0"/>
                <w:color w:val="000000"/>
                <w:sz w:val="24"/>
              </w:rPr>
              <w:t>Yếu tố</w:t>
            </w:r>
          </w:p>
        </w:tc>
        <w:tc>
          <w:tcPr>
            <w:tcW w:type="dxa" w:w="1474"/>
          </w:tcPr>
          <w:p>
            <w:pPr>
              <w:spacing w:line="276" w:lineRule="auto"/>
              <w:jc w:val="center"/>
            </w:pPr>
            <w:r>
              <w:rPr>
                <w:rFonts w:ascii="Times New Roman" w:hAnsi="Times New Roman" w:eastAsia="Times New Roman" w:cs="Times New Roman"/>
                <w:b/>
                <w:i w:val="0"/>
                <w:color w:val="000000"/>
                <w:sz w:val="24"/>
              </w:rPr>
              <w:t>Công trình tiêu biểu</w:t>
            </w:r>
          </w:p>
        </w:tc>
        <w:tc>
          <w:tcPr>
            <w:tcW w:type="dxa" w:w="3572"/>
          </w:tcPr>
          <w:p>
            <w:pPr>
              <w:spacing w:line="276" w:lineRule="auto"/>
              <w:jc w:val="center"/>
            </w:pPr>
            <w:r>
              <w:rPr>
                <w:rFonts w:ascii="Times New Roman" w:hAnsi="Times New Roman" w:eastAsia="Times New Roman" w:cs="Times New Roman"/>
                <w:b/>
                <w:i w:val="0"/>
                <w:color w:val="000000"/>
                <w:sz w:val="24"/>
              </w:rPr>
              <w:t>Hàm ý đối với QLNN</w:t>
            </w:r>
          </w:p>
        </w:tc>
      </w:tr>
      <w:tr>
        <w:tc>
          <w:tcPr>
            <w:tcW w:type="dxa" w:w="1474"/>
          </w:tcPr>
          <w:p>
            <w:pPr>
              <w:spacing w:line="276" w:lineRule="auto"/>
              <w:jc w:val="left"/>
            </w:pPr>
            <w:r>
              <w:rPr>
                <w:rFonts w:ascii="Times New Roman" w:hAnsi="Times New Roman" w:eastAsia="Times New Roman" w:cs="Times New Roman"/>
                <w:b w:val="0"/>
                <w:i w:val="0"/>
                <w:color w:val="000000"/>
                <w:sz w:val="24"/>
              </w:rPr>
              <w:t>Gắn với hoạt động của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(1) Mức độ chắc chắn và hiệu lực của quyền</w:t>
            </w:r>
          </w:p>
        </w:tc>
        <w:tc>
          <w:tcPr>
            <w:tcW w:type="dxa" w:w="1474"/>
          </w:tcPr>
          <w:p>
            <w:pPr>
              <w:spacing w:line="276" w:lineRule="auto"/>
              <w:jc w:val="left"/>
            </w:pPr>
            <w:r>
              <w:rPr>
                <w:rFonts w:ascii="Times New Roman" w:hAnsi="Times New Roman" w:eastAsia="Times New Roman" w:cs="Times New Roman"/>
                <w:b w:val="0"/>
                <w:i w:val="0"/>
                <w:color w:val="000000"/>
                <w:sz w:val="24"/>
              </w:rPr>
              <w:t>[4], [72], [113]</w:t>
            </w:r>
          </w:p>
        </w:tc>
        <w:tc>
          <w:tcPr>
            <w:tcW w:type="dxa" w:w="3572"/>
          </w:tcPr>
          <w:p>
            <w:pPr>
              <w:spacing w:line="276" w:lineRule="auto"/>
              <w:jc w:val="left"/>
            </w:pPr>
            <w:r>
              <w:rPr>
                <w:rFonts w:ascii="Times New Roman" w:hAnsi="Times New Roman" w:eastAsia="Times New Roman" w:cs="Times New Roman"/>
                <w:b w:val="0"/>
                <w:i w:val="0"/>
                <w:color w:val="000000"/>
                <w:sz w:val="24"/>
              </w:rPr>
              <w:t>Rút ngắn thời gian xác lập quyền, nâng cao chất lượng thẩm định và hiệu quả thực thi để giảm rủi ro cho bên tham gia giao dịch</w:t>
            </w:r>
          </w:p>
        </w:tc>
      </w:tr>
      <w:tr>
        <w:tc>
          <w:tcPr>
            <w:tcW w:type="dxa" w:w="1474"/>
          </w:tcPr>
          <w:p>
            <w:pPr>
              <w:spacing w:line="276" w:lineRule="auto"/>
              <w:jc w:val="left"/>
            </w:pPr>
            <w:r>
              <w:rPr>
                <w:rFonts w:ascii="Times New Roman" w:hAnsi="Times New Roman" w:eastAsia="Times New Roman" w:cs="Times New Roman"/>
                <w:b w:val="0"/>
                <w:i w:val="0"/>
                <w:color w:val="000000"/>
                <w:sz w:val="24"/>
              </w:rPr>
              <w:t>Gắn với hoạt động của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(2) Thủ tục và quy định về giao dịch quyền</w:t>
            </w:r>
          </w:p>
        </w:tc>
        <w:tc>
          <w:tcPr>
            <w:tcW w:type="dxa" w:w="1474"/>
          </w:tcPr>
          <w:p>
            <w:pPr>
              <w:spacing w:line="276" w:lineRule="auto"/>
              <w:jc w:val="left"/>
            </w:pPr>
            <w:r>
              <w:rPr>
                <w:rFonts w:ascii="Times New Roman" w:hAnsi="Times New Roman" w:eastAsia="Times New Roman" w:cs="Times New Roman"/>
                <w:b w:val="0"/>
                <w:i w:val="0"/>
                <w:color w:val="000000"/>
                <w:sz w:val="24"/>
              </w:rPr>
              <w:t>[30], [37], [45]</w:t>
            </w:r>
          </w:p>
        </w:tc>
        <w:tc>
          <w:tcPr>
            <w:tcW w:type="dxa" w:w="3572"/>
          </w:tcPr>
          <w:p>
            <w:pPr>
              <w:spacing w:line="276" w:lineRule="auto"/>
              <w:jc w:val="left"/>
            </w:pPr>
            <w:r>
              <w:rPr>
                <w:rFonts w:ascii="Times New Roman" w:hAnsi="Times New Roman" w:eastAsia="Times New Roman" w:cs="Times New Roman"/>
                <w:b w:val="0"/>
                <w:i w:val="0"/>
                <w:color w:val="000000"/>
                <w:sz w:val="24"/>
              </w:rPr>
              <w:t>Đơn giản hóa thủ tục đăng ký hợp đồng; hoàn thiện quy định về hợp đồng chuyển nhượng, chuyển quyền sử dụng</w:t>
            </w:r>
          </w:p>
        </w:tc>
      </w:tr>
      <w:tr>
        <w:tc>
          <w:tcPr>
            <w:tcW w:type="dxa" w:w="1474"/>
          </w:tcPr>
          <w:p>
            <w:pPr>
              <w:spacing w:line="276" w:lineRule="auto"/>
              <w:jc w:val="left"/>
            </w:pPr>
            <w:r>
              <w:rPr>
                <w:rFonts w:ascii="Times New Roman" w:hAnsi="Times New Roman" w:eastAsia="Times New Roman" w:cs="Times New Roman"/>
                <w:b w:val="0"/>
                <w:i w:val="0"/>
                <w:color w:val="000000"/>
                <w:sz w:val="24"/>
              </w:rPr>
              <w:t>Gắn với hoạt động của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(3) Cơ chế sở hữu và phân chia lợi ích đối với kết quả nghiên cứu sử dụng ngân sách nhà nước</w:t>
            </w:r>
          </w:p>
        </w:tc>
        <w:tc>
          <w:tcPr>
            <w:tcW w:type="dxa" w:w="1474"/>
          </w:tcPr>
          <w:p>
            <w:pPr>
              <w:spacing w:line="276" w:lineRule="auto"/>
              <w:jc w:val="left"/>
            </w:pPr>
            <w:r>
              <w:rPr>
                <w:rFonts w:ascii="Times New Roman" w:hAnsi="Times New Roman" w:eastAsia="Times New Roman" w:cs="Times New Roman"/>
                <w:b w:val="0"/>
                <w:i w:val="0"/>
                <w:color w:val="000000"/>
                <w:sz w:val="24"/>
              </w:rPr>
              <w:t>[17], [47], [96]</w:t>
            </w:r>
          </w:p>
        </w:tc>
        <w:tc>
          <w:tcPr>
            <w:tcW w:type="dxa" w:w="3572"/>
          </w:tcPr>
          <w:p>
            <w:pPr>
              <w:spacing w:line="276" w:lineRule="auto"/>
              <w:jc w:val="left"/>
            </w:pPr>
            <w:r>
              <w:rPr>
                <w:rFonts w:ascii="Times New Roman" w:hAnsi="Times New Roman" w:eastAsia="Times New Roman" w:cs="Times New Roman"/>
                <w:b w:val="0"/>
                <w:i w:val="0"/>
                <w:color w:val="000000"/>
                <w:sz w:val="24"/>
              </w:rPr>
              <w:t>Thiết kế quy định giao quyền và phân chia lợi ích tạo động lực cho tổ chức chủ trì và nhà khoa học</w:t>
            </w:r>
          </w:p>
        </w:tc>
      </w:tr>
      <w:tr>
        <w:tc>
          <w:tcPr>
            <w:tcW w:type="dxa" w:w="1474"/>
          </w:tcPr>
          <w:p>
            <w:pPr>
              <w:spacing w:line="276" w:lineRule="auto"/>
              <w:jc w:val="left"/>
            </w:pPr>
            <w:r>
              <w:rPr>
                <w:rFonts w:ascii="Times New Roman" w:hAnsi="Times New Roman" w:eastAsia="Times New Roman" w:cs="Times New Roman"/>
                <w:b w:val="0"/>
                <w:i w:val="0"/>
                <w:color w:val="000000"/>
                <w:sz w:val="24"/>
              </w:rPr>
              <w:t>Gắn với hoạt động của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(4) Thông tin, dữ liệu về quyền và giao dịch quyền</w:t>
            </w:r>
          </w:p>
        </w:tc>
        <w:tc>
          <w:tcPr>
            <w:tcW w:type="dxa" w:w="1474"/>
          </w:tcPr>
          <w:p>
            <w:pPr>
              <w:spacing w:line="276" w:lineRule="auto"/>
              <w:jc w:val="left"/>
            </w:pPr>
            <w:r>
              <w:rPr>
                <w:rFonts w:ascii="Times New Roman" w:hAnsi="Times New Roman" w:eastAsia="Times New Roman" w:cs="Times New Roman"/>
                <w:b w:val="0"/>
                <w:i w:val="0"/>
                <w:color w:val="000000"/>
                <w:sz w:val="24"/>
              </w:rPr>
              <w:t>[28], [60]</w:t>
            </w:r>
          </w:p>
        </w:tc>
        <w:tc>
          <w:tcPr>
            <w:tcW w:type="dxa" w:w="3572"/>
          </w:tcPr>
          <w:p>
            <w:pPr>
              <w:spacing w:line="276" w:lineRule="auto"/>
              <w:jc w:val="left"/>
            </w:pPr>
            <w:r>
              <w:rPr>
                <w:rFonts w:ascii="Times New Roman" w:hAnsi="Times New Roman" w:eastAsia="Times New Roman" w:cs="Times New Roman"/>
                <w:b w:val="0"/>
                <w:i w:val="0"/>
                <w:color w:val="000000"/>
                <w:sz w:val="24"/>
              </w:rPr>
              <w:t>Xây dựng cơ sở dữ liệu thống nhất, công khai thông tin phục vụ tìm kiếm đối tác và định giá</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(5) Năng lực của tổ chức trung gian (chuyển giao, định giá, môi giới)</w:t>
            </w:r>
          </w:p>
        </w:tc>
        <w:tc>
          <w:tcPr>
            <w:tcW w:type="dxa" w:w="1474"/>
          </w:tcPr>
          <w:p>
            <w:pPr>
              <w:spacing w:line="276" w:lineRule="auto"/>
              <w:jc w:val="left"/>
            </w:pPr>
            <w:r>
              <w:rPr>
                <w:rFonts w:ascii="Times New Roman" w:hAnsi="Times New Roman" w:eastAsia="Times New Roman" w:cs="Times New Roman"/>
                <w:b w:val="0"/>
                <w:i w:val="0"/>
                <w:color w:val="000000"/>
                <w:sz w:val="24"/>
              </w:rPr>
              <w:t>[100], [102], [109]</w:t>
            </w:r>
          </w:p>
        </w:tc>
        <w:tc>
          <w:tcPr>
            <w:tcW w:type="dxa" w:w="3572"/>
          </w:tcPr>
          <w:p>
            <w:pPr>
              <w:spacing w:line="276" w:lineRule="auto"/>
              <w:jc w:val="left"/>
            </w:pPr>
            <w:r>
              <w:rPr>
                <w:rFonts w:ascii="Times New Roman" w:hAnsi="Times New Roman" w:eastAsia="Times New Roman" w:cs="Times New Roman"/>
                <w:b w:val="0"/>
                <w:i w:val="0"/>
                <w:color w:val="000000"/>
                <w:sz w:val="24"/>
              </w:rPr>
              <w:t>Hỗ trợ phát triển mạng lưới tổ chức trung gian và dịch vụ định giá</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(6) Hạ tầng tài chính cho quyền SHTT</w:t>
            </w:r>
          </w:p>
        </w:tc>
        <w:tc>
          <w:tcPr>
            <w:tcW w:type="dxa" w:w="1474"/>
          </w:tcPr>
          <w:p>
            <w:pPr>
              <w:spacing w:line="276" w:lineRule="auto"/>
              <w:jc w:val="left"/>
            </w:pPr>
            <w:r>
              <w:rPr>
                <w:rFonts w:ascii="Times New Roman" w:hAnsi="Times New Roman" w:eastAsia="Times New Roman" w:cs="Times New Roman"/>
                <w:b w:val="0"/>
                <w:i w:val="0"/>
                <w:color w:val="000000"/>
                <w:sz w:val="24"/>
              </w:rPr>
              <w:t>[31], [76], [78]</w:t>
            </w:r>
          </w:p>
        </w:tc>
        <w:tc>
          <w:tcPr>
            <w:tcW w:type="dxa" w:w="3572"/>
          </w:tcPr>
          <w:p>
            <w:pPr>
              <w:spacing w:line="276" w:lineRule="auto"/>
              <w:jc w:val="left"/>
            </w:pPr>
            <w:r>
              <w:rPr>
                <w:rFonts w:ascii="Times New Roman" w:hAnsi="Times New Roman" w:eastAsia="Times New Roman" w:cs="Times New Roman"/>
                <w:b w:val="0"/>
                <w:i w:val="0"/>
                <w:color w:val="000000"/>
                <w:sz w:val="24"/>
              </w:rPr>
              <w:t>Hoàn thiện quy định về tài sản bảo đảm, hạch toán tài sản trí tuệ và thị trường thứ cấp cho quyền</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(7) Đặc điểm của môi trường số</w:t>
            </w:r>
          </w:p>
        </w:tc>
        <w:tc>
          <w:tcPr>
            <w:tcW w:type="dxa" w:w="1474"/>
          </w:tcPr>
          <w:p>
            <w:pPr>
              <w:spacing w:line="276" w:lineRule="auto"/>
              <w:jc w:val="left"/>
            </w:pPr>
            <w:r>
              <w:rPr>
                <w:rFonts w:ascii="Times New Roman" w:hAnsi="Times New Roman" w:eastAsia="Times New Roman" w:cs="Times New Roman"/>
                <w:b w:val="0"/>
                <w:i w:val="0"/>
                <w:color w:val="000000"/>
                <w:sz w:val="24"/>
              </w:rPr>
              <w:t>[74], [108], [126]</w:t>
            </w:r>
          </w:p>
        </w:tc>
        <w:tc>
          <w:tcPr>
            <w:tcW w:type="dxa" w:w="3572"/>
          </w:tcPr>
          <w:p>
            <w:pPr>
              <w:spacing w:line="276" w:lineRule="auto"/>
              <w:jc w:val="left"/>
            </w:pPr>
            <w:r>
              <w:rPr>
                <w:rFonts w:ascii="Times New Roman" w:hAnsi="Times New Roman" w:eastAsia="Times New Roman" w:cs="Times New Roman"/>
                <w:b w:val="0"/>
                <w:i w:val="0"/>
                <w:color w:val="000000"/>
                <w:sz w:val="24"/>
              </w:rPr>
              <w:t>Điều chỉnh chính sách theo chi phí sao chép thấp, thời gian khai thác rút ngắn và xu hướng tập trung giá trị vào nền tảng</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(8) Nhận thức, năng lực quản trị và tài sản bổ trợ của chủ thể quyền</w:t>
            </w:r>
          </w:p>
        </w:tc>
        <w:tc>
          <w:tcPr>
            <w:tcW w:type="dxa" w:w="1474"/>
          </w:tcPr>
          <w:p>
            <w:pPr>
              <w:spacing w:line="276" w:lineRule="auto"/>
              <w:jc w:val="left"/>
            </w:pPr>
            <w:r>
              <w:rPr>
                <w:rFonts w:ascii="Times New Roman" w:hAnsi="Times New Roman" w:eastAsia="Times New Roman" w:cs="Times New Roman"/>
                <w:b w:val="0"/>
                <w:i w:val="0"/>
                <w:color w:val="000000"/>
                <w:sz w:val="24"/>
              </w:rPr>
              <w:t>[39], [71], [84]</w:t>
            </w:r>
          </w:p>
        </w:tc>
        <w:tc>
          <w:tcPr>
            <w:tcW w:type="dxa" w:w="3572"/>
          </w:tcPr>
          <w:p>
            <w:pPr>
              <w:spacing w:line="276" w:lineRule="auto"/>
              <w:jc w:val="left"/>
            </w:pPr>
            <w:r>
              <w:rPr>
                <w:rFonts w:ascii="Times New Roman" w:hAnsi="Times New Roman" w:eastAsia="Times New Roman" w:cs="Times New Roman"/>
                <w:b w:val="0"/>
                <w:i w:val="0"/>
                <w:color w:val="000000"/>
                <w:sz w:val="24"/>
              </w:rPr>
              <w:t>Gắn chính sách hỗ trợ với nâng cao năng lực quản trị tài sản trí tuệ, nhất là của doanh nghiệp nhỏ và vừa</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 bộ máy QLNN</w:t>
            </w:r>
          </w:p>
        </w:tc>
        <w:tc>
          <w:tcPr>
            <w:tcW w:type="dxa" w:w="2268"/>
          </w:tcPr>
          <w:p>
            <w:pPr>
              <w:spacing w:line="276" w:lineRule="auto"/>
              <w:jc w:val="left"/>
            </w:pPr>
            <w:r>
              <w:rPr>
                <w:rFonts w:ascii="Times New Roman" w:hAnsi="Times New Roman" w:eastAsia="Times New Roman" w:cs="Times New Roman"/>
                <w:b w:val="0"/>
                <w:i w:val="0"/>
                <w:color w:val="000000"/>
                <w:sz w:val="24"/>
              </w:rPr>
              <w:t>(9) Liên kết giữa doanh nghiệp với trường đại học, viện nghiên cứu</w:t>
            </w:r>
          </w:p>
        </w:tc>
        <w:tc>
          <w:tcPr>
            <w:tcW w:type="dxa" w:w="1474"/>
          </w:tcPr>
          <w:p>
            <w:pPr>
              <w:spacing w:line="276" w:lineRule="auto"/>
              <w:jc w:val="left"/>
            </w:pPr>
            <w:r>
              <w:rPr>
                <w:rFonts w:ascii="Times New Roman" w:hAnsi="Times New Roman" w:eastAsia="Times New Roman" w:cs="Times New Roman"/>
                <w:b w:val="0"/>
                <w:i w:val="0"/>
                <w:color w:val="000000"/>
                <w:sz w:val="24"/>
              </w:rPr>
              <w:t>[58], [83], [90]</w:t>
            </w:r>
          </w:p>
        </w:tc>
        <w:tc>
          <w:tcPr>
            <w:tcW w:type="dxa" w:w="3572"/>
          </w:tcPr>
          <w:p>
            <w:pPr>
              <w:spacing w:line="276" w:lineRule="auto"/>
              <w:jc w:val="left"/>
            </w:pPr>
            <w:r>
              <w:rPr>
                <w:rFonts w:ascii="Times New Roman" w:hAnsi="Times New Roman" w:eastAsia="Times New Roman" w:cs="Times New Roman"/>
                <w:b w:val="0"/>
                <w:i w:val="0"/>
                <w:color w:val="000000"/>
                <w:sz w:val="24"/>
              </w:rPr>
              <w:t>Hỗ trợ hình thành hệ sinh thái đổi mới sáng tạo và các kênh hợp tác chuyển giao</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Khi đối chiếu từng công trình đã tổng quan với chín yếu tố nêu trên (Bảng 1.3), có thể thấy các công trình nước ngoài tập trung nhiều hơn vào mức độ chắc chắn của quyền (1), năng lực tổ chức trung gian (5), hạ tầng tài chính (6) và đặc điểm của môi trường số (7). Trong khi đó, hai yếu tố gắn trực tiếp với hoạt động của bộ máy QLNN là thủ tục giao dịch quyền (2) và thông tin, dữ liệu về quyền (4) được đề cập trong ít công trình nhất, chủ yếu là công trình trong nước tiếp cận từ góc độ pháp luật hợp đồng hoặc khai thác thông tin sáng chế. Điều này cho thấy những yếu tố thuộc phạm vi tác động trực tiếp của cơ quan quản lý chưa được phân tích tương xứng với vai trò của chúng.</w:t>
      </w:r>
    </w:p>
    <w:p>
      <w:pPr>
        <w:pStyle w:val="Chuthichhinhbang"/>
        <w:keepNext/>
        <w:spacing w:before="120"/>
      </w:pPr>
      <w:r>
        <w:rPr>
          <w:rFonts w:ascii="Times New Roman" w:hAnsi="Times New Roman" w:eastAsia="Times New Roman" w:cs="Times New Roman"/>
          <w:b/>
          <w:i w:val="0"/>
          <w:color w:val="000000"/>
          <w:sz w:val="26"/>
        </w:rPr>
        <w:t>Bảng 1.3. Ma trận đối chiếu các công trình đã tổng quan với các yếu tố ảnh hưởng đến khai thác quyền SHTT</w:t>
      </w:r>
    </w:p>
    <w:tbl>
      <w:tblPr>
        <w:tblStyle w:val="TableGrid"/>
        <w:tblW w:type="auto" w:w="0"/>
        <w:jc w:val="center"/>
        <w:tblLayout w:type="fixed"/>
        <w:tblLook w:firstColumn="1" w:firstRow="1" w:lastColumn="0" w:lastRow="0" w:noHBand="0" w:noVBand="1" w:val="04A0"/>
      </w:tblPr>
      <w:tblGrid>
        <w:gridCol w:w="2665"/>
        <w:gridCol w:w="680"/>
        <w:gridCol w:w="680"/>
        <w:gridCol w:w="680"/>
        <w:gridCol w:w="680"/>
        <w:gridCol w:w="680"/>
        <w:gridCol w:w="680"/>
        <w:gridCol w:w="680"/>
        <w:gridCol w:w="680"/>
        <w:gridCol w:w="680"/>
      </w:tblGrid>
      <w:tr>
        <w:trPr>
          <w:tblHeader w:val="true"/>
        </w:trPr>
        <w:tc>
          <w:tcPr>
            <w:tcW w:type="dxa" w:w="2665"/>
          </w:tcPr>
          <w:p>
            <w:pPr>
              <w:spacing w:line="276" w:lineRule="auto"/>
              <w:jc w:val="center"/>
            </w:pPr>
            <w:r>
              <w:rPr>
                <w:rFonts w:ascii="Times New Roman" w:hAnsi="Times New Roman" w:eastAsia="Times New Roman" w:cs="Times New Roman"/>
                <w:b/>
                <w:i w:val="0"/>
                <w:color w:val="000000"/>
                <w:sz w:val="24"/>
              </w:rPr>
              <w:t>Công trình</w:t>
            </w:r>
          </w:p>
        </w:tc>
        <w:tc>
          <w:tcPr>
            <w:tcW w:type="dxa" w:w="680"/>
          </w:tcPr>
          <w:p>
            <w:pPr>
              <w:spacing w:line="276" w:lineRule="auto"/>
              <w:jc w:val="center"/>
            </w:pPr>
            <w:r>
              <w:rPr>
                <w:rFonts w:ascii="Times New Roman" w:hAnsi="Times New Roman" w:eastAsia="Times New Roman" w:cs="Times New Roman"/>
                <w:b/>
                <w:i w:val="0"/>
                <w:color w:val="000000"/>
                <w:sz w:val="24"/>
              </w:rPr>
              <w:t>(1)</w:t>
            </w:r>
          </w:p>
        </w:tc>
        <w:tc>
          <w:tcPr>
            <w:tcW w:type="dxa" w:w="680"/>
          </w:tcPr>
          <w:p>
            <w:pPr>
              <w:spacing w:line="276" w:lineRule="auto"/>
              <w:jc w:val="center"/>
            </w:pPr>
            <w:r>
              <w:rPr>
                <w:rFonts w:ascii="Times New Roman" w:hAnsi="Times New Roman" w:eastAsia="Times New Roman" w:cs="Times New Roman"/>
                <w:b/>
                <w:i w:val="0"/>
                <w:color w:val="000000"/>
                <w:sz w:val="24"/>
              </w:rPr>
              <w:t>(2)</w:t>
            </w:r>
          </w:p>
        </w:tc>
        <w:tc>
          <w:tcPr>
            <w:tcW w:type="dxa" w:w="680"/>
          </w:tcPr>
          <w:p>
            <w:pPr>
              <w:spacing w:line="276" w:lineRule="auto"/>
              <w:jc w:val="center"/>
            </w:pPr>
            <w:r>
              <w:rPr>
                <w:rFonts w:ascii="Times New Roman" w:hAnsi="Times New Roman" w:eastAsia="Times New Roman" w:cs="Times New Roman"/>
                <w:b/>
                <w:i w:val="0"/>
                <w:color w:val="000000"/>
                <w:sz w:val="24"/>
              </w:rPr>
              <w:t>(3)</w:t>
            </w:r>
          </w:p>
        </w:tc>
        <w:tc>
          <w:tcPr>
            <w:tcW w:type="dxa" w:w="680"/>
          </w:tcPr>
          <w:p>
            <w:pPr>
              <w:spacing w:line="276" w:lineRule="auto"/>
              <w:jc w:val="center"/>
            </w:pPr>
            <w:r>
              <w:rPr>
                <w:rFonts w:ascii="Times New Roman" w:hAnsi="Times New Roman" w:eastAsia="Times New Roman" w:cs="Times New Roman"/>
                <w:b/>
                <w:i w:val="0"/>
                <w:color w:val="000000"/>
                <w:sz w:val="24"/>
              </w:rPr>
              <w:t>(4)</w:t>
            </w:r>
          </w:p>
        </w:tc>
        <w:tc>
          <w:tcPr>
            <w:tcW w:type="dxa" w:w="680"/>
          </w:tcPr>
          <w:p>
            <w:pPr>
              <w:spacing w:line="276" w:lineRule="auto"/>
              <w:jc w:val="center"/>
            </w:pPr>
            <w:r>
              <w:rPr>
                <w:rFonts w:ascii="Times New Roman" w:hAnsi="Times New Roman" w:eastAsia="Times New Roman" w:cs="Times New Roman"/>
                <w:b/>
                <w:i w:val="0"/>
                <w:color w:val="000000"/>
                <w:sz w:val="24"/>
              </w:rPr>
              <w:t>(5)</w:t>
            </w:r>
          </w:p>
        </w:tc>
        <w:tc>
          <w:tcPr>
            <w:tcW w:type="dxa" w:w="680"/>
          </w:tcPr>
          <w:p>
            <w:pPr>
              <w:spacing w:line="276" w:lineRule="auto"/>
              <w:jc w:val="center"/>
            </w:pPr>
            <w:r>
              <w:rPr>
                <w:rFonts w:ascii="Times New Roman" w:hAnsi="Times New Roman" w:eastAsia="Times New Roman" w:cs="Times New Roman"/>
                <w:b/>
                <w:i w:val="0"/>
                <w:color w:val="000000"/>
                <w:sz w:val="24"/>
              </w:rPr>
              <w:t>(6)</w:t>
            </w:r>
          </w:p>
        </w:tc>
        <w:tc>
          <w:tcPr>
            <w:tcW w:type="dxa" w:w="680"/>
          </w:tcPr>
          <w:p>
            <w:pPr>
              <w:spacing w:line="276" w:lineRule="auto"/>
              <w:jc w:val="center"/>
            </w:pPr>
            <w:r>
              <w:rPr>
                <w:rFonts w:ascii="Times New Roman" w:hAnsi="Times New Roman" w:eastAsia="Times New Roman" w:cs="Times New Roman"/>
                <w:b/>
                <w:i w:val="0"/>
                <w:color w:val="000000"/>
                <w:sz w:val="24"/>
              </w:rPr>
              <w:t>(7)</w:t>
            </w:r>
          </w:p>
        </w:tc>
        <w:tc>
          <w:tcPr>
            <w:tcW w:type="dxa" w:w="680"/>
          </w:tcPr>
          <w:p>
            <w:pPr>
              <w:spacing w:line="276" w:lineRule="auto"/>
              <w:jc w:val="center"/>
            </w:pPr>
            <w:r>
              <w:rPr>
                <w:rFonts w:ascii="Times New Roman" w:hAnsi="Times New Roman" w:eastAsia="Times New Roman" w:cs="Times New Roman"/>
                <w:b/>
                <w:i w:val="0"/>
                <w:color w:val="000000"/>
                <w:sz w:val="24"/>
              </w:rPr>
              <w:t>(8)</w:t>
            </w:r>
          </w:p>
        </w:tc>
        <w:tc>
          <w:tcPr>
            <w:tcW w:type="dxa" w:w="680"/>
          </w:tcPr>
          <w:p>
            <w:pPr>
              <w:spacing w:line="276" w:lineRule="auto"/>
              <w:jc w:val="center"/>
            </w:pPr>
            <w:r>
              <w:rPr>
                <w:rFonts w:ascii="Times New Roman" w:hAnsi="Times New Roman" w:eastAsia="Times New Roman" w:cs="Times New Roman"/>
                <w:b/>
                <w:i w:val="0"/>
                <w:color w:val="000000"/>
                <w:sz w:val="24"/>
              </w:rPr>
              <w:t>(9)</w:t>
            </w:r>
          </w:p>
        </w:tc>
      </w:tr>
      <w:tr>
        <w:tc>
          <w:tcPr>
            <w:tcW w:type="dxa" w:w="2665"/>
          </w:tcPr>
          <w:p>
            <w:pPr>
              <w:spacing w:line="276" w:lineRule="auto"/>
              <w:jc w:val="left"/>
            </w:pPr>
            <w:r>
              <w:rPr>
                <w:rFonts w:ascii="Times New Roman" w:hAnsi="Times New Roman" w:eastAsia="Times New Roman" w:cs="Times New Roman"/>
                <w:b w:val="0"/>
                <w:i/>
                <w:color w:val="000000"/>
                <w:sz w:val="24"/>
              </w:rPr>
              <w:t>Công trình nước ngoài</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Teece (1986) [113]</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Shapiro và Varian (1999) [108]</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Arora, Fosfuri và Gambardella (2001) [50]</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Mowery và cộng sự (2001) [96]</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Goldfarb và Henrekson (2003) [73]</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r>
      <w:tr>
        <w:tc>
          <w:tcPr>
            <w:tcW w:type="dxa" w:w="2665"/>
          </w:tcPr>
          <w:p>
            <w:pPr>
              <w:spacing w:line="276" w:lineRule="auto"/>
              <w:jc w:val="left"/>
            </w:pPr>
            <w:r>
              <w:rPr>
                <w:rFonts w:ascii="Times New Roman" w:hAnsi="Times New Roman" w:eastAsia="Times New Roman" w:cs="Times New Roman"/>
                <w:b w:val="0"/>
                <w:i w:val="0"/>
                <w:color w:val="000000"/>
                <w:sz w:val="24"/>
              </w:rPr>
              <w:t>Chesbrough (2003) [58]</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r>
      <w:tr>
        <w:tc>
          <w:tcPr>
            <w:tcW w:type="dxa" w:w="2665"/>
          </w:tcPr>
          <w:p>
            <w:pPr>
              <w:spacing w:line="276" w:lineRule="auto"/>
              <w:jc w:val="left"/>
            </w:pPr>
            <w:r>
              <w:rPr>
                <w:rFonts w:ascii="Times New Roman" w:hAnsi="Times New Roman" w:eastAsia="Times New Roman" w:cs="Times New Roman"/>
                <w:b w:val="0"/>
                <w:i w:val="0"/>
                <w:color w:val="000000"/>
                <w:sz w:val="24"/>
              </w:rPr>
              <w:t>Gans và Stern (2003) [71]</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Siegel, Waldman và Link (2003) [109]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r>
      <w:tr>
        <w:tc>
          <w:tcPr>
            <w:tcW w:type="dxa" w:w="2665"/>
          </w:tcPr>
          <w:p>
            <w:pPr>
              <w:spacing w:line="276" w:lineRule="auto"/>
              <w:jc w:val="left"/>
            </w:pPr>
            <w:r>
              <w:rPr>
                <w:rFonts w:ascii="Times New Roman" w:hAnsi="Times New Roman" w:eastAsia="Times New Roman" w:cs="Times New Roman"/>
                <w:b w:val="0"/>
                <w:i w:val="0"/>
                <w:color w:val="000000"/>
                <w:sz w:val="24"/>
              </w:rPr>
              <w:t>Shane (2004) [107]</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Siegel, Veugelers và Wright (2007) [110]</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Gans, Hsu và Stern (2008) [72]</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OECD và Ngân hàng Thế giới (2014) [102]</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Haskel và Westlake (2018) [76]</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Hochberg, Serrano và Ziedonis (2018) [78]</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Mann (2018) [91]</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Holgersson và Aaboen (2019) [79]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Goldfarb và Tucker (2019) [74]</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Fasi (2022) [65]</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APEC (2023) [49]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Foster (2024) [69]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WIPO (2026) [126]</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Fu và cộng sự (2026) [70]</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Lee (2026) [85]</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color w:val="000000"/>
                <w:sz w:val="24"/>
              </w:rPr>
              <w:t>Công trình trong nước</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Nguyễn Hữu Cẩn (2017) [4]</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Nguyễn Hữu Xuyên (2018) [47]</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Hoàng Lan Phương (2019) [30]</w:t>
            </w: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Nguyễn Quốc Thịnh và cộng sự (2020) [39]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Phạm Thị Thúy Hằng (2021) [13]</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Phạm Hồng Quất và cộng sự (2021) [31]</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Le Thi Thu Ha và cộng sự (2022) [84]</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Le và Luong (2022) [83]</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r>
      <w:tr>
        <w:tc>
          <w:tcPr>
            <w:tcW w:type="dxa" w:w="2665"/>
          </w:tcPr>
          <w:p>
            <w:pPr>
              <w:spacing w:line="276" w:lineRule="auto"/>
              <w:jc w:val="left"/>
            </w:pPr>
            <w:r>
              <w:rPr>
                <w:rFonts w:ascii="Times New Roman" w:hAnsi="Times New Roman" w:eastAsia="Times New Roman" w:cs="Times New Roman"/>
                <w:b w:val="0"/>
                <w:i w:val="0"/>
                <w:color w:val="000000"/>
                <w:sz w:val="24"/>
              </w:rPr>
              <w:t>Tran Van Hai (2022) [116]</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Nguyen Huu Xuyen (2024) [100]</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Lâm Xuân Hùng (2025) [17]</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Lê Thị Thanh Tâm và Hoàng Thị Hải Yến (2025) [37]</w:t>
            </w: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Luu Hoang Long (2025a) [89]</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Luu Hoang Long (2025b) [90]</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r>
      <w:tr>
        <w:tc>
          <w:tcPr>
            <w:tcW w:type="dxa" w:w="2665"/>
          </w:tcPr>
          <w:p>
            <w:pPr>
              <w:spacing w:line="276" w:lineRule="auto"/>
              <w:jc w:val="left"/>
            </w:pPr>
            <w:r>
              <w:rPr>
                <w:rFonts w:ascii="Times New Roman" w:hAnsi="Times New Roman" w:eastAsia="Times New Roman" w:cs="Times New Roman"/>
                <w:b w:val="0"/>
                <w:i w:val="0"/>
                <w:color w:val="000000"/>
                <w:sz w:val="24"/>
              </w:rPr>
              <w:t>Phạm Ngọc Pha (2025) [28]</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Dang Thanh Dat (2026) [60]</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val="0"/>
                <w:i w:val="0"/>
                <w:color w:val="000000"/>
                <w:sz w:val="24"/>
              </w:rPr>
              <w:t>Nguyễn Thanh Tùng (2026) [45]</w:t>
            </w:r>
          </w:p>
        </w:tc>
        <w:tc>
          <w:tcPr>
            <w:tcW w:type="dxa" w:w="680"/>
          </w:tcPr>
          <w:p>
            <w:pPr>
              <w:spacing w:line="276" w:lineRule="auto"/>
              <w:jc w:val="center"/>
            </w:pPr>
          </w:p>
        </w:tc>
        <w:tc>
          <w:tcPr>
            <w:tcW w:type="dxa" w:w="680"/>
          </w:tcPr>
          <w:p>
            <w:pPr>
              <w:spacing w:line="276" w:lineRule="auto"/>
              <w:jc w:val="center"/>
            </w:pPr>
            <w:r>
              <w:rPr>
                <w:rFonts w:ascii="Times New Roman" w:hAnsi="Times New Roman" w:eastAsia="Times New Roman" w:cs="Times New Roman"/>
                <w:b w:val="0"/>
                <w:i w:val="0"/>
                <w:color w:val="000000"/>
                <w:sz w:val="24"/>
              </w:rPr>
              <w:t>x</w:t>
            </w: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c>
          <w:tcPr>
            <w:tcW w:type="dxa" w:w="680"/>
          </w:tcPr>
          <w:p>
            <w:pPr>
              <w:spacing w:line="276" w:lineRule="auto"/>
              <w:jc w:val="center"/>
            </w:pPr>
          </w:p>
        </w:tc>
      </w:tr>
      <w:tr>
        <w:tc>
          <w:tcPr>
            <w:tcW w:type="dxa" w:w="2665"/>
          </w:tcPr>
          <w:p>
            <w:pPr>
              <w:spacing w:line="276" w:lineRule="auto"/>
              <w:jc w:val="left"/>
            </w:pPr>
            <w:r>
              <w:rPr>
                <w:rFonts w:ascii="Times New Roman" w:hAnsi="Times New Roman" w:eastAsia="Times New Roman" w:cs="Times New Roman"/>
                <w:b/>
                <w:i w:val="0"/>
                <w:color w:val="000000"/>
                <w:sz w:val="24"/>
              </w:rPr>
              <w:t>Tổng số công trình</w:t>
            </w:r>
          </w:p>
        </w:tc>
        <w:tc>
          <w:tcPr>
            <w:tcW w:type="dxa" w:w="680"/>
          </w:tcPr>
          <w:p>
            <w:pPr>
              <w:spacing w:line="276" w:lineRule="auto"/>
              <w:jc w:val="center"/>
            </w:pPr>
            <w:r>
              <w:rPr>
                <w:rFonts w:ascii="Times New Roman" w:hAnsi="Times New Roman" w:eastAsia="Times New Roman" w:cs="Times New Roman"/>
                <w:b/>
                <w:i w:val="0"/>
                <w:color w:val="000000"/>
                <w:sz w:val="24"/>
              </w:rPr>
              <w:t>6</w:t>
            </w:r>
          </w:p>
        </w:tc>
        <w:tc>
          <w:tcPr>
            <w:tcW w:type="dxa" w:w="680"/>
          </w:tcPr>
          <w:p>
            <w:pPr>
              <w:spacing w:line="276" w:lineRule="auto"/>
              <w:jc w:val="center"/>
            </w:pPr>
            <w:r>
              <w:rPr>
                <w:rFonts w:ascii="Times New Roman" w:hAnsi="Times New Roman" w:eastAsia="Times New Roman" w:cs="Times New Roman"/>
                <w:b/>
                <w:i w:val="0"/>
                <w:color w:val="000000"/>
                <w:sz w:val="24"/>
              </w:rPr>
              <w:t>3</w:t>
            </w:r>
          </w:p>
        </w:tc>
        <w:tc>
          <w:tcPr>
            <w:tcW w:type="dxa" w:w="680"/>
          </w:tcPr>
          <w:p>
            <w:pPr>
              <w:spacing w:line="276" w:lineRule="auto"/>
              <w:jc w:val="center"/>
            </w:pPr>
            <w:r>
              <w:rPr>
                <w:rFonts w:ascii="Times New Roman" w:hAnsi="Times New Roman" w:eastAsia="Times New Roman" w:cs="Times New Roman"/>
                <w:b/>
                <w:i w:val="0"/>
                <w:color w:val="000000"/>
                <w:sz w:val="24"/>
              </w:rPr>
              <w:t>6</w:t>
            </w:r>
          </w:p>
        </w:tc>
        <w:tc>
          <w:tcPr>
            <w:tcW w:type="dxa" w:w="680"/>
          </w:tcPr>
          <w:p>
            <w:pPr>
              <w:spacing w:line="276" w:lineRule="auto"/>
              <w:jc w:val="center"/>
            </w:pPr>
            <w:r>
              <w:rPr>
                <w:rFonts w:ascii="Times New Roman" w:hAnsi="Times New Roman" w:eastAsia="Times New Roman" w:cs="Times New Roman"/>
                <w:b/>
                <w:i w:val="0"/>
                <w:color w:val="000000"/>
                <w:sz w:val="24"/>
              </w:rPr>
              <w:t>4</w:t>
            </w:r>
          </w:p>
        </w:tc>
        <w:tc>
          <w:tcPr>
            <w:tcW w:type="dxa" w:w="680"/>
          </w:tcPr>
          <w:p>
            <w:pPr>
              <w:spacing w:line="276" w:lineRule="auto"/>
              <w:jc w:val="center"/>
            </w:pPr>
            <w:r>
              <w:rPr>
                <w:rFonts w:ascii="Times New Roman" w:hAnsi="Times New Roman" w:eastAsia="Times New Roman" w:cs="Times New Roman"/>
                <w:b/>
                <w:i w:val="0"/>
                <w:color w:val="000000"/>
                <w:sz w:val="24"/>
              </w:rPr>
              <w:t>7</w:t>
            </w:r>
          </w:p>
        </w:tc>
        <w:tc>
          <w:tcPr>
            <w:tcW w:type="dxa" w:w="680"/>
          </w:tcPr>
          <w:p>
            <w:pPr>
              <w:spacing w:line="276" w:lineRule="auto"/>
              <w:jc w:val="center"/>
            </w:pPr>
            <w:r>
              <w:rPr>
                <w:rFonts w:ascii="Times New Roman" w:hAnsi="Times New Roman" w:eastAsia="Times New Roman" w:cs="Times New Roman"/>
                <w:b/>
                <w:i w:val="0"/>
                <w:color w:val="000000"/>
                <w:sz w:val="24"/>
              </w:rPr>
              <w:t>7</w:t>
            </w:r>
          </w:p>
        </w:tc>
        <w:tc>
          <w:tcPr>
            <w:tcW w:type="dxa" w:w="680"/>
          </w:tcPr>
          <w:p>
            <w:pPr>
              <w:spacing w:line="276" w:lineRule="auto"/>
              <w:jc w:val="center"/>
            </w:pPr>
            <w:r>
              <w:rPr>
                <w:rFonts w:ascii="Times New Roman" w:hAnsi="Times New Roman" w:eastAsia="Times New Roman" w:cs="Times New Roman"/>
                <w:b/>
                <w:i w:val="0"/>
                <w:color w:val="000000"/>
                <w:sz w:val="24"/>
              </w:rPr>
              <w:t>7</w:t>
            </w:r>
          </w:p>
        </w:tc>
        <w:tc>
          <w:tcPr>
            <w:tcW w:type="dxa" w:w="680"/>
          </w:tcPr>
          <w:p>
            <w:pPr>
              <w:spacing w:line="276" w:lineRule="auto"/>
              <w:jc w:val="center"/>
            </w:pPr>
            <w:r>
              <w:rPr>
                <w:rFonts w:ascii="Times New Roman" w:hAnsi="Times New Roman" w:eastAsia="Times New Roman" w:cs="Times New Roman"/>
                <w:b/>
                <w:i w:val="0"/>
                <w:color w:val="000000"/>
                <w:sz w:val="24"/>
              </w:rPr>
              <w:t>7</w:t>
            </w:r>
          </w:p>
        </w:tc>
        <w:tc>
          <w:tcPr>
            <w:tcW w:type="dxa" w:w="680"/>
          </w:tcPr>
          <w:p>
            <w:pPr>
              <w:spacing w:line="276" w:lineRule="auto"/>
              <w:jc w:val="center"/>
            </w:pPr>
            <w:r>
              <w:rPr>
                <w:rFonts w:ascii="Times New Roman" w:hAnsi="Times New Roman" w:eastAsia="Times New Roman" w:cs="Times New Roman"/>
                <w:b/>
                <w:i w:val="0"/>
                <w:color w:val="000000"/>
                <w:sz w:val="24"/>
              </w:rPr>
              <w:t>5</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 (1)-(9) là các yếu tố theo thứ tự tại Bảng 1.2</w:t>
      </w:r>
    </w:p>
    <w:p>
      <w:pPr>
        <w:pStyle w:val="Heading3"/>
      </w:pPr>
      <w:r>
        <w:rPr>
          <w:rFonts w:ascii="Times New Roman" w:hAnsi="Times New Roman" w:eastAsia="Times New Roman" w:cs="Times New Roman"/>
          <w:b/>
          <w:i w:val="0"/>
          <w:color w:val="000000"/>
          <w:sz w:val="26"/>
        </w:rPr>
        <w:t>1.2.3. Những vấn đề còn tranh luận, chưa rõ trong nghiên cứu hoặc chưa được tiếp cận nghiên cứu vấn đề liên quan đến đề tài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nhất, vấn đề còn tranh luận là mức độ can thiệp phù hợp của Nhà nước. Một hướng quan điểm nhấn mạnh vai trò của thị trường và cho rằng Nhà nước chủ yếu cần xác định rõ quyền và giảm chi phí giao dịch [50]; hướng quan điểm khác cho rằng Nhà nước cần chủ động kiến tạo thị trường và chấp nhận rủi ro [94]. Kinh nghiệm của Đạo luật Bayh-Dole cũng cho thấy tác động của việc trao quyền sở hữu kết quả nghiên cứu cho tổ chức chủ trì còn được đánh giá khác nhau [96], [107], trong khi các nghiên cứu trong nước đề xuất áp dụng mô hình này [17]. So sánh của Goldfarb và Henrekson (2003) gợi ý rằng phương thức can thiệp, từ trên xuống hay tạo động lực từ dưới lên, cũng quan trọng như mức độ can thiệp [73]; trường hợp công nghiệp nội dung Hàn Quốc được UNCTAD (2024) dẫn chứng như một mô hình Nhà nước kiến tạo trong lĩnh vực số [120].</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vấn đề chưa rõ là nội dung và tiêu chí đánh giá QLNN đối với khai thác quyền SHTT. Các công trình về QLNN đối với SHTT thường gộp khai thác chung với xác lập và bảo vệ quyền; các công trình về khai thác lại tiếp cận từ phía doanh nghiệp, tổ chức nghiên cứu hoặc từ góc độ pháp luật hợp đồng. Vì vậy, khái niệm, đặc điểm, nội dung, tiêu chí đánh giá và các yếu tố ảnh hưởng đến QLNN đối với khai thác quyền SHTT trong nền kinh tế số chưa được hệ thống hóa.</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vấn đề chưa được tiếp cận đầy đủ là đánh giá thực trạng QLNN đối với khai thác quyền SHTT ở phạm vi quốc gia dựa trên kết hợp dữ liệu thứ cấp, khảo sát các nhóm chủ thể (doanh nghiệp và chủ sở hữu quyền, cơ quan quản lý, tổ chức trung gian, nhà khoa học) và ý kiến chuyên gia. Các nghiên cứu hiện có chủ yếu giới hạn ở khu vực đại học, một ngành hoặc một địa phương, và mỗi công trình thường chỉ thu thập ý kiến của một hoặc hai nhóm chủ thể (Bảng 1.4).</w:t>
      </w:r>
    </w:p>
    <w:p>
      <w:pPr>
        <w:pStyle w:val="Chuthichhinhbang"/>
        <w:keepNext/>
        <w:spacing w:before="120"/>
      </w:pPr>
      <w:r>
        <w:rPr>
          <w:rFonts w:ascii="Times New Roman" w:hAnsi="Times New Roman" w:eastAsia="Times New Roman" w:cs="Times New Roman"/>
          <w:b/>
          <w:i w:val="0"/>
          <w:color w:val="000000"/>
          <w:sz w:val="26"/>
        </w:rPr>
        <w:t>Bảng 1.4. Chủ thể khảo sát, mẫu và phương pháp phân tích của các công trình thực nghiệm trong nước về khai thác quyền SHTT</w:t>
      </w:r>
    </w:p>
    <w:tbl>
      <w:tblPr>
        <w:tblStyle w:val="TableGrid"/>
        <w:tblW w:type="auto" w:w="0"/>
        <w:jc w:val="center"/>
        <w:tblLayout w:type="fixed"/>
        <w:tblLook w:firstColumn="1" w:firstRow="1" w:lastColumn="0" w:lastRow="0" w:noHBand="0" w:noVBand="1" w:val="04A0"/>
      </w:tblPr>
      <w:tblGrid>
        <w:gridCol w:w="1757"/>
        <w:gridCol w:w="1587"/>
        <w:gridCol w:w="2154"/>
        <w:gridCol w:w="1531"/>
        <w:gridCol w:w="1757"/>
      </w:tblGrid>
      <w:tr>
        <w:trPr>
          <w:tblHeader w:val="true"/>
        </w:trPr>
        <w:tc>
          <w:tcPr>
            <w:tcW w:type="dxa" w:w="1757"/>
          </w:tcPr>
          <w:p>
            <w:pPr>
              <w:spacing w:line="276" w:lineRule="auto"/>
              <w:jc w:val="center"/>
            </w:pPr>
            <w:r>
              <w:rPr>
                <w:rFonts w:ascii="Times New Roman" w:hAnsi="Times New Roman" w:eastAsia="Times New Roman" w:cs="Times New Roman"/>
                <w:b/>
                <w:i w:val="0"/>
                <w:color w:val="000000"/>
                <w:sz w:val="24"/>
              </w:rPr>
              <w:t>Công trình</w:t>
            </w:r>
          </w:p>
        </w:tc>
        <w:tc>
          <w:tcPr>
            <w:tcW w:type="dxa" w:w="1587"/>
          </w:tcPr>
          <w:p>
            <w:pPr>
              <w:spacing w:line="276" w:lineRule="auto"/>
              <w:jc w:val="center"/>
            </w:pPr>
            <w:r>
              <w:rPr>
                <w:rFonts w:ascii="Times New Roman" w:hAnsi="Times New Roman" w:eastAsia="Times New Roman" w:cs="Times New Roman"/>
                <w:b/>
                <w:i w:val="0"/>
                <w:color w:val="000000"/>
                <w:sz w:val="24"/>
              </w:rPr>
              <w:t>Chủ thể khảo sát</w:t>
            </w:r>
          </w:p>
        </w:tc>
        <w:tc>
          <w:tcPr>
            <w:tcW w:type="dxa" w:w="2154"/>
          </w:tcPr>
          <w:p>
            <w:pPr>
              <w:spacing w:line="276" w:lineRule="auto"/>
              <w:jc w:val="center"/>
            </w:pPr>
            <w:r>
              <w:rPr>
                <w:rFonts w:ascii="Times New Roman" w:hAnsi="Times New Roman" w:eastAsia="Times New Roman" w:cs="Times New Roman"/>
                <w:b/>
                <w:i w:val="0"/>
                <w:color w:val="000000"/>
                <w:sz w:val="24"/>
              </w:rPr>
              <w:t>Mẫu và cách chọn mẫu</w:t>
            </w:r>
          </w:p>
        </w:tc>
        <w:tc>
          <w:tcPr>
            <w:tcW w:type="dxa" w:w="1531"/>
          </w:tcPr>
          <w:p>
            <w:pPr>
              <w:spacing w:line="276" w:lineRule="auto"/>
              <w:jc w:val="center"/>
            </w:pPr>
            <w:r>
              <w:rPr>
                <w:rFonts w:ascii="Times New Roman" w:hAnsi="Times New Roman" w:eastAsia="Times New Roman" w:cs="Times New Roman"/>
                <w:b/>
                <w:i w:val="0"/>
                <w:color w:val="000000"/>
                <w:sz w:val="24"/>
              </w:rPr>
              <w:t>Phương pháp phân tích</w:t>
            </w:r>
          </w:p>
        </w:tc>
        <w:tc>
          <w:tcPr>
            <w:tcW w:type="dxa" w:w="1757"/>
          </w:tcPr>
          <w:p>
            <w:pPr>
              <w:spacing w:line="276" w:lineRule="auto"/>
              <w:jc w:val="center"/>
            </w:pPr>
            <w:r>
              <w:rPr>
                <w:rFonts w:ascii="Times New Roman" w:hAnsi="Times New Roman" w:eastAsia="Times New Roman" w:cs="Times New Roman"/>
                <w:b/>
                <w:i w:val="0"/>
                <w:color w:val="000000"/>
                <w:sz w:val="24"/>
              </w:rPr>
              <w:t>Giới hạn đối với việc đánh giá QLNN</w:t>
            </w:r>
          </w:p>
        </w:tc>
      </w:tr>
      <w:tr>
        <w:tc>
          <w:tcPr>
            <w:tcW w:type="dxa" w:w="1757"/>
          </w:tcPr>
          <w:p>
            <w:pPr>
              <w:spacing w:line="276" w:lineRule="auto"/>
              <w:jc w:val="left"/>
            </w:pPr>
            <w:r>
              <w:rPr>
                <w:rFonts w:ascii="Times New Roman" w:hAnsi="Times New Roman" w:eastAsia="Times New Roman" w:cs="Times New Roman"/>
                <w:b w:val="0"/>
                <w:i w:val="0"/>
                <w:color w:val="000000"/>
                <w:sz w:val="24"/>
              </w:rPr>
              <w:t>Nguyễn Hữu Cẩn (2017) [4]</w:t>
            </w:r>
          </w:p>
        </w:tc>
        <w:tc>
          <w:tcPr>
            <w:tcW w:type="dxa" w:w="1587"/>
          </w:tcPr>
          <w:p>
            <w:pPr>
              <w:spacing w:line="276" w:lineRule="auto"/>
              <w:jc w:val="left"/>
            </w:pPr>
            <w:r>
              <w:rPr>
                <w:rFonts w:ascii="Times New Roman" w:hAnsi="Times New Roman" w:eastAsia="Times New Roman" w:cs="Times New Roman"/>
                <w:b w:val="0"/>
                <w:i w:val="0"/>
                <w:color w:val="000000"/>
                <w:sz w:val="24"/>
              </w:rPr>
              <w:t>Doanh nghiệp là chủ đơn đăng ký sáng chế, kiểu dáng công nghiệp, nhãn hiệu giai đoạn 2011-2015</w:t>
            </w:r>
          </w:p>
        </w:tc>
        <w:tc>
          <w:tcPr>
            <w:tcW w:type="dxa" w:w="2154"/>
          </w:tcPr>
          <w:p>
            <w:pPr>
              <w:spacing w:line="276" w:lineRule="auto"/>
              <w:jc w:val="left"/>
            </w:pPr>
            <w:r>
              <w:rPr>
                <w:rFonts w:ascii="Times New Roman" w:hAnsi="Times New Roman" w:eastAsia="Times New Roman" w:cs="Times New Roman"/>
                <w:b w:val="0"/>
                <w:i w:val="0"/>
                <w:color w:val="000000"/>
                <w:sz w:val="24"/>
              </w:rPr>
              <w:t>201 doanh nghiệp có công bố thông tin tài chính; 87,5% ở Bắc Bộ và Nam Bộ</w:t>
            </w:r>
          </w:p>
        </w:tc>
        <w:tc>
          <w:tcPr>
            <w:tcW w:type="dxa" w:w="1531"/>
          </w:tcPr>
          <w:p>
            <w:pPr>
              <w:spacing w:line="276" w:lineRule="auto"/>
              <w:jc w:val="left"/>
            </w:pPr>
            <w:r>
              <w:rPr>
                <w:rFonts w:ascii="Times New Roman" w:hAnsi="Times New Roman" w:eastAsia="Times New Roman" w:cs="Times New Roman"/>
                <w:b w:val="0"/>
                <w:i w:val="0"/>
                <w:color w:val="000000"/>
                <w:sz w:val="24"/>
              </w:rPr>
              <w:t>Bảng hỏi, phỏng vấn sâu; thống kê tỷ lệ</w:t>
            </w:r>
          </w:p>
        </w:tc>
        <w:tc>
          <w:tcPr>
            <w:tcW w:type="dxa" w:w="1757"/>
          </w:tcPr>
          <w:p>
            <w:pPr>
              <w:spacing w:line="276" w:lineRule="auto"/>
              <w:jc w:val="left"/>
            </w:pPr>
            <w:r>
              <w:rPr>
                <w:rFonts w:ascii="Times New Roman" w:hAnsi="Times New Roman" w:eastAsia="Times New Roman" w:cs="Times New Roman"/>
                <w:b w:val="0"/>
                <w:i w:val="0"/>
                <w:color w:val="000000"/>
                <w:sz w:val="24"/>
              </w:rPr>
              <w:t>Chỉ gồm doanh nghiệp có quy mô và mức độ minh bạch tương đối cao</w:t>
            </w:r>
          </w:p>
        </w:tc>
      </w:tr>
      <w:tr>
        <w:tc>
          <w:tcPr>
            <w:tcW w:type="dxa" w:w="1757"/>
          </w:tcPr>
          <w:p>
            <w:pPr>
              <w:spacing w:line="276" w:lineRule="auto"/>
              <w:jc w:val="left"/>
            </w:pPr>
            <w:r>
              <w:rPr>
                <w:rFonts w:ascii="Times New Roman" w:hAnsi="Times New Roman" w:eastAsia="Times New Roman" w:cs="Times New Roman"/>
                <w:b w:val="0"/>
                <w:i w:val="0"/>
                <w:color w:val="000000"/>
                <w:sz w:val="24"/>
              </w:rPr>
              <w:t>Nguyễn Quốc Thịnh và cộng sự (2020) [39]</w:t>
            </w:r>
          </w:p>
        </w:tc>
        <w:tc>
          <w:tcPr>
            <w:tcW w:type="dxa" w:w="1587"/>
          </w:tcPr>
          <w:p>
            <w:pPr>
              <w:spacing w:line="276" w:lineRule="auto"/>
              <w:jc w:val="left"/>
            </w:pPr>
            <w:r>
              <w:rPr>
                <w:rFonts w:ascii="Times New Roman" w:hAnsi="Times New Roman" w:eastAsia="Times New Roman" w:cs="Times New Roman"/>
                <w:b w:val="0"/>
                <w:i w:val="0"/>
                <w:color w:val="000000"/>
                <w:sz w:val="24"/>
              </w:rPr>
              <w:t>Lãnh đạo doanh nghiệp nhỏ và vừa</w:t>
            </w:r>
          </w:p>
        </w:tc>
        <w:tc>
          <w:tcPr>
            <w:tcW w:type="dxa" w:w="2154"/>
          </w:tcPr>
          <w:p>
            <w:pPr>
              <w:spacing w:line="276" w:lineRule="auto"/>
              <w:jc w:val="left"/>
            </w:pPr>
            <w:r>
              <w:rPr>
                <w:rFonts w:ascii="Times New Roman" w:hAnsi="Times New Roman" w:eastAsia="Times New Roman" w:cs="Times New Roman"/>
                <w:b w:val="0"/>
                <w:i w:val="0"/>
                <w:color w:val="000000"/>
                <w:sz w:val="24"/>
              </w:rPr>
              <w:t>125 doanh nghiệp tại năm địa phương; người trả lời là học viên lớp bồi dưỡng về quản trị tài sản thương hiệu</w:t>
            </w:r>
          </w:p>
        </w:tc>
        <w:tc>
          <w:tcPr>
            <w:tcW w:type="dxa" w:w="1531"/>
          </w:tcPr>
          <w:p>
            <w:pPr>
              <w:spacing w:line="276" w:lineRule="auto"/>
              <w:jc w:val="left"/>
            </w:pPr>
            <w:r>
              <w:rPr>
                <w:rFonts w:ascii="Times New Roman" w:hAnsi="Times New Roman" w:eastAsia="Times New Roman" w:cs="Times New Roman"/>
                <w:b w:val="0"/>
                <w:i w:val="0"/>
                <w:color w:val="000000"/>
                <w:sz w:val="24"/>
              </w:rPr>
              <w:t>Phỏng vấn, phiếu trắc nghiệm; thống kê tần suất</w:t>
            </w:r>
          </w:p>
        </w:tc>
        <w:tc>
          <w:tcPr>
            <w:tcW w:type="dxa" w:w="1757"/>
          </w:tcPr>
          <w:p>
            <w:pPr>
              <w:spacing w:line="276" w:lineRule="auto"/>
              <w:jc w:val="left"/>
            </w:pPr>
            <w:r>
              <w:rPr>
                <w:rFonts w:ascii="Times New Roman" w:hAnsi="Times New Roman" w:eastAsia="Times New Roman" w:cs="Times New Roman"/>
                <w:b w:val="0"/>
                <w:i w:val="0"/>
                <w:color w:val="000000"/>
                <w:sz w:val="24"/>
              </w:rPr>
              <w:t>Mẫu phi xác suất, có ý nghĩa mô tả</w:t>
            </w:r>
          </w:p>
        </w:tc>
      </w:tr>
      <w:tr>
        <w:tc>
          <w:tcPr>
            <w:tcW w:type="dxa" w:w="1757"/>
          </w:tcPr>
          <w:p>
            <w:pPr>
              <w:spacing w:line="276" w:lineRule="auto"/>
              <w:jc w:val="left"/>
            </w:pPr>
            <w:r>
              <w:rPr>
                <w:rFonts w:ascii="Times New Roman" w:hAnsi="Times New Roman" w:eastAsia="Times New Roman" w:cs="Times New Roman"/>
                <w:b w:val="0"/>
                <w:i w:val="0"/>
                <w:color w:val="000000"/>
                <w:sz w:val="24"/>
              </w:rPr>
              <w:t>Phạm Thị Thúy Hằng (2021) [13]</w:t>
            </w:r>
          </w:p>
        </w:tc>
        <w:tc>
          <w:tcPr>
            <w:tcW w:type="dxa" w:w="1587"/>
          </w:tcPr>
          <w:p>
            <w:pPr>
              <w:spacing w:line="276" w:lineRule="auto"/>
              <w:jc w:val="left"/>
            </w:pPr>
            <w:r>
              <w:rPr>
                <w:rFonts w:ascii="Times New Roman" w:hAnsi="Times New Roman" w:eastAsia="Times New Roman" w:cs="Times New Roman"/>
                <w:b w:val="0"/>
                <w:i w:val="0"/>
                <w:color w:val="000000"/>
                <w:sz w:val="24"/>
              </w:rPr>
              <w:t>Cán bộ quản lý, giảng viên, chuyên viên ở trường đại học</w:t>
            </w:r>
          </w:p>
        </w:tc>
        <w:tc>
          <w:tcPr>
            <w:tcW w:type="dxa" w:w="2154"/>
          </w:tcPr>
          <w:p>
            <w:pPr>
              <w:spacing w:line="276" w:lineRule="auto"/>
              <w:jc w:val="left"/>
            </w:pPr>
            <w:r>
              <w:rPr>
                <w:rFonts w:ascii="Times New Roman" w:hAnsi="Times New Roman" w:eastAsia="Times New Roman" w:cs="Times New Roman"/>
                <w:b w:val="0"/>
                <w:i w:val="0"/>
                <w:color w:val="000000"/>
                <w:sz w:val="24"/>
              </w:rPr>
              <w:t>712 người tại Đại học Huế, Trường Đại học Quy Nhơn, Trường Đại học Tây Nguyên; phỏng vấn 70 người</w:t>
            </w:r>
          </w:p>
        </w:tc>
        <w:tc>
          <w:tcPr>
            <w:tcW w:type="dxa" w:w="1531"/>
          </w:tcPr>
          <w:p>
            <w:pPr>
              <w:spacing w:line="276" w:lineRule="auto"/>
              <w:jc w:val="left"/>
            </w:pPr>
            <w:r>
              <w:rPr>
                <w:rFonts w:ascii="Times New Roman" w:hAnsi="Times New Roman" w:eastAsia="Times New Roman" w:cs="Times New Roman"/>
                <w:b w:val="0"/>
                <w:i w:val="0"/>
                <w:color w:val="000000"/>
                <w:sz w:val="24"/>
              </w:rPr>
              <w:t>Bảng hỏi, phỏng vấn, thực nghiệm; Cronbach's Alpha, điểm trung bình, độ lệch chuẩn</w:t>
            </w:r>
          </w:p>
        </w:tc>
        <w:tc>
          <w:tcPr>
            <w:tcW w:type="dxa" w:w="1757"/>
          </w:tcPr>
          <w:p>
            <w:pPr>
              <w:spacing w:line="276" w:lineRule="auto"/>
              <w:jc w:val="left"/>
            </w:pPr>
            <w:r>
              <w:rPr>
                <w:rFonts w:ascii="Times New Roman" w:hAnsi="Times New Roman" w:eastAsia="Times New Roman" w:cs="Times New Roman"/>
                <w:b w:val="0"/>
                <w:i w:val="0"/>
                <w:color w:val="000000"/>
                <w:sz w:val="24"/>
              </w:rPr>
              <w:t>Quản lý cấp trường; không khảo sát cơ quan QLNN, doanh nghiệp</w:t>
            </w:r>
          </w:p>
        </w:tc>
      </w:tr>
      <w:tr>
        <w:tc>
          <w:tcPr>
            <w:tcW w:type="dxa" w:w="1757"/>
          </w:tcPr>
          <w:p>
            <w:pPr>
              <w:spacing w:line="276" w:lineRule="auto"/>
              <w:jc w:val="left"/>
            </w:pPr>
            <w:r>
              <w:rPr>
                <w:rFonts w:ascii="Times New Roman" w:hAnsi="Times New Roman" w:eastAsia="Times New Roman" w:cs="Times New Roman"/>
                <w:b w:val="0"/>
                <w:i w:val="0"/>
                <w:color w:val="000000"/>
                <w:sz w:val="24"/>
              </w:rPr>
              <w:t>Le Thi Thu Ha và cộng sự (2022) [84]</w:t>
            </w:r>
          </w:p>
        </w:tc>
        <w:tc>
          <w:tcPr>
            <w:tcW w:type="dxa" w:w="1587"/>
          </w:tcPr>
          <w:p>
            <w:pPr>
              <w:spacing w:line="276" w:lineRule="auto"/>
              <w:jc w:val="left"/>
            </w:pPr>
            <w:r>
              <w:rPr>
                <w:rFonts w:ascii="Times New Roman" w:hAnsi="Times New Roman" w:eastAsia="Times New Roman" w:cs="Times New Roman"/>
                <w:b w:val="0"/>
                <w:i w:val="0"/>
                <w:color w:val="000000"/>
                <w:sz w:val="24"/>
              </w:rPr>
              <w:t>Doanh nghiệp ngành công nghệ thông tin và truyền thông</w:t>
            </w:r>
          </w:p>
        </w:tc>
        <w:tc>
          <w:tcPr>
            <w:tcW w:type="dxa" w:w="2154"/>
          </w:tcPr>
          <w:p>
            <w:pPr>
              <w:spacing w:line="276" w:lineRule="auto"/>
              <w:jc w:val="left"/>
            </w:pPr>
            <w:r>
              <w:rPr>
                <w:rFonts w:ascii="Times New Roman" w:hAnsi="Times New Roman" w:eastAsia="Times New Roman" w:cs="Times New Roman"/>
                <w:b w:val="0"/>
                <w:i w:val="0"/>
                <w:color w:val="000000"/>
                <w:sz w:val="24"/>
              </w:rPr>
              <w:t>122 phiếu hợp lệ</w:t>
            </w:r>
          </w:p>
        </w:tc>
        <w:tc>
          <w:tcPr>
            <w:tcW w:type="dxa" w:w="1531"/>
          </w:tcPr>
          <w:p>
            <w:pPr>
              <w:spacing w:line="276" w:lineRule="auto"/>
              <w:jc w:val="left"/>
            </w:pPr>
            <w:r>
              <w:rPr>
                <w:rFonts w:ascii="Times New Roman" w:hAnsi="Times New Roman" w:eastAsia="Times New Roman" w:cs="Times New Roman"/>
                <w:b w:val="0"/>
                <w:i w:val="0"/>
                <w:color w:val="000000"/>
                <w:sz w:val="24"/>
              </w:rPr>
              <w:t>Thang Likert 5 mức; Cronbach's Alpha, phân tích nhân tố khám phá, mô hình cấu trúc tuyến tính</w:t>
            </w:r>
          </w:p>
        </w:tc>
        <w:tc>
          <w:tcPr>
            <w:tcW w:type="dxa" w:w="1757"/>
          </w:tcPr>
          <w:p>
            <w:pPr>
              <w:spacing w:line="276" w:lineRule="auto"/>
              <w:jc w:val="left"/>
            </w:pPr>
            <w:r>
              <w:rPr>
                <w:rFonts w:ascii="Times New Roman" w:hAnsi="Times New Roman" w:eastAsia="Times New Roman" w:cs="Times New Roman"/>
                <w:b w:val="0"/>
                <w:i w:val="0"/>
                <w:color w:val="000000"/>
                <w:sz w:val="24"/>
              </w:rPr>
              <w:t>Một ngành; chỉ phản ánh đánh giá của doanh nghiệp</w:t>
            </w:r>
          </w:p>
        </w:tc>
      </w:tr>
      <w:tr>
        <w:tc>
          <w:tcPr>
            <w:tcW w:type="dxa" w:w="1757"/>
          </w:tcPr>
          <w:p>
            <w:pPr>
              <w:spacing w:line="276" w:lineRule="auto"/>
              <w:jc w:val="left"/>
            </w:pPr>
            <w:r>
              <w:rPr>
                <w:rFonts w:ascii="Times New Roman" w:hAnsi="Times New Roman" w:eastAsia="Times New Roman" w:cs="Times New Roman"/>
                <w:b w:val="0"/>
                <w:i w:val="0"/>
                <w:color w:val="000000"/>
                <w:sz w:val="24"/>
              </w:rPr>
              <w:t>Le và Luong (2022) [83]</w:t>
            </w:r>
          </w:p>
        </w:tc>
        <w:tc>
          <w:tcPr>
            <w:tcW w:type="dxa" w:w="1587"/>
          </w:tcPr>
          <w:p>
            <w:pPr>
              <w:spacing w:line="276" w:lineRule="auto"/>
              <w:jc w:val="left"/>
            </w:pPr>
            <w:r>
              <w:rPr>
                <w:rFonts w:ascii="Times New Roman" w:hAnsi="Times New Roman" w:eastAsia="Times New Roman" w:cs="Times New Roman"/>
                <w:b w:val="0"/>
                <w:i w:val="0"/>
                <w:color w:val="000000"/>
                <w:sz w:val="24"/>
              </w:rPr>
              <w:t>Giám đốc doanh nghiệp nhỏ và vừa</w:t>
            </w:r>
          </w:p>
        </w:tc>
        <w:tc>
          <w:tcPr>
            <w:tcW w:type="dxa" w:w="2154"/>
          </w:tcPr>
          <w:p>
            <w:pPr>
              <w:spacing w:line="276" w:lineRule="auto"/>
              <w:jc w:val="left"/>
            </w:pPr>
            <w:r>
              <w:rPr>
                <w:rFonts w:ascii="Times New Roman" w:hAnsi="Times New Roman" w:eastAsia="Times New Roman" w:cs="Times New Roman"/>
                <w:b w:val="0"/>
                <w:i w:val="0"/>
                <w:color w:val="000000"/>
                <w:sz w:val="24"/>
              </w:rPr>
              <w:t>6 doanh nghiệp ở miền Bắc</w:t>
            </w:r>
          </w:p>
        </w:tc>
        <w:tc>
          <w:tcPr>
            <w:tcW w:type="dxa" w:w="1531"/>
          </w:tcPr>
          <w:p>
            <w:pPr>
              <w:spacing w:line="276" w:lineRule="auto"/>
              <w:jc w:val="left"/>
            </w:pPr>
            <w:r>
              <w:rPr>
                <w:rFonts w:ascii="Times New Roman" w:hAnsi="Times New Roman" w:eastAsia="Times New Roman" w:cs="Times New Roman"/>
                <w:b w:val="0"/>
                <w:i w:val="0"/>
                <w:color w:val="000000"/>
                <w:sz w:val="24"/>
              </w:rPr>
              <w:t>Phỏng vấn sâu, nghiên cứu tình huống</w:t>
            </w:r>
          </w:p>
        </w:tc>
        <w:tc>
          <w:tcPr>
            <w:tcW w:type="dxa" w:w="1757"/>
          </w:tcPr>
          <w:p>
            <w:pPr>
              <w:spacing w:line="276" w:lineRule="auto"/>
              <w:jc w:val="left"/>
            </w:pPr>
            <w:r>
              <w:rPr>
                <w:rFonts w:ascii="Times New Roman" w:hAnsi="Times New Roman" w:eastAsia="Times New Roman" w:cs="Times New Roman"/>
                <w:b w:val="0"/>
                <w:i w:val="0"/>
                <w:color w:val="000000"/>
                <w:sz w:val="24"/>
              </w:rPr>
              <w:t>Mẫu nhỏ, do chính các tác giả nêu</w:t>
            </w:r>
          </w:p>
        </w:tc>
      </w:tr>
      <w:tr>
        <w:tc>
          <w:tcPr>
            <w:tcW w:type="dxa" w:w="1757"/>
          </w:tcPr>
          <w:p>
            <w:pPr>
              <w:spacing w:line="276" w:lineRule="auto"/>
              <w:jc w:val="left"/>
            </w:pPr>
            <w:r>
              <w:rPr>
                <w:rFonts w:ascii="Times New Roman" w:hAnsi="Times New Roman" w:eastAsia="Times New Roman" w:cs="Times New Roman"/>
                <w:b w:val="0"/>
                <w:i w:val="0"/>
                <w:color w:val="000000"/>
                <w:sz w:val="24"/>
              </w:rPr>
              <w:t>Long Tran Viet và Hai Phan Thanh (2023) [87]</w:t>
            </w:r>
          </w:p>
        </w:tc>
        <w:tc>
          <w:tcPr>
            <w:tcW w:type="dxa" w:w="1587"/>
          </w:tcPr>
          <w:p>
            <w:pPr>
              <w:spacing w:line="276" w:lineRule="auto"/>
              <w:jc w:val="left"/>
            </w:pPr>
            <w:r>
              <w:rPr>
                <w:rFonts w:ascii="Times New Roman" w:hAnsi="Times New Roman" w:eastAsia="Times New Roman" w:cs="Times New Roman"/>
                <w:b w:val="0"/>
                <w:i w:val="0"/>
                <w:color w:val="000000"/>
                <w:sz w:val="24"/>
              </w:rPr>
              <w:t>Hộ kinh doanh cá thể tại ba tỉnh miền Trung</w:t>
            </w:r>
          </w:p>
        </w:tc>
        <w:tc>
          <w:tcPr>
            <w:tcW w:type="dxa" w:w="2154"/>
          </w:tcPr>
          <w:p>
            <w:pPr>
              <w:spacing w:line="276" w:lineRule="auto"/>
              <w:jc w:val="left"/>
            </w:pPr>
            <w:r>
              <w:rPr>
                <w:rFonts w:ascii="Times New Roman" w:hAnsi="Times New Roman" w:eastAsia="Times New Roman" w:cs="Times New Roman"/>
                <w:b w:val="0"/>
                <w:i w:val="0"/>
                <w:color w:val="000000"/>
                <w:sz w:val="24"/>
              </w:rPr>
              <w:t>296 phiếu hợp lệ, chọn thuận tiện từ danh sách do chính quyền địa phương giới thiệu</w:t>
            </w:r>
          </w:p>
        </w:tc>
        <w:tc>
          <w:tcPr>
            <w:tcW w:type="dxa" w:w="1531"/>
          </w:tcPr>
          <w:p>
            <w:pPr>
              <w:spacing w:line="276" w:lineRule="auto"/>
              <w:jc w:val="left"/>
            </w:pPr>
            <w:r>
              <w:rPr>
                <w:rFonts w:ascii="Times New Roman" w:hAnsi="Times New Roman" w:eastAsia="Times New Roman" w:cs="Times New Roman"/>
                <w:b w:val="0"/>
                <w:i w:val="0"/>
                <w:color w:val="000000"/>
                <w:sz w:val="24"/>
              </w:rPr>
              <w:t>Mô hình cấu trúc tuyến tính</w:t>
            </w:r>
          </w:p>
        </w:tc>
        <w:tc>
          <w:tcPr>
            <w:tcW w:type="dxa" w:w="1757"/>
          </w:tcPr>
          <w:p>
            <w:pPr>
              <w:spacing w:line="276" w:lineRule="auto"/>
              <w:jc w:val="left"/>
            </w:pPr>
            <w:r>
              <w:rPr>
                <w:rFonts w:ascii="Times New Roman" w:hAnsi="Times New Roman" w:eastAsia="Times New Roman" w:cs="Times New Roman"/>
                <w:b w:val="0"/>
                <w:i w:val="0"/>
                <w:color w:val="000000"/>
                <w:sz w:val="24"/>
              </w:rPr>
              <w:t>Một nhóm chủ thể, gắn với phát triển du lịch</w:t>
            </w:r>
          </w:p>
        </w:tc>
      </w:tr>
      <w:tr>
        <w:tc>
          <w:tcPr>
            <w:tcW w:type="dxa" w:w="1757"/>
          </w:tcPr>
          <w:p>
            <w:pPr>
              <w:spacing w:line="276" w:lineRule="auto"/>
              <w:jc w:val="left"/>
            </w:pPr>
            <w:r>
              <w:rPr>
                <w:rFonts w:ascii="Times New Roman" w:hAnsi="Times New Roman" w:eastAsia="Times New Roman" w:cs="Times New Roman"/>
                <w:b w:val="0"/>
                <w:i w:val="0"/>
                <w:color w:val="000000"/>
                <w:sz w:val="24"/>
              </w:rPr>
              <w:t>Nguyen Huu Xuyen (2024) [100]</w:t>
            </w:r>
          </w:p>
        </w:tc>
        <w:tc>
          <w:tcPr>
            <w:tcW w:type="dxa" w:w="1587"/>
          </w:tcPr>
          <w:p>
            <w:pPr>
              <w:spacing w:line="276" w:lineRule="auto"/>
              <w:jc w:val="left"/>
            </w:pPr>
            <w:r>
              <w:rPr>
                <w:rFonts w:ascii="Times New Roman" w:hAnsi="Times New Roman" w:eastAsia="Times New Roman" w:cs="Times New Roman"/>
                <w:b w:val="0"/>
                <w:i w:val="0"/>
                <w:color w:val="000000"/>
                <w:sz w:val="24"/>
              </w:rPr>
              <w:t>Chuyên gia, doanh nhân, nhà quản lý doanh nghiệp</w:t>
            </w:r>
          </w:p>
        </w:tc>
        <w:tc>
          <w:tcPr>
            <w:tcW w:type="dxa" w:w="2154"/>
          </w:tcPr>
          <w:p>
            <w:pPr>
              <w:spacing w:line="276" w:lineRule="auto"/>
              <w:jc w:val="left"/>
            </w:pPr>
            <w:r>
              <w:rPr>
                <w:rFonts w:ascii="Times New Roman" w:hAnsi="Times New Roman" w:eastAsia="Times New Roman" w:cs="Times New Roman"/>
                <w:b w:val="0"/>
                <w:i w:val="0"/>
                <w:color w:val="000000"/>
                <w:sz w:val="24"/>
              </w:rPr>
              <w:t>109 doanh nghiệp, chọn thuận tiện</w:t>
            </w:r>
          </w:p>
        </w:tc>
        <w:tc>
          <w:tcPr>
            <w:tcW w:type="dxa" w:w="1531"/>
          </w:tcPr>
          <w:p>
            <w:pPr>
              <w:spacing w:line="276" w:lineRule="auto"/>
              <w:jc w:val="left"/>
            </w:pPr>
            <w:r>
              <w:rPr>
                <w:rFonts w:ascii="Times New Roman" w:hAnsi="Times New Roman" w:eastAsia="Times New Roman" w:cs="Times New Roman"/>
                <w:b w:val="0"/>
                <w:i w:val="0"/>
                <w:color w:val="000000"/>
                <w:sz w:val="24"/>
              </w:rPr>
              <w:t>Điểm trung bình, độ lệch chuẩn</w:t>
            </w:r>
          </w:p>
        </w:tc>
        <w:tc>
          <w:tcPr>
            <w:tcW w:type="dxa" w:w="1757"/>
          </w:tcPr>
          <w:p>
            <w:pPr>
              <w:spacing w:line="276" w:lineRule="auto"/>
              <w:jc w:val="left"/>
            </w:pPr>
            <w:r>
              <w:rPr>
                <w:rFonts w:ascii="Times New Roman" w:hAnsi="Times New Roman" w:eastAsia="Times New Roman" w:cs="Times New Roman"/>
                <w:b w:val="0"/>
                <w:i w:val="0"/>
                <w:color w:val="000000"/>
                <w:sz w:val="24"/>
              </w:rPr>
              <w:t>Chỉ phản ánh đánh giá của doanh nghiệp</w:t>
            </w:r>
          </w:p>
        </w:tc>
      </w:tr>
      <w:tr>
        <w:tc>
          <w:tcPr>
            <w:tcW w:type="dxa" w:w="1757"/>
          </w:tcPr>
          <w:p>
            <w:pPr>
              <w:spacing w:line="276" w:lineRule="auto"/>
              <w:jc w:val="left"/>
            </w:pPr>
            <w:r>
              <w:rPr>
                <w:rFonts w:ascii="Times New Roman" w:hAnsi="Times New Roman" w:eastAsia="Times New Roman" w:cs="Times New Roman"/>
                <w:b w:val="0"/>
                <w:i w:val="0"/>
                <w:color w:val="000000"/>
                <w:sz w:val="24"/>
              </w:rPr>
              <w:t>Luu Hoang Long (2025a) [89]</w:t>
            </w:r>
          </w:p>
        </w:tc>
        <w:tc>
          <w:tcPr>
            <w:tcW w:type="dxa" w:w="1587"/>
          </w:tcPr>
          <w:p>
            <w:pPr>
              <w:spacing w:line="276" w:lineRule="auto"/>
              <w:jc w:val="left"/>
            </w:pPr>
            <w:r>
              <w:rPr>
                <w:rFonts w:ascii="Times New Roman" w:hAnsi="Times New Roman" w:eastAsia="Times New Roman" w:cs="Times New Roman"/>
                <w:b w:val="0"/>
                <w:i w:val="0"/>
                <w:color w:val="000000"/>
                <w:sz w:val="24"/>
              </w:rPr>
              <w:t>Cơ sở giáo dục đại học; lãnh đạo đơn vị, tác giả sáng chế</w:t>
            </w:r>
          </w:p>
        </w:tc>
        <w:tc>
          <w:tcPr>
            <w:tcW w:type="dxa" w:w="2154"/>
          </w:tcPr>
          <w:p>
            <w:pPr>
              <w:spacing w:line="276" w:lineRule="auto"/>
              <w:jc w:val="left"/>
            </w:pPr>
            <w:r>
              <w:rPr>
                <w:rFonts w:ascii="Times New Roman" w:hAnsi="Times New Roman" w:eastAsia="Times New Roman" w:cs="Times New Roman"/>
                <w:b w:val="0"/>
                <w:i w:val="0"/>
                <w:color w:val="000000"/>
                <w:sz w:val="24"/>
              </w:rPr>
              <w:t>Đại học Quốc gia Hà Nội và 44 cơ sở giáo dục đại học ở ba miền; số liệu 2019-2023</w:t>
            </w:r>
          </w:p>
        </w:tc>
        <w:tc>
          <w:tcPr>
            <w:tcW w:type="dxa" w:w="1531"/>
          </w:tcPr>
          <w:p>
            <w:pPr>
              <w:spacing w:line="276" w:lineRule="auto"/>
              <w:jc w:val="left"/>
            </w:pPr>
            <w:r>
              <w:rPr>
                <w:rFonts w:ascii="Times New Roman" w:hAnsi="Times New Roman" w:eastAsia="Times New Roman" w:cs="Times New Roman"/>
                <w:b w:val="0"/>
                <w:i w:val="0"/>
                <w:color w:val="000000"/>
                <w:sz w:val="24"/>
              </w:rPr>
              <w:t>Bảng hỏi, phỏng vấn sâu; thống kê mô tả</w:t>
            </w:r>
          </w:p>
        </w:tc>
        <w:tc>
          <w:tcPr>
            <w:tcW w:type="dxa" w:w="1757"/>
          </w:tcPr>
          <w:p>
            <w:pPr>
              <w:spacing w:line="276" w:lineRule="auto"/>
              <w:jc w:val="left"/>
            </w:pPr>
            <w:r>
              <w:rPr>
                <w:rFonts w:ascii="Times New Roman" w:hAnsi="Times New Roman" w:eastAsia="Times New Roman" w:cs="Times New Roman"/>
                <w:b w:val="0"/>
                <w:i w:val="0"/>
                <w:color w:val="000000"/>
                <w:sz w:val="24"/>
              </w:rPr>
              <w:t>Chỉ khu vực đại học</w:t>
            </w:r>
          </w:p>
        </w:tc>
      </w:tr>
      <w:tr>
        <w:tc>
          <w:tcPr>
            <w:tcW w:type="dxa" w:w="1757"/>
          </w:tcPr>
          <w:p>
            <w:pPr>
              <w:spacing w:line="276" w:lineRule="auto"/>
              <w:jc w:val="left"/>
            </w:pPr>
            <w:r>
              <w:rPr>
                <w:rFonts w:ascii="Times New Roman" w:hAnsi="Times New Roman" w:eastAsia="Times New Roman" w:cs="Times New Roman"/>
                <w:b w:val="0"/>
                <w:i w:val="0"/>
                <w:color w:val="000000"/>
                <w:sz w:val="24"/>
              </w:rPr>
              <w:t>Luu Hoang Long (2025b) [90]</w:t>
            </w:r>
          </w:p>
        </w:tc>
        <w:tc>
          <w:tcPr>
            <w:tcW w:type="dxa" w:w="1587"/>
          </w:tcPr>
          <w:p>
            <w:pPr>
              <w:spacing w:line="276" w:lineRule="auto"/>
              <w:jc w:val="left"/>
            </w:pPr>
            <w:r>
              <w:rPr>
                <w:rFonts w:ascii="Times New Roman" w:hAnsi="Times New Roman" w:eastAsia="Times New Roman" w:cs="Times New Roman"/>
                <w:b w:val="0"/>
                <w:i w:val="0"/>
                <w:color w:val="000000"/>
                <w:sz w:val="24"/>
              </w:rPr>
              <w:t>Trường đại học, viện nghiên cứu</w:t>
            </w:r>
          </w:p>
        </w:tc>
        <w:tc>
          <w:tcPr>
            <w:tcW w:type="dxa" w:w="2154"/>
          </w:tcPr>
          <w:p>
            <w:pPr>
              <w:spacing w:line="276" w:lineRule="auto"/>
              <w:jc w:val="left"/>
            </w:pPr>
            <w:r>
              <w:rPr>
                <w:rFonts w:ascii="Times New Roman" w:hAnsi="Times New Roman" w:eastAsia="Times New Roman" w:cs="Times New Roman"/>
                <w:b w:val="0"/>
                <w:i w:val="0"/>
                <w:color w:val="000000"/>
                <w:sz w:val="24"/>
              </w:rPr>
              <w:t>11 trường đại học và 3 viện nghiên cứu thuộc Đại học Quốc gia Hà Nội; số liệu 2019-2023</w:t>
            </w:r>
          </w:p>
        </w:tc>
        <w:tc>
          <w:tcPr>
            <w:tcW w:type="dxa" w:w="1531"/>
          </w:tcPr>
          <w:p>
            <w:pPr>
              <w:spacing w:line="276" w:lineRule="auto"/>
              <w:jc w:val="left"/>
            </w:pPr>
            <w:r>
              <w:rPr>
                <w:rFonts w:ascii="Times New Roman" w:hAnsi="Times New Roman" w:eastAsia="Times New Roman" w:cs="Times New Roman"/>
                <w:b w:val="0"/>
                <w:i w:val="0"/>
                <w:color w:val="000000"/>
                <w:sz w:val="24"/>
              </w:rPr>
              <w:t>Bảng hỏi; thống kê mô tả</w:t>
            </w:r>
          </w:p>
        </w:tc>
        <w:tc>
          <w:tcPr>
            <w:tcW w:type="dxa" w:w="1757"/>
          </w:tcPr>
          <w:p>
            <w:pPr>
              <w:spacing w:line="276" w:lineRule="auto"/>
              <w:jc w:val="left"/>
            </w:pPr>
            <w:r>
              <w:rPr>
                <w:rFonts w:ascii="Times New Roman" w:hAnsi="Times New Roman" w:eastAsia="Times New Roman" w:cs="Times New Roman"/>
                <w:b w:val="0"/>
                <w:i w:val="0"/>
                <w:color w:val="000000"/>
                <w:sz w:val="24"/>
              </w:rPr>
              <w:t>Một đại học quốc gia</w:t>
            </w:r>
          </w:p>
        </w:tc>
      </w:tr>
      <w:tr>
        <w:tc>
          <w:tcPr>
            <w:tcW w:type="dxa" w:w="1757"/>
          </w:tcPr>
          <w:p>
            <w:pPr>
              <w:spacing w:line="276" w:lineRule="auto"/>
              <w:jc w:val="left"/>
            </w:pPr>
            <w:r>
              <w:rPr>
                <w:rFonts w:ascii="Times New Roman" w:hAnsi="Times New Roman" w:eastAsia="Times New Roman" w:cs="Times New Roman"/>
                <w:b w:val="0"/>
                <w:i w:val="0"/>
                <w:color w:val="000000"/>
                <w:sz w:val="24"/>
              </w:rPr>
              <w:t>Nguyễn Văn Đông (2025) [8]</w:t>
            </w:r>
          </w:p>
        </w:tc>
        <w:tc>
          <w:tcPr>
            <w:tcW w:type="dxa" w:w="1587"/>
          </w:tcPr>
          <w:p>
            <w:pPr>
              <w:spacing w:line="276" w:lineRule="auto"/>
              <w:jc w:val="left"/>
            </w:pPr>
            <w:r>
              <w:rPr>
                <w:rFonts w:ascii="Times New Roman" w:hAnsi="Times New Roman" w:eastAsia="Times New Roman" w:cs="Times New Roman"/>
                <w:b w:val="0"/>
                <w:i w:val="0"/>
                <w:color w:val="000000"/>
                <w:sz w:val="24"/>
              </w:rPr>
              <w:t>Hộ được cấp quyền sử dụng địa danh; khách hàng; chuyên gia</w:t>
            </w:r>
          </w:p>
        </w:tc>
        <w:tc>
          <w:tcPr>
            <w:tcW w:type="dxa" w:w="2154"/>
          </w:tcPr>
          <w:p>
            <w:pPr>
              <w:spacing w:line="276" w:lineRule="auto"/>
              <w:jc w:val="left"/>
            </w:pPr>
            <w:r>
              <w:rPr>
                <w:rFonts w:ascii="Times New Roman" w:hAnsi="Times New Roman" w:eastAsia="Times New Roman" w:cs="Times New Roman"/>
                <w:b w:val="0"/>
                <w:i w:val="0"/>
                <w:color w:val="000000"/>
                <w:sz w:val="24"/>
              </w:rPr>
              <w:t>197 trong số 390 hộ, chọn ngẫu nhiên; 300 khách hàng, chọn có chủ đích; 8 chuyên gia</w:t>
            </w:r>
          </w:p>
        </w:tc>
        <w:tc>
          <w:tcPr>
            <w:tcW w:type="dxa" w:w="1531"/>
          </w:tcPr>
          <w:p>
            <w:pPr>
              <w:spacing w:line="276" w:lineRule="auto"/>
              <w:jc w:val="left"/>
            </w:pPr>
            <w:r>
              <w:rPr>
                <w:rFonts w:ascii="Times New Roman" w:hAnsi="Times New Roman" w:eastAsia="Times New Roman" w:cs="Times New Roman"/>
                <w:b w:val="0"/>
                <w:i w:val="0"/>
                <w:color w:val="000000"/>
                <w:sz w:val="24"/>
              </w:rPr>
              <w:t>Kết hợp định tính và định lượng; PLS-SEM</w:t>
            </w:r>
          </w:p>
        </w:tc>
        <w:tc>
          <w:tcPr>
            <w:tcW w:type="dxa" w:w="1757"/>
          </w:tcPr>
          <w:p>
            <w:pPr>
              <w:spacing w:line="276" w:lineRule="auto"/>
              <w:jc w:val="left"/>
            </w:pPr>
            <w:r>
              <w:rPr>
                <w:rFonts w:ascii="Times New Roman" w:hAnsi="Times New Roman" w:eastAsia="Times New Roman" w:cs="Times New Roman"/>
                <w:b w:val="0"/>
                <w:i w:val="0"/>
                <w:color w:val="000000"/>
                <w:sz w:val="24"/>
              </w:rPr>
              <w:t>Một tỉnh, sản phẩm mang tên địa danh</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tư, những thay đổi thể chế giai đoạn 2025-2026, gồm Luật Khoa học, công nghệ và đổi mới sáng tạo, Luật Sở hữu trí tuệ sửa đổi với Điều 8a về quản lý, khai thác quyền SHTT, Kết luận số 51-KL/TW và Quyết định số 1624/QĐ-TTg [2], [32], [33], [42], chưa được các công trình trước đây phân tích; khoảng cách giữa điều kiện quản lý hiện hữu và các yêu cầu mới về thị trường, định giá, tài chính hóa quyền SHTT vì vậy chưa được làm rõ.</w:t>
      </w:r>
    </w:p>
    <w:p>
      <w:pPr>
        <w:pStyle w:val="Heading2"/>
      </w:pPr>
      <w:r>
        <w:rPr>
          <w:rFonts w:ascii="Times New Roman" w:hAnsi="Times New Roman" w:eastAsia="Times New Roman" w:cs="Times New Roman"/>
          <w:b/>
          <w:i w:val="0"/>
          <w:color w:val="000000"/>
          <w:sz w:val="26"/>
        </w:rPr>
        <w:t>1.3. Những vấn đề đặt ra cần tiếp tục nghiên cứu của đề tài luận án. Câu hỏi nghiên cứu và giả thuyết nghiên cứu</w:t>
      </w:r>
    </w:p>
    <w:p>
      <w:pPr>
        <w:pStyle w:val="Heading3"/>
      </w:pPr>
      <w:r>
        <w:rPr>
          <w:rFonts w:ascii="Times New Roman" w:hAnsi="Times New Roman" w:eastAsia="Times New Roman" w:cs="Times New Roman"/>
          <w:b/>
          <w:i w:val="0"/>
          <w:color w:val="000000"/>
          <w:sz w:val="26"/>
        </w:rPr>
        <w:t>1.3.1. Những vấn đề đặt ra cần tiếp tục nghiên cứu của đề tài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lý luận, luận án cần làm rõ khái niệm khai thác quyền SHTT và QLNN đối với khai thác quyền SHTT trong nền kinh tế số; xác định đặc điểm, vai trò, nội dung, tiêu chí đánh giá và các yếu tố ảnh hưởng; xây dựng khung phân tích trên cơ sở vận dụng lý thuyết quyền tài sản, lý thuyết thất bại thị trường và chi phí giao dịch, lý thuyết thể chế, lý thuyết quản lý công mới và quản trị thời đại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thực trạng, luận án cần phân tích, đánh giá thực trạng khai thác quyền SHTT và QLNN đối với khai thác quyền SHTT trong nền kinh tế số ở Việt Nam giai đoạn 2019-2025 theo bốn nội dung quản lý và năm tiêu chí đánh giá; kết hợp dữ liệu thứ cấp với khảo sát các nhóm chủ thể và phỏng vấn chuyên gia; chỉ ra kết quả, hạn chế, nguyên nhân; đối chiếu hiện trạng với các yêu cầu mới từ những thay đổi thể chế năm 2025-2026.</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giải pháp, luận án cần đề xuất định hướng và hệ thống giải pháp hoàn thiện QLNN về quyền SHTT trong nền kinh tế số theo hướng thúc đẩy khai thác quyền SHTT đến năm 2030, tầm nhìn đến năm 2045, tập trung vào thể chế, chính sách; tổ chức, quản lý; nâng cao năng lực; và các điều kiện vật chất như hạ tầng dữ liệu, nền tảng giao dịch, nguồn lực tài chính.</w:t>
      </w:r>
    </w:p>
    <w:p>
      <w:pPr>
        <w:pStyle w:val="Heading3"/>
      </w:pPr>
      <w:r>
        <w:rPr>
          <w:rFonts w:ascii="Times New Roman" w:hAnsi="Times New Roman" w:eastAsia="Times New Roman" w:cs="Times New Roman"/>
          <w:b/>
          <w:i w:val="0"/>
          <w:color w:val="000000"/>
          <w:sz w:val="26"/>
        </w:rPr>
        <w:t>1.3.2. Câu hỏi nghiên cứu và giả thuyết nghiên cứu</w:t>
      </w:r>
    </w:p>
    <w:p>
      <w:pPr>
        <w:pStyle w:val="Heading4"/>
      </w:pPr>
      <w:r>
        <w:rPr>
          <w:rFonts w:ascii="Times New Roman" w:hAnsi="Times New Roman" w:eastAsia="Times New Roman" w:cs="Times New Roman"/>
          <w:b/>
          <w:i/>
          <w:color w:val="000000"/>
          <w:sz w:val="26"/>
        </w:rPr>
        <w:t>1.3.2.1. Câu hỏi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1: QLNN đối với khai thác quyền SHTT trong nền kinh tế số gồm những nội dung nào, được đánh giá theo những tiêu chí nào và chịu ảnh hưởng của những yếu tố nào?</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2: Thực trạng QLNN đối với khai thác quyền SHTT trong nền kinh tế số ở Việt Nam giai đoạn 2019-2025 như thế nào; đạt được kết quả gì, còn hạn chế gì và do những nguyên nhân nào?</w:t>
      </w:r>
    </w:p>
    <w:p>
      <w:pPr>
        <w:keepNext w:val="0"/>
        <w:spacing w:before="0" w:after="0" w:line="360" w:lineRule="auto"/>
        <w:ind w:firstLine="720"/>
        <w:jc w:val="both"/>
      </w:pPr>
      <w:r>
        <w:rPr>
          <w:rFonts w:ascii="Times New Roman" w:hAnsi="Times New Roman" w:eastAsia="Times New Roman" w:cs="Times New Roman"/>
          <w:b w:val="0"/>
          <w:i w:val="0"/>
          <w:color w:val="000000"/>
          <w:sz w:val="26"/>
        </w:rPr>
        <w:t>Câu hỏi 3: Cần những định hướng và giải pháp nào để hoàn thiện QLNN về quyền SHTT trong nền kinh tế số ở Việt Nam theo hướng thúc đẩy khai thác quyền SHTT đến năm 2030, tầm nhìn đến năm 2045?</w:t>
      </w:r>
    </w:p>
    <w:p>
      <w:pPr>
        <w:pStyle w:val="Heading4"/>
      </w:pPr>
      <w:r>
        <w:rPr>
          <w:rFonts w:ascii="Times New Roman" w:hAnsi="Times New Roman" w:eastAsia="Times New Roman" w:cs="Times New Roman"/>
          <w:b/>
          <w:i/>
          <w:color w:val="000000"/>
          <w:sz w:val="26"/>
        </w:rPr>
        <w:t>1.3.2.2. Giả thuyết nghiên cứu</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1: QLNN đối với khai thác quyền SHTT trong nền kinh tế số là một bộ phận của QLNN về quyền SHTT, có nội dung riêng gồm hoạch định chiến lược, chính sách, pháp luật; tổ chức bộ máy và phối hợp liên ngành; hỗ trợ khai thác và phát triển thị trường quyền SHTT; kiểm tra, giám sát; và có thể được đánh giá theo năm tiêu chí: hiệu lực, hiệu quả, phù hợp và khả năng thích ứng, đồng bộ, minh bạch.</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2: QLNN về quyền SHTT ở Việt Nam giai đoạn 2019-2025 còn tập trung chủ yếu vào xác lập và bảo vệ quyền; các quy định về định giá, góp vốn, tài sản bảo đảm và phân chia lợi ích chưa đồng bộ, thị trường quyền SHTT và dịch vụ trung gian chưa phát triển, phối hợp liên ngành và dữ liệu theo dõi giao dịch còn hạn chế, dẫn đến kết quả khai thác quyền SHTT chưa tương xứng với số lượng quyền được xác lập.</w:t>
      </w:r>
    </w:p>
    <w:p>
      <w:pPr>
        <w:keepNext w:val="0"/>
        <w:spacing w:before="0" w:after="0" w:line="360" w:lineRule="auto"/>
        <w:ind w:firstLine="720"/>
        <w:jc w:val="both"/>
      </w:pPr>
      <w:r>
        <w:rPr>
          <w:rFonts w:ascii="Times New Roman" w:hAnsi="Times New Roman" w:eastAsia="Times New Roman" w:cs="Times New Roman"/>
          <w:b w:val="0"/>
          <w:i w:val="0"/>
          <w:color w:val="000000"/>
          <w:sz w:val="26"/>
        </w:rPr>
        <w:t>Giả thuyết 3: Nếu Nhà nước hoàn thiện thể chế giao dịch quyền SHTT, phát triển thị trường và hạ tầng hỗ trợ khai thác trên nền tảng số, đồng thời nâng cao năng lực của cơ quan quản lý, tổ chức trung gian và chủ thể quyền, thì hoạt động khai thác quyền SHTT trong nền kinh tế số sẽ được thúc đẩy.</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giả thuyết được kiểm chứng thông qua phân tích lý luận, phân tích dữ liệu thứ cấp, kết quả khảo sát các nhóm chủ thể và ý kiến chuyên gia.</w:t>
      </w:r>
    </w:p>
    <w:p>
      <w:pPr>
        <w:pStyle w:val="Heading1"/>
        <w:pageBreakBefore/>
      </w:pPr>
      <w:r>
        <w:rPr>
          <w:rFonts w:ascii="Times New Roman" w:hAnsi="Times New Roman" w:eastAsia="Times New Roman" w:cs="Times New Roman"/>
          <w:b/>
          <w:i w:val="0"/>
          <w:color w:val="000000"/>
          <w:sz w:val="28"/>
        </w:rPr>
        <w:t>KẾT LUẬN</w:t>
      </w:r>
    </w:p>
    <w:p>
      <w:pPr>
        <w:keepNext w:val="0"/>
        <w:spacing w:before="0" w:after="0" w:line="360" w:lineRule="auto"/>
        <w:ind w:firstLine="720"/>
        <w:jc w:val="both"/>
      </w:pPr>
      <w:r>
        <w:rPr>
          <w:rFonts w:ascii="Times New Roman" w:hAnsi="Times New Roman" w:eastAsia="Times New Roman" w:cs="Times New Roman"/>
          <w:b w:val="0"/>
          <w:i w:val="0"/>
          <w:color w:val="000000"/>
          <w:sz w:val="26"/>
        </w:rPr>
        <w:t>Chuyên đề tổng quan đã hệ thống hóa các công trình trong và ngoài nước theo ba nhóm: quyền SHTT, nền kinh tế số và khai thác quyền SHTT trong nền kinh tế số. Kết quả tổng quan cho thấy các công trình đã xây dựng được cơ sở lý luận tương đối đầy đủ về vai trò kinh tế của quyền SHTT, về nền kinh tế số và về cơ chế kinh tế của khai thác quyền SHTT; các công trình trong nước đã nhận diện được nhiều điểm nghẽn cụ thể của hoạt động khai thác. Tuy nhiên, QLNN đối với khai thác quyền SHTT chưa được tiếp cận như một đối tượng quản lý có nội dung, tiêu chí đánh giá và yếu tố ảnh hưởng riêng dưới góc độ quản lý kinh tế; thực trạng ở phạm vi quốc gia chưa được đánh giá bằng cách kết hợp nhiều nguồn dữ liệu; và các yêu cầu mới từ những thay đổi thể chế năm 2025-2026 chưa được phân tích.</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đó, chuyên đề đã xác định những vấn đề luận án cần tiếp tục nghiên cứu về lý luận, thực trạng và giải pháp; đề xuất ba câu hỏi nghiên cứu và ba giả thuyết nghiên cứu. Đây là căn cứ để xây dựng đề cương chi tiết của luận án, được trình bày thành văn bản riêng, với tên đề tài được giữ nguyên là "Quản lý nhà nước về quyền sở hữu trí tuệ trong nền kinh tế số ở Việt Nam" và phạm vi giới hạn ở QLNN đối với khai thác quyền SHTT.</w:t>
      </w:r>
    </w:p>
    <w:p>
      <w:pPr>
        <w:sectPr>
          <w:headerReference w:type="default" r:id="rId10"/>
          <w:pgSz w:w="11906" w:h="16838"/>
          <w:pgMar w:top="1984" w:right="1134" w:bottom="1701" w:left="1984" w:header="720" w:footer="720" w:gutter="0"/>
          <w:cols w:space="720"/>
          <w:docGrid w:linePitch="360"/>
          <w:pgNumType w:fmt="decimal" w:start="1"/>
        </w:sectPr>
      </w:pPr>
    </w:p>
    <w:p>
      <w:pPr>
        <w:pStyle w:val="Heading1"/>
      </w:pPr>
      <w:r>
        <w:rPr>
          <w:rFonts w:ascii="Times New Roman" w:hAnsi="Times New Roman" w:eastAsia="Times New Roman" w:cs="Times New Roman"/>
          <w:b/>
          <w:i w:val="0"/>
          <w:color w:val="000000"/>
          <w:sz w:val="28"/>
        </w:rPr>
        <w:t>TÀI LIỆU THAM KHẢO</w:t>
      </w:r>
    </w:p>
    <w:p>
      <w:pPr>
        <w:keepNext/>
        <w:spacing w:before="120" w:after="0" w:line="360" w:lineRule="auto"/>
        <w:ind w:firstLine="0"/>
        <w:jc w:val="both"/>
      </w:pPr>
      <w:r>
        <w:rPr>
          <w:rFonts w:ascii="Times New Roman" w:hAnsi="Times New Roman" w:eastAsia="Times New Roman" w:cs="Times New Roman"/>
          <w:b/>
          <w:i w:val="0"/>
          <w:color w:val="000000"/>
          <w:sz w:val="26"/>
        </w:rPr>
        <w:t>Tiếng Việt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 Bộ Chính trị (2024), </w:t>
      </w:r>
      <w:r>
        <w:rPr>
          <w:rFonts w:ascii="Times New Roman" w:hAnsi="Times New Roman" w:eastAsia="Times New Roman" w:cs="Times New Roman"/>
          <w:b w:val="0"/>
          <w:i/>
          <w:color w:val="000000"/>
          <w:sz w:val="26"/>
        </w:rPr>
        <w:t>Nghị quyết số 57-NQ/TW ngày 22/12/2024 về đột phá phát triển khoa học, công nghệ, đổi mới sáng tạo và chuyển đổi số quốc gia</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 Bộ Chính trị (2026), </w:t>
      </w:r>
      <w:r>
        <w:rPr>
          <w:rFonts w:ascii="Times New Roman" w:hAnsi="Times New Roman" w:eastAsia="Times New Roman" w:cs="Times New Roman"/>
          <w:b w:val="0"/>
          <w:i/>
          <w:color w:val="000000"/>
          <w:sz w:val="26"/>
        </w:rPr>
        <w:t>Kết luận số 51-KL/TW ngày 17/6/2026 về đẩy mạnh công tác sở hữu trí tuệ phục vụ phát triển kinh tế - xã hội trong tình hình mới</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 Cameron A., Pham T.H., Atherton J. và cs (2019), </w:t>
      </w:r>
      <w:r>
        <w:rPr>
          <w:rFonts w:ascii="Times New Roman" w:hAnsi="Times New Roman" w:eastAsia="Times New Roman" w:cs="Times New Roman"/>
          <w:b w:val="0"/>
          <w:i/>
          <w:color w:val="000000"/>
          <w:sz w:val="26"/>
        </w:rPr>
        <w:t>Tương lai nền kinh tế số Việt Nam: Hướng tới năm 2030 và 2045</w:t>
      </w:r>
      <w:r>
        <w:rPr>
          <w:rFonts w:ascii="Times New Roman" w:hAnsi="Times New Roman" w:eastAsia="Times New Roman" w:cs="Times New Roman"/>
          <w:b w:val="0"/>
          <w:i w:val="0"/>
          <w:color w:val="000000"/>
          <w:sz w:val="26"/>
        </w:rPr>
        <w:t>, Cơ quan Nghiên cứu Khoa học và Công nghiệp Khối thịnh vượng chung Úc (CSIRO), Brisbane.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 Nguyễn Hữu Cẩn (2017), “Thực trạng phát triển tài sản trí tuệ của doanh nghiệp Việt Nam và một số gợi ý chiến lược”,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(12), 64-67.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 Nguyễn Hữu Cẩn (2020), </w:t>
      </w:r>
      <w:r>
        <w:rPr>
          <w:rFonts w:ascii="Times New Roman" w:hAnsi="Times New Roman" w:eastAsia="Times New Roman" w:cs="Times New Roman"/>
          <w:b w:val="0"/>
          <w:i/>
          <w:color w:val="000000"/>
          <w:sz w:val="26"/>
        </w:rPr>
        <w:t>Quản trị tài sản trí tuệ của doanh nghiệp</w:t>
      </w:r>
      <w:r>
        <w:rPr>
          <w:rFonts w:ascii="Times New Roman" w:hAnsi="Times New Roman" w:eastAsia="Times New Roman" w:cs="Times New Roman"/>
          <w:b w:val="0"/>
          <w:i w:val="0"/>
          <w:color w:val="000000"/>
          <w:sz w:val="26"/>
        </w:rPr>
        <w:t>, Viện Khoa học sở hữu trí tuệ,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 Cục Sở hữu trí tuệ (2025), </w:t>
      </w:r>
      <w:r>
        <w:rPr>
          <w:rFonts w:ascii="Times New Roman" w:hAnsi="Times New Roman" w:eastAsia="Times New Roman" w:cs="Times New Roman"/>
          <w:b w:val="0"/>
          <w:i/>
          <w:color w:val="000000"/>
          <w:sz w:val="26"/>
        </w:rPr>
        <w:t>Báo cáo thường niên hoạt động sở hữu trí tuệ 2024</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 Cục Thống kê (2026), </w:t>
      </w:r>
      <w:r>
        <w:rPr>
          <w:rFonts w:ascii="Times New Roman" w:hAnsi="Times New Roman" w:eastAsia="Times New Roman" w:cs="Times New Roman"/>
          <w:b w:val="0"/>
          <w:i/>
          <w:color w:val="000000"/>
          <w:sz w:val="26"/>
        </w:rPr>
        <w:t>Thông cáo báo chí về tỷ trọng giá trị tăng thêm của kinh tế số trong GDP, GRDP giai đoạn 2021-2025</w:t>
      </w:r>
      <w:r>
        <w:rPr>
          <w:rFonts w:ascii="Times New Roman" w:hAnsi="Times New Roman" w:eastAsia="Times New Roman" w:cs="Times New Roman"/>
          <w:b w:val="0"/>
          <w:i w:val="0"/>
          <w:color w:val="000000"/>
          <w:sz w:val="26"/>
        </w:rPr>
        <w:t>, ngày 05/01/2026,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 Nguyễn Văn Đông (2025), </w:t>
      </w:r>
      <w:r>
        <w:rPr>
          <w:rFonts w:ascii="Times New Roman" w:hAnsi="Times New Roman" w:eastAsia="Times New Roman" w:cs="Times New Roman"/>
          <w:b w:val="0"/>
          <w:i/>
          <w:color w:val="000000"/>
          <w:sz w:val="26"/>
        </w:rPr>
        <w:t>Quyền sở hữu trí tuệ trong phát triển sản phẩm mang tên địa danh của tỉnh Bắc Ninh</w:t>
      </w:r>
      <w:r>
        <w:rPr>
          <w:rFonts w:ascii="Times New Roman" w:hAnsi="Times New Roman" w:eastAsia="Times New Roman" w:cs="Times New Roman"/>
          <w:b w:val="0"/>
          <w:i w:val="0"/>
          <w:color w:val="000000"/>
          <w:sz w:val="26"/>
        </w:rPr>
        <w:t>, Luận án tiến sĩ Kinh tế, Trường Đại học Kinh tế và Quản trị kinh doanh, Đại học Thái Nguyên, Thái Nguyên.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 Vũ Thị Phương Giang (2025), </w:t>
      </w:r>
      <w:r>
        <w:rPr>
          <w:rFonts w:ascii="Times New Roman" w:hAnsi="Times New Roman" w:eastAsia="Times New Roman" w:cs="Times New Roman"/>
          <w:b w:val="0"/>
          <w:i/>
          <w:color w:val="000000"/>
          <w:sz w:val="26"/>
        </w:rPr>
        <w:t>Bảo vệ quyền sở hữu trí tuệ đối với nhãn hiệu theo pháp luật Việt Nam hiện nay</w:t>
      </w:r>
      <w:r>
        <w:rPr>
          <w:rFonts w:ascii="Times New Roman" w:hAnsi="Times New Roman" w:eastAsia="Times New Roman" w:cs="Times New Roman"/>
          <w:b w:val="0"/>
          <w:i w:val="0"/>
          <w:color w:val="000000"/>
          <w:sz w:val="26"/>
        </w:rPr>
        <w:t>, Luận án tiến sĩ Luật kinh tế, Học viện Khoa học xã hội,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 Nguyễn Thị Hải Hà (2023), “Đánh giá hiệu quả quản lý nhà nước trong nền kinh tế số”, </w:t>
      </w:r>
      <w:r>
        <w:rPr>
          <w:rFonts w:ascii="Times New Roman" w:hAnsi="Times New Roman" w:eastAsia="Times New Roman" w:cs="Times New Roman"/>
          <w:b w:val="0"/>
          <w:i/>
          <w:color w:val="000000"/>
          <w:sz w:val="26"/>
        </w:rPr>
        <w:t>Tạp chí Phát triển bền vững Vùng</w:t>
      </w:r>
      <w:r>
        <w:rPr>
          <w:rFonts w:ascii="Times New Roman" w:hAnsi="Times New Roman" w:eastAsia="Times New Roman" w:cs="Times New Roman"/>
          <w:b w:val="0"/>
          <w:i w:val="0"/>
          <w:color w:val="000000"/>
          <w:sz w:val="26"/>
        </w:rPr>
        <w:t>, 13(2), 11-20.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 Nguyễn Chí Hải, Huỳnh Thị Ly Na (2021), “Đổi mới sáng tạo trong bối cảnh phát triển nền kinh tế số ở Việt Nam”, </w:t>
      </w:r>
      <w:r>
        <w:rPr>
          <w:rFonts w:ascii="Times New Roman" w:hAnsi="Times New Roman" w:eastAsia="Times New Roman" w:cs="Times New Roman"/>
          <w:b w:val="0"/>
          <w:i/>
          <w:color w:val="000000"/>
          <w:sz w:val="26"/>
        </w:rPr>
        <w:t>Tạp chí Ngân hàng</w:t>
      </w:r>
      <w:r>
        <w:rPr>
          <w:rFonts w:ascii="Times New Roman" w:hAnsi="Times New Roman" w:eastAsia="Times New Roman" w:cs="Times New Roman"/>
          <w:b w:val="0"/>
          <w:i w:val="0"/>
          <w:color w:val="000000"/>
          <w:sz w:val="26"/>
        </w:rPr>
        <w:t>, (6).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 Trần Văn Hải (2021), </w:t>
      </w:r>
      <w:r>
        <w:rPr>
          <w:rFonts w:ascii="Times New Roman" w:hAnsi="Times New Roman" w:eastAsia="Times New Roman" w:cs="Times New Roman"/>
          <w:b w:val="0"/>
          <w:i/>
          <w:color w:val="000000"/>
          <w:sz w:val="26"/>
        </w:rPr>
        <w:t>Chính sách pháp luật hình sự Việt Nam đối với các tội xâm phạm quyền sở hữu trí tuệ</w:t>
      </w:r>
      <w:r>
        <w:rPr>
          <w:rFonts w:ascii="Times New Roman" w:hAnsi="Times New Roman" w:eastAsia="Times New Roman" w:cs="Times New Roman"/>
          <w:b w:val="0"/>
          <w:i w:val="0"/>
          <w:color w:val="000000"/>
          <w:sz w:val="26"/>
        </w:rPr>
        <w:t>, Luận án tiến sĩ Luật học, Học viện Khoa học xã hội,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[13] Phạm Thị Thúy Hằng (2021), </w:t>
      </w:r>
      <w:r>
        <w:rPr>
          <w:rFonts w:ascii="Times New Roman" w:hAnsi="Times New Roman" w:eastAsia="Times New Roman" w:cs="Times New Roman"/>
          <w:b w:val="0"/>
          <w:i/>
          <w:color w:val="000000"/>
          <w:sz w:val="26"/>
        </w:rPr>
        <w:t>Quản lý hoạt động sở hữu trí tuệ ở các trường đại học khu vực miền Trung Việt Nam</w:t>
      </w:r>
      <w:r>
        <w:rPr>
          <w:rFonts w:ascii="Times New Roman" w:hAnsi="Times New Roman" w:eastAsia="Times New Roman" w:cs="Times New Roman"/>
          <w:b w:val="0"/>
          <w:i w:val="0"/>
          <w:color w:val="000000"/>
          <w:sz w:val="26"/>
        </w:rPr>
        <w:t>, Luận án tiến sĩ Khoa học giáo dục, Trường Đại học Sư phạm Thành phố Hồ Chí Minh, Thành phố Hồ Chí Minh.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[14] Hứa Thị Hồng (2023), </w:t>
      </w:r>
      <w:r>
        <w:rPr>
          <w:rFonts w:ascii="Times New Roman" w:hAnsi="Times New Roman" w:eastAsia="Times New Roman" w:cs="Times New Roman"/>
          <w:b w:val="0"/>
          <w:i/>
          <w:color w:val="000000"/>
          <w:sz w:val="26"/>
        </w:rPr>
        <w:t>Bảo vệ quyền sở hữu trí tuệ tại biên giới thông qua kiểm soát hàng hoá giả mạo về sở hữu trí tuệ của Hải quan Việt Nam</w:t>
      </w:r>
      <w:r>
        <w:rPr>
          <w:rFonts w:ascii="Times New Roman" w:hAnsi="Times New Roman" w:eastAsia="Times New Roman" w:cs="Times New Roman"/>
          <w:b w:val="0"/>
          <w:i w:val="0"/>
          <w:color w:val="000000"/>
          <w:sz w:val="26"/>
        </w:rPr>
        <w:t>, Luận án tiến sĩ Luật học, Trường Đại học Luật Hà Nội,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[15] Phạm Minh Huyền (2024), </w:t>
      </w:r>
      <w:r>
        <w:rPr>
          <w:rFonts w:ascii="Times New Roman" w:hAnsi="Times New Roman" w:eastAsia="Times New Roman" w:cs="Times New Roman"/>
          <w:b w:val="0"/>
          <w:i/>
          <w:color w:val="000000"/>
          <w:sz w:val="26"/>
        </w:rPr>
        <w:t>Giới hạn quyền tác giả, quyền liên quan - Những vấn đề lý luận và thực tiễn</w:t>
      </w:r>
      <w:r>
        <w:rPr>
          <w:rFonts w:ascii="Times New Roman" w:hAnsi="Times New Roman" w:eastAsia="Times New Roman" w:cs="Times New Roman"/>
          <w:b w:val="0"/>
          <w:i w:val="0"/>
          <w:color w:val="000000"/>
          <w:sz w:val="26"/>
        </w:rPr>
        <w:t>, Luận án tiến sĩ Luật học, Trường Đại học Luật Hà Nội,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[16] Trần Thị Thanh Huyền (2021), </w:t>
      </w:r>
      <w:r>
        <w:rPr>
          <w:rFonts w:ascii="Times New Roman" w:hAnsi="Times New Roman" w:eastAsia="Times New Roman" w:cs="Times New Roman"/>
          <w:b w:val="0"/>
          <w:i/>
          <w:color w:val="000000"/>
          <w:sz w:val="26"/>
        </w:rPr>
        <w:t>Quyền sở hữu công nghiệp đối với nhãn hiệu trong thương mại điện tử</w:t>
      </w:r>
      <w:r>
        <w:rPr>
          <w:rFonts w:ascii="Times New Roman" w:hAnsi="Times New Roman" w:eastAsia="Times New Roman" w:cs="Times New Roman"/>
          <w:b w:val="0"/>
          <w:i w:val="0"/>
          <w:color w:val="000000"/>
          <w:sz w:val="26"/>
        </w:rPr>
        <w:t>, Luận án tiến sĩ Luật học, Trường Đại học Luật Hà Nội,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[17] Lâm Xuân Hùng (2025), “Pháp luật về sở hữu trí tuệ trong kỷ nguyên mới”, </w:t>
      </w:r>
      <w:r>
        <w:rPr>
          <w:rFonts w:ascii="Times New Roman" w:hAnsi="Times New Roman" w:eastAsia="Times New Roman" w:cs="Times New Roman"/>
          <w:b w:val="0"/>
          <w:i/>
          <w:color w:val="000000"/>
          <w:sz w:val="26"/>
        </w:rPr>
        <w:t>Tạp chí Việt Nam Hội nhập</w:t>
      </w:r>
      <w:r>
        <w:rPr>
          <w:rFonts w:ascii="Times New Roman" w:hAnsi="Times New Roman" w:eastAsia="Times New Roman" w:cs="Times New Roman"/>
          <w:b w:val="0"/>
          <w:i w:val="0"/>
          <w:color w:val="000000"/>
          <w:sz w:val="26"/>
        </w:rPr>
        <w:t>, (371), 23-29.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[18] Nguyễn Vĩnh Hưng, Phan Quốc Nguyên (2020), “Sự tác động của nền kinh tế số đến hệ thống pháp luật sở hữu trí tuệ tại Việt Nam”, </w:t>
      </w:r>
      <w:r>
        <w:rPr>
          <w:rFonts w:ascii="Times New Roman" w:hAnsi="Times New Roman" w:eastAsia="Times New Roman" w:cs="Times New Roman"/>
          <w:b w:val="0"/>
          <w:i/>
          <w:color w:val="000000"/>
          <w:sz w:val="26"/>
        </w:rPr>
        <w:t>Tạp chí Nghề Luật</w:t>
      </w:r>
      <w:r>
        <w:rPr>
          <w:rFonts w:ascii="Times New Roman" w:hAnsi="Times New Roman" w:eastAsia="Times New Roman" w:cs="Times New Roman"/>
          <w:b w:val="0"/>
          <w:i w:val="0"/>
          <w:color w:val="000000"/>
          <w:sz w:val="26"/>
        </w:rPr>
        <w:t>, (10).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[19] Nguyễn Văn Kim, Nguyễn Thị Ngọc Anh (2015), “Tác động của sáng chế đối với hoạt động nghiên cứu khoa học và phát triển tiềm lực khoa học và công nghệ”, </w:t>
      </w:r>
      <w:r>
        <w:rPr>
          <w:rFonts w:ascii="Times New Roman" w:hAnsi="Times New Roman" w:eastAsia="Times New Roman" w:cs="Times New Roman"/>
          <w:b w:val="0"/>
          <w:i/>
          <w:color w:val="000000"/>
          <w:sz w:val="26"/>
        </w:rPr>
        <w:t>Tạp chí Khoa học Đại học Quốc gia Hà Nội: Nghiên cứu Chính sách và Quản lý</w:t>
      </w:r>
      <w:r>
        <w:rPr>
          <w:rFonts w:ascii="Times New Roman" w:hAnsi="Times New Roman" w:eastAsia="Times New Roman" w:cs="Times New Roman"/>
          <w:b w:val="0"/>
          <w:i w:val="0"/>
          <w:color w:val="000000"/>
          <w:sz w:val="26"/>
        </w:rPr>
        <w:t>, 31(2), 14-23.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[20] Trần Thị Lan (2025), </w:t>
      </w:r>
      <w:r>
        <w:rPr>
          <w:rFonts w:ascii="Times New Roman" w:hAnsi="Times New Roman" w:eastAsia="Times New Roman" w:cs="Times New Roman"/>
          <w:b w:val="0"/>
          <w:i/>
          <w:color w:val="000000"/>
          <w:sz w:val="26"/>
        </w:rPr>
        <w:t>Các yếu tố ảnh hưởng đến phát triển kinh tế số ở Việt Nam</w:t>
      </w:r>
      <w:r>
        <w:rPr>
          <w:rFonts w:ascii="Times New Roman" w:hAnsi="Times New Roman" w:eastAsia="Times New Roman" w:cs="Times New Roman"/>
          <w:b w:val="0"/>
          <w:i w:val="0"/>
          <w:color w:val="000000"/>
          <w:sz w:val="26"/>
        </w:rPr>
        <w:t>, Luận án tiến sĩ Kinh tế, Học viện Khoa học xã hội,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[21] Trần Nguyễn Mỹ Linh, Nguyễn Thị Hồ Điệp, Vũ Kiều Oanh (2025), “Phát triển kinh tế số tại Việt Nam: Thực trạng và giải pháp”, </w:t>
      </w:r>
      <w:r>
        <w:rPr>
          <w:rFonts w:ascii="Times New Roman" w:hAnsi="Times New Roman" w:eastAsia="Times New Roman" w:cs="Times New Roman"/>
          <w:b w:val="0"/>
          <w:i/>
          <w:color w:val="000000"/>
          <w:sz w:val="26"/>
        </w:rPr>
        <w:t>Tạp chí Thông tin Khoa học xã hội</w:t>
      </w:r>
      <w:r>
        <w:rPr>
          <w:rFonts w:ascii="Times New Roman" w:hAnsi="Times New Roman" w:eastAsia="Times New Roman" w:cs="Times New Roman"/>
          <w:b w:val="0"/>
          <w:i w:val="0"/>
          <w:color w:val="000000"/>
          <w:sz w:val="26"/>
        </w:rPr>
        <w:t>, (9).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[22] Phạm Trung Luân (2025), “Chuyển giao công nghệ đảm bảo tài sản trí tuệ cho doanh nghiệp sáng tạo”, </w:t>
      </w:r>
      <w:r>
        <w:rPr>
          <w:rFonts w:ascii="Times New Roman" w:hAnsi="Times New Roman" w:eastAsia="Times New Roman" w:cs="Times New Roman"/>
          <w:b w:val="0"/>
          <w:i/>
          <w:color w:val="000000"/>
          <w:sz w:val="26"/>
        </w:rPr>
        <w:t>Tạp chí Việt Nam Hội nhập</w:t>
      </w:r>
      <w:r>
        <w:rPr>
          <w:rFonts w:ascii="Times New Roman" w:hAnsi="Times New Roman" w:eastAsia="Times New Roman" w:cs="Times New Roman"/>
          <w:b w:val="0"/>
          <w:i w:val="0"/>
          <w:color w:val="000000"/>
          <w:sz w:val="26"/>
        </w:rPr>
        <w:t>, (371), 82-87.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[23] Đoàn Đức Lương (2009), “Vai trò của sở hữu trí tuệ trong nghiên cứu khoa học và chuyển giao công nghệ trong các trường đại học”, </w:t>
      </w:r>
      <w:r>
        <w:rPr>
          <w:rFonts w:ascii="Times New Roman" w:hAnsi="Times New Roman" w:eastAsia="Times New Roman" w:cs="Times New Roman"/>
          <w:b w:val="0"/>
          <w:i/>
          <w:color w:val="000000"/>
          <w:sz w:val="26"/>
        </w:rPr>
        <w:t>Tạp chí Khoa học Đại học Huế</w:t>
      </w:r>
      <w:r>
        <w:rPr>
          <w:rFonts w:ascii="Times New Roman" w:hAnsi="Times New Roman" w:eastAsia="Times New Roman" w:cs="Times New Roman"/>
          <w:b w:val="0"/>
          <w:i w:val="0"/>
          <w:color w:val="000000"/>
          <w:sz w:val="26"/>
        </w:rPr>
        <w:t>, (51), 97-103.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[24] Đoàn Đức Lương, Ngô Minh Tiến (2022), “Khai thác tài sản trí tuệ mang yếu tố địa danh ở tỉnh Quảng Ngãi: Thực trạng và một số tồn tại hạn chế”, </w:t>
      </w:r>
      <w:r>
        <w:rPr>
          <w:rFonts w:ascii="Times New Roman" w:hAnsi="Times New Roman" w:eastAsia="Times New Roman" w:cs="Times New Roman"/>
          <w:b w:val="0"/>
          <w:i/>
          <w:color w:val="000000"/>
          <w:sz w:val="26"/>
        </w:rPr>
        <w:t>Tạp chí Pháp luật và Thực tiễn</w:t>
      </w:r>
      <w:r>
        <w:rPr>
          <w:rFonts w:ascii="Times New Roman" w:hAnsi="Times New Roman" w:eastAsia="Times New Roman" w:cs="Times New Roman"/>
          <w:b w:val="0"/>
          <w:i w:val="0"/>
          <w:color w:val="000000"/>
          <w:sz w:val="26"/>
        </w:rPr>
        <w:t>, (51), 79-88.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[25] Lê Nết (2006), </w:t>
      </w:r>
      <w:r>
        <w:rPr>
          <w:rFonts w:ascii="Times New Roman" w:hAnsi="Times New Roman" w:eastAsia="Times New Roman" w:cs="Times New Roman"/>
          <w:b w:val="0"/>
          <w:i/>
          <w:color w:val="000000"/>
          <w:sz w:val="26"/>
        </w:rPr>
        <w:t>Quyền sở hữu trí tuệ</w:t>
      </w:r>
      <w:r>
        <w:rPr>
          <w:rFonts w:ascii="Times New Roman" w:hAnsi="Times New Roman" w:eastAsia="Times New Roman" w:cs="Times New Roman"/>
          <w:b w:val="0"/>
          <w:i w:val="0"/>
          <w:color w:val="000000"/>
          <w:sz w:val="26"/>
        </w:rPr>
        <w:t>, Nhà xuất bản Đại học Quốc gia Thành phố Hồ Chí Minh, Thành phố Hồ Chí Minh.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[26] Nguyễn Thị Tuyết Nga (2025), “Hoàn thiện chính sách sở hữu trí tuệ trong nền kinh tế số ở Việt Nam hiện nay”, </w:t>
      </w:r>
      <w:r>
        <w:rPr>
          <w:rFonts w:ascii="Times New Roman" w:hAnsi="Times New Roman" w:eastAsia="Times New Roman" w:cs="Times New Roman"/>
          <w:b w:val="0"/>
          <w:i/>
          <w:color w:val="000000"/>
          <w:sz w:val="26"/>
        </w:rPr>
        <w:t>Tạp chí Quản lý nhà nước</w:t>
      </w:r>
      <w:r>
        <w:rPr>
          <w:rFonts w:ascii="Times New Roman" w:hAnsi="Times New Roman" w:eastAsia="Times New Roman" w:cs="Times New Roman"/>
          <w:b w:val="0"/>
          <w:i w:val="0"/>
          <w:color w:val="000000"/>
          <w:sz w:val="26"/>
        </w:rPr>
        <w:t xml:space="preserve"> (điện tử), đăng ngày 30/6/2025, quanlynhanuoc.vn.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[27] Hồ Thúy Ngọc (2025), </w:t>
      </w:r>
      <w:r>
        <w:rPr>
          <w:rFonts w:ascii="Times New Roman" w:hAnsi="Times New Roman" w:eastAsia="Times New Roman" w:cs="Times New Roman"/>
          <w:b w:val="0"/>
          <w:i/>
          <w:color w:val="000000"/>
          <w:sz w:val="26"/>
        </w:rPr>
        <w:t>Bảo hộ quyền sở hữu trí tuệ đối với các sản phẩm tạo ra từ trí tuệ nhân tạo</w:t>
      </w:r>
      <w:r>
        <w:rPr>
          <w:rFonts w:ascii="Times New Roman" w:hAnsi="Times New Roman" w:eastAsia="Times New Roman" w:cs="Times New Roman"/>
          <w:b w:val="0"/>
          <w:i w:val="0"/>
          <w:color w:val="000000"/>
          <w:sz w:val="26"/>
        </w:rPr>
        <w:t>, Luận án tiến sĩ Luật học, Trường Đại học Luật Thành phố Hồ Chí Minh, Thành phố Hồ Chí Minh.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[28] Phạm Ngọc Pha (2025), “Mô hình khai thác sáng chế hỗ trợ doanh nghiệp nâng cao trình độ và năng lực công nghệ”,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(2), 15-18.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[29] Nguyễn Văn Phúc (2025), “Bảo hộ và khai thác quyền sở hữu trí tuệ đối với nhãn hiệu có nguồn gốc từ tri thức truyền thống: Thực tiễn tại tỉnh Thừa Thiên Huế”,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134(6S-1), 111-124.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[30] Hoàng Lan Phương (2019), “Pháp luật về chuyển quyền sử dụng nhãn hiệu: Những bất cập cần khắc phục”,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61(10), 29-33.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[31] Phạm Hồng Quất, Lương Văn Thường, Nguyễn Minh Ngọc, Lê Ngọc Mỹ (2021), “Khai thác tài sản trí tuệ thúc đẩy phát triển hệ sinh thái khởi nghiệp đổi mới sáng tạo và hệ thống đổi mới sáng tạo ở Việt Nam”, </w:t>
      </w:r>
      <w:r>
        <w:rPr>
          <w:rFonts w:ascii="Times New Roman" w:hAnsi="Times New Roman" w:eastAsia="Times New Roman" w:cs="Times New Roman"/>
          <w:b w:val="0"/>
          <w:i/>
          <w:color w:val="000000"/>
          <w:sz w:val="26"/>
        </w:rPr>
        <w:t>Tạp chí Chính sách và Quản lý Khoa học và Công nghệ</w:t>
      </w:r>
      <w:r>
        <w:rPr>
          <w:rFonts w:ascii="Times New Roman" w:hAnsi="Times New Roman" w:eastAsia="Times New Roman" w:cs="Times New Roman"/>
          <w:b w:val="0"/>
          <w:i w:val="0"/>
          <w:color w:val="000000"/>
          <w:sz w:val="26"/>
        </w:rPr>
        <w:t>, 10(4), 60-73.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[32] Quốc hội (2025), </w:t>
      </w:r>
      <w:r>
        <w:rPr>
          <w:rFonts w:ascii="Times New Roman" w:hAnsi="Times New Roman" w:eastAsia="Times New Roman" w:cs="Times New Roman"/>
          <w:b w:val="0"/>
          <w:i/>
          <w:color w:val="000000"/>
          <w:sz w:val="26"/>
        </w:rPr>
        <w:t>Luật Khoa học, công nghệ và đổi mới sáng tạo số 93/2025/QH15 ngày 27/6/2025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[33] Quốc hội (2025), </w:t>
      </w:r>
      <w:r>
        <w:rPr>
          <w:rFonts w:ascii="Times New Roman" w:hAnsi="Times New Roman" w:eastAsia="Times New Roman" w:cs="Times New Roman"/>
          <w:b w:val="0"/>
          <w:i/>
          <w:color w:val="000000"/>
          <w:sz w:val="26"/>
        </w:rPr>
        <w:t>Luật sửa đổi, bổ sung một số điều của Luật Sở hữu trí tuệ số 131/2025/QH15 ngày 10/12/2025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[34] Quốc hội (2025), </w:t>
      </w:r>
      <w:r>
        <w:rPr>
          <w:rFonts w:ascii="Times New Roman" w:hAnsi="Times New Roman" w:eastAsia="Times New Roman" w:cs="Times New Roman"/>
          <w:b w:val="0"/>
          <w:i/>
          <w:color w:val="000000"/>
          <w:sz w:val="26"/>
        </w:rPr>
        <w:t>Luật Chuyển đổi số số 148/2025/QH15 ngày 11/12/2025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[35] Ngô Hoài Sơn, Nguyễn Lê Kim Kiều (2022), “Vận dụng lý thuyết phương pháp quản lý nhà nước về kinh tế để xây dựng nền kinh tế số ở Việt Nam”, </w:t>
      </w:r>
      <w:r>
        <w:rPr>
          <w:rFonts w:ascii="Times New Roman" w:hAnsi="Times New Roman" w:eastAsia="Times New Roman" w:cs="Times New Roman"/>
          <w:b w:val="0"/>
          <w:i/>
          <w:color w:val="000000"/>
          <w:sz w:val="26"/>
        </w:rPr>
        <w:t>Tạp chí Công Thương</w:t>
      </w:r>
      <w:r>
        <w:rPr>
          <w:rFonts w:ascii="Times New Roman" w:hAnsi="Times New Roman" w:eastAsia="Times New Roman" w:cs="Times New Roman"/>
          <w:b w:val="0"/>
          <w:i w:val="0"/>
          <w:color w:val="000000"/>
          <w:sz w:val="26"/>
        </w:rPr>
        <w:t>, (21), 248-254.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[36] Hồ Thức Tài (2019), “Chính sách phát triển nền kinh tế số ở Việt Nam”, </w:t>
      </w:r>
      <w:r>
        <w:rPr>
          <w:rFonts w:ascii="Times New Roman" w:hAnsi="Times New Roman" w:eastAsia="Times New Roman" w:cs="Times New Roman"/>
          <w:b w:val="0"/>
          <w:i/>
          <w:color w:val="000000"/>
          <w:sz w:val="26"/>
        </w:rPr>
        <w:t>Tạp chí Công Thương</w:t>
      </w:r>
      <w:r>
        <w:rPr>
          <w:rFonts w:ascii="Times New Roman" w:hAnsi="Times New Roman" w:eastAsia="Times New Roman" w:cs="Times New Roman"/>
          <w:b w:val="0"/>
          <w:i w:val="0"/>
          <w:color w:val="000000"/>
          <w:sz w:val="26"/>
        </w:rPr>
        <w:t>, (13), 36-41.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[37] Lê Thị Thanh Tâm, Hoàng Thị Hải Yến (2025), “Thương mại hóa sáng chế thông qua hoạt động chuyển giao công nghệ theo pháp luật Việt Nam”,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134(6D), 35-46.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[38] Nguyễn Phương Thảo (2024), “Phương pháp đo lường kinh tế số của các tổ chức trên thế giới và đề xuất cho Việt Nam”, </w:t>
      </w:r>
      <w:r>
        <w:rPr>
          <w:rFonts w:ascii="Times New Roman" w:hAnsi="Times New Roman" w:eastAsia="Times New Roman" w:cs="Times New Roman"/>
          <w:b w:val="0"/>
          <w:i/>
          <w:color w:val="000000"/>
          <w:sz w:val="26"/>
        </w:rPr>
        <w:t>Tạp chí Kinh tế và Dự báo</w:t>
      </w:r>
      <w:r>
        <w:rPr>
          <w:rFonts w:ascii="Times New Roman" w:hAnsi="Times New Roman" w:eastAsia="Times New Roman" w:cs="Times New Roman"/>
          <w:b w:val="0"/>
          <w:i w:val="0"/>
          <w:color w:val="000000"/>
          <w:sz w:val="26"/>
        </w:rPr>
        <w:t>, (21), 27-30.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[39] Nguyễn Quốc Thịnh, Khúc Đại Long, Nguyễn Thu Hương (2020), “Quản trị tài sản trí tuệ trong doanh nghiệp Việt Nam: Động lực cho sự khác biệt hóa”, </w:t>
      </w:r>
      <w:r>
        <w:rPr>
          <w:rFonts w:ascii="Times New Roman" w:hAnsi="Times New Roman" w:eastAsia="Times New Roman" w:cs="Times New Roman"/>
          <w:b w:val="0"/>
          <w:i/>
          <w:color w:val="000000"/>
          <w:sz w:val="26"/>
        </w:rPr>
        <w:t>Tạp chí Khoa học Thương mại</w:t>
      </w:r>
      <w:r>
        <w:rPr>
          <w:rFonts w:ascii="Times New Roman" w:hAnsi="Times New Roman" w:eastAsia="Times New Roman" w:cs="Times New Roman"/>
          <w:b w:val="0"/>
          <w:i w:val="0"/>
          <w:color w:val="000000"/>
          <w:sz w:val="26"/>
        </w:rPr>
        <w:t>, (143), 38-44.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[40] Hoàng Văn Thùy (2024), “Bảo vệ quyền sở hữu trí tuệ trong kinh tế số”, </w:t>
      </w:r>
      <w:r>
        <w:rPr>
          <w:rFonts w:ascii="Times New Roman" w:hAnsi="Times New Roman" w:eastAsia="Times New Roman" w:cs="Times New Roman"/>
          <w:b w:val="0"/>
          <w:i/>
          <w:color w:val="000000"/>
          <w:sz w:val="26"/>
        </w:rPr>
        <w:t>Tạp chí Nghề Luật</w:t>
      </w:r>
      <w:r>
        <w:rPr>
          <w:rFonts w:ascii="Times New Roman" w:hAnsi="Times New Roman" w:eastAsia="Times New Roman" w:cs="Times New Roman"/>
          <w:b w:val="0"/>
          <w:i w:val="0"/>
          <w:color w:val="000000"/>
          <w:sz w:val="26"/>
        </w:rPr>
        <w:t>, (1), 21-25.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[41] Thủ tướng Chính phủ (2019), </w:t>
      </w:r>
      <w:r>
        <w:rPr>
          <w:rFonts w:ascii="Times New Roman" w:hAnsi="Times New Roman" w:eastAsia="Times New Roman" w:cs="Times New Roman"/>
          <w:b w:val="0"/>
          <w:i/>
          <w:color w:val="000000"/>
          <w:sz w:val="26"/>
        </w:rPr>
        <w:t>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[42] Thủ tướng Chính phủ (2026), </w:t>
      </w:r>
      <w:r>
        <w:rPr>
          <w:rFonts w:ascii="Times New Roman" w:hAnsi="Times New Roman" w:eastAsia="Times New Roman" w:cs="Times New Roman"/>
          <w:b w:val="0"/>
          <w:i/>
          <w:color w:val="000000"/>
          <w:sz w:val="26"/>
        </w:rPr>
        <w:t>Quyết định số 1624/QĐ-TTg ngày 21/8/2026 sửa đổi, bổ sung một số điều của 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[43] Lê Thị Bích Thủy (2021), </w:t>
      </w:r>
      <w:r>
        <w:rPr>
          <w:rFonts w:ascii="Times New Roman" w:hAnsi="Times New Roman" w:eastAsia="Times New Roman" w:cs="Times New Roman"/>
          <w:b w:val="0"/>
          <w:i/>
          <w:color w:val="000000"/>
          <w:sz w:val="26"/>
        </w:rPr>
        <w:t>Bảo hộ quyền sở hữu trí tuệ đối với sáng chế liên quan đến dược phẩm tại Việt Nam trong điều kiện hội nhập kinh tế quốc tế</w:t>
      </w:r>
      <w:r>
        <w:rPr>
          <w:rFonts w:ascii="Times New Roman" w:hAnsi="Times New Roman" w:eastAsia="Times New Roman" w:cs="Times New Roman"/>
          <w:b w:val="0"/>
          <w:i w:val="0"/>
          <w:color w:val="000000"/>
          <w:sz w:val="26"/>
        </w:rPr>
        <w:t>, Luận án tiến sĩ Luật học, Trường Đại học Luật Hà Nội,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[44] Nguyễn Minh Huyền Trang (2025), “Quản trị tài sản trí tuệ tại các cơ sở giáo dục đại học: Cơ hội và thách thức trong bối cảnh cuộc Cách mạng công nghiệp 4.0”, </w:t>
      </w:r>
      <w:r>
        <w:rPr>
          <w:rFonts w:ascii="Times New Roman" w:hAnsi="Times New Roman" w:eastAsia="Times New Roman" w:cs="Times New Roman"/>
          <w:b w:val="0"/>
          <w:i/>
          <w:color w:val="000000"/>
          <w:sz w:val="26"/>
        </w:rPr>
        <w:t>Tạp chí Khoa học Trường Đại học Sư phạm Thành phố Hồ Chí Minh</w:t>
      </w:r>
      <w:r>
        <w:rPr>
          <w:rFonts w:ascii="Times New Roman" w:hAnsi="Times New Roman" w:eastAsia="Times New Roman" w:cs="Times New Roman"/>
          <w:b w:val="0"/>
          <w:i w:val="0"/>
          <w:color w:val="000000"/>
          <w:sz w:val="26"/>
        </w:rPr>
        <w:t>, 22(1), 123-131.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[45] Nguyễn Thanh Tùng (2026), “Một số hạn chế, bất cập của pháp luật Việt Nam về hợp đồng chuyển giao quyền sử dụng nhãn hiệu và giải pháp hoàn thiện”,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135(6A), 23-34.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[46] Nguyễn Thị Tố Uyên, Nguyễn Hữu Việt (2023), “Một số vấn đề về thực hiện chính sách phát triển tài sản trí tuệ của Nhà nước tại địa phương”, </w:t>
      </w:r>
      <w:r>
        <w:rPr>
          <w:rFonts w:ascii="Times New Roman" w:hAnsi="Times New Roman" w:eastAsia="Times New Roman" w:cs="Times New Roman"/>
          <w:b w:val="0"/>
          <w:i/>
          <w:color w:val="000000"/>
          <w:sz w:val="26"/>
        </w:rPr>
        <w:t>Tạp chí Nghiên cứu khoa học và Phát triển</w:t>
      </w:r>
      <w:r>
        <w:rPr>
          <w:rFonts w:ascii="Times New Roman" w:hAnsi="Times New Roman" w:eastAsia="Times New Roman" w:cs="Times New Roman"/>
          <w:b w:val="0"/>
          <w:i w:val="0"/>
          <w:color w:val="000000"/>
          <w:sz w:val="26"/>
        </w:rPr>
        <w:t>, 2(4), 56-65.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[47] Nguyễn Hữu Xuyên (2018), “Những nút thắt trong khai thác, thương mại hóa sáng chế”,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(9), 23-25.</w:t>
      </w:r>
    </w:p>
    <w:p>
      <w:pPr>
        <w:keepNext/>
        <w:spacing w:before="120" w:after="0" w:line="360" w:lineRule="auto"/>
        <w:ind w:firstLine="0"/>
        <w:jc w:val="both"/>
      </w:pPr>
      <w:r>
        <w:rPr>
          <w:rFonts w:ascii="Times New Roman" w:hAnsi="Times New Roman" w:eastAsia="Times New Roman" w:cs="Times New Roman"/>
          <w:b/>
          <w:i w:val="0"/>
          <w:color w:val="000000"/>
          <w:sz w:val="26"/>
        </w:rPr>
        <w:t>Tiếng Anh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[48] Acemoglu D., Akcigit U. (2012), “Intellectual property rights policy, competition and innovation”, </w:t>
      </w:r>
      <w:r>
        <w:rPr>
          <w:rFonts w:ascii="Times New Roman" w:hAnsi="Times New Roman" w:eastAsia="Times New Roman" w:cs="Times New Roman"/>
          <w:b w:val="0"/>
          <w:i/>
          <w:color w:val="000000"/>
          <w:sz w:val="26"/>
        </w:rPr>
        <w:t>Journal of the European Economic Association</w:t>
      </w:r>
      <w:r>
        <w:rPr>
          <w:rFonts w:ascii="Times New Roman" w:hAnsi="Times New Roman" w:eastAsia="Times New Roman" w:cs="Times New Roman"/>
          <w:b w:val="0"/>
          <w:i w:val="0"/>
          <w:color w:val="000000"/>
          <w:sz w:val="26"/>
        </w:rPr>
        <w:t>, 10(1), 1-42.</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[49] APEC Intellectual Property Rights Experts Group (2023), </w:t>
      </w:r>
      <w:r>
        <w:rPr>
          <w:rFonts w:ascii="Times New Roman" w:hAnsi="Times New Roman" w:eastAsia="Times New Roman" w:cs="Times New Roman"/>
          <w:b w:val="0"/>
          <w:i/>
          <w:color w:val="000000"/>
          <w:sz w:val="26"/>
        </w:rPr>
        <w:t>A Study on the Harmonization of the IP Financial System</w:t>
      </w:r>
      <w:r>
        <w:rPr>
          <w:rFonts w:ascii="Times New Roman" w:hAnsi="Times New Roman" w:eastAsia="Times New Roman" w:cs="Times New Roman"/>
          <w:b w:val="0"/>
          <w:i w:val="0"/>
          <w:color w:val="000000"/>
          <w:sz w:val="26"/>
        </w:rPr>
        <w:t>, APEC Secretariat, Singapore.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[50] Arora A., Fosfuri A., Gambardella A. (2001), “Markets for technology and their implications for corporate strategy”, </w:t>
      </w:r>
      <w:r>
        <w:rPr>
          <w:rFonts w:ascii="Times New Roman" w:hAnsi="Times New Roman" w:eastAsia="Times New Roman" w:cs="Times New Roman"/>
          <w:b w:val="0"/>
          <w:i/>
          <w:color w:val="000000"/>
          <w:sz w:val="26"/>
        </w:rPr>
        <w:t>Industrial and Corporate Change</w:t>
      </w:r>
      <w:r>
        <w:rPr>
          <w:rFonts w:ascii="Times New Roman" w:hAnsi="Times New Roman" w:eastAsia="Times New Roman" w:cs="Times New Roman"/>
          <w:b w:val="0"/>
          <w:i w:val="0"/>
          <w:color w:val="000000"/>
          <w:sz w:val="26"/>
        </w:rPr>
        <w:t>, 10(2), 419-451.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[51] Arrow K.J. (1962), “Economic welfare and the allocation of resources for invention”, in National Bureau of Economic Research, </w:t>
      </w:r>
      <w:r>
        <w:rPr>
          <w:rFonts w:ascii="Times New Roman" w:hAnsi="Times New Roman" w:eastAsia="Times New Roman" w:cs="Times New Roman"/>
          <w:b w:val="0"/>
          <w:i/>
          <w:color w:val="000000"/>
          <w:sz w:val="26"/>
        </w:rPr>
        <w:t>The Rate and Direction of Inventive Activity: Economic and Social Factors</w:t>
      </w:r>
      <w:r>
        <w:rPr>
          <w:rFonts w:ascii="Times New Roman" w:hAnsi="Times New Roman" w:eastAsia="Times New Roman" w:cs="Times New Roman"/>
          <w:b w:val="0"/>
          <w:i w:val="0"/>
          <w:color w:val="000000"/>
          <w:sz w:val="26"/>
        </w:rPr>
        <w:t>, Princeton University Press, Princeton, 609-626.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[52] Barefoot K., Curtis D., Jolliff W., Nicholson J.R., Omohundro R. (2018), </w:t>
      </w:r>
      <w:r>
        <w:rPr>
          <w:rFonts w:ascii="Times New Roman" w:hAnsi="Times New Roman" w:eastAsia="Times New Roman" w:cs="Times New Roman"/>
          <w:b w:val="0"/>
          <w:i/>
          <w:color w:val="000000"/>
          <w:sz w:val="26"/>
        </w:rPr>
        <w:t>Defining and Measuring the Digital Economy</w:t>
      </w:r>
      <w:r>
        <w:rPr>
          <w:rFonts w:ascii="Times New Roman" w:hAnsi="Times New Roman" w:eastAsia="Times New Roman" w:cs="Times New Roman"/>
          <w:b w:val="0"/>
          <w:i w:val="0"/>
          <w:color w:val="000000"/>
          <w:sz w:val="26"/>
        </w:rPr>
        <w:t>, Working Paper, Bureau of Economic Analysis, U.S. Department of Commerce.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[53] Branstetter L.G., Fisman R., Foley C.F. (2006), “Do stronger intellectual property rights increase international technology transfer? Empirical evidence from U.S. firm-level panel data”, </w:t>
      </w:r>
      <w:r>
        <w:rPr>
          <w:rFonts w:ascii="Times New Roman" w:hAnsi="Times New Roman" w:eastAsia="Times New Roman" w:cs="Times New Roman"/>
          <w:b w:val="0"/>
          <w:i/>
          <w:color w:val="000000"/>
          <w:sz w:val="26"/>
        </w:rPr>
        <w:t>The Quarterly Journal of Economics</w:t>
      </w:r>
      <w:r>
        <w:rPr>
          <w:rFonts w:ascii="Times New Roman" w:hAnsi="Times New Roman" w:eastAsia="Times New Roman" w:cs="Times New Roman"/>
          <w:b w:val="0"/>
          <w:i w:val="0"/>
          <w:color w:val="000000"/>
          <w:sz w:val="26"/>
        </w:rPr>
        <w:t>, 121(1), 321-349.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[54] Brynjolfsson E. (1993), “The productivity paradox of information technology”, </w:t>
      </w:r>
      <w:r>
        <w:rPr>
          <w:rFonts w:ascii="Times New Roman" w:hAnsi="Times New Roman" w:eastAsia="Times New Roman" w:cs="Times New Roman"/>
          <w:b w:val="0"/>
          <w:i/>
          <w:color w:val="000000"/>
          <w:sz w:val="26"/>
        </w:rPr>
        <w:t>Communications of the ACM</w:t>
      </w:r>
      <w:r>
        <w:rPr>
          <w:rFonts w:ascii="Times New Roman" w:hAnsi="Times New Roman" w:eastAsia="Times New Roman" w:cs="Times New Roman"/>
          <w:b w:val="0"/>
          <w:i w:val="0"/>
          <w:color w:val="000000"/>
          <w:sz w:val="26"/>
        </w:rPr>
        <w:t>, 36(12), 66-77.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[55] Bui Xuan Chung (2025), “Measuring the digital economy: International experience and practices in Vietnam”, </w:t>
      </w:r>
      <w:r>
        <w:rPr>
          <w:rFonts w:ascii="Times New Roman" w:hAnsi="Times New Roman" w:eastAsia="Times New Roman" w:cs="Times New Roman"/>
          <w:b w:val="0"/>
          <w:i/>
          <w:color w:val="000000"/>
          <w:sz w:val="26"/>
        </w:rPr>
        <w:t>TNU Journal of Science and Technology</w:t>
      </w:r>
      <w:r>
        <w:rPr>
          <w:rFonts w:ascii="Times New Roman" w:hAnsi="Times New Roman" w:eastAsia="Times New Roman" w:cs="Times New Roman"/>
          <w:b w:val="0"/>
          <w:i w:val="0"/>
          <w:color w:val="000000"/>
          <w:sz w:val="26"/>
        </w:rPr>
        <w:t>, 230(15), 105-112.</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[56] Bukht R., Heeks R. (2017), </w:t>
      </w:r>
      <w:r>
        <w:rPr>
          <w:rFonts w:ascii="Times New Roman" w:hAnsi="Times New Roman" w:eastAsia="Times New Roman" w:cs="Times New Roman"/>
          <w:b w:val="0"/>
          <w:i/>
          <w:color w:val="000000"/>
          <w:sz w:val="26"/>
        </w:rPr>
        <w:t>Defining, Conceptualising and Measuring the Digital Economy</w:t>
      </w:r>
      <w:r>
        <w:rPr>
          <w:rFonts w:ascii="Times New Roman" w:hAnsi="Times New Roman" w:eastAsia="Times New Roman" w:cs="Times New Roman"/>
          <w:b w:val="0"/>
          <w:i w:val="0"/>
          <w:color w:val="000000"/>
          <w:sz w:val="26"/>
        </w:rPr>
        <w:t>, Development Informatics Working Paper No. 68, Centre for Development Informatics, University of Manchester, Manchester.</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[57] Chen W., Wu Y. (2022), “Does intellectual property protection stimulate digital economy development?”, </w:t>
      </w:r>
      <w:r>
        <w:rPr>
          <w:rFonts w:ascii="Times New Roman" w:hAnsi="Times New Roman" w:eastAsia="Times New Roman" w:cs="Times New Roman"/>
          <w:b w:val="0"/>
          <w:i/>
          <w:color w:val="000000"/>
          <w:sz w:val="26"/>
        </w:rPr>
        <w:t>Journal of Applied Economics</w:t>
      </w:r>
      <w:r>
        <w:rPr>
          <w:rFonts w:ascii="Times New Roman" w:hAnsi="Times New Roman" w:eastAsia="Times New Roman" w:cs="Times New Roman"/>
          <w:b w:val="0"/>
          <w:i w:val="0"/>
          <w:color w:val="000000"/>
          <w:sz w:val="26"/>
        </w:rPr>
        <w:t>, 25(1), 723-730.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[58] Chesbrough H.W. (2003), </w:t>
      </w:r>
      <w:r>
        <w:rPr>
          <w:rFonts w:ascii="Times New Roman" w:hAnsi="Times New Roman" w:eastAsia="Times New Roman" w:cs="Times New Roman"/>
          <w:b w:val="0"/>
          <w:i/>
          <w:color w:val="000000"/>
          <w:sz w:val="26"/>
        </w:rPr>
        <w:t>Open Innovation: The New Imperative for Creating and Profiting from Technology</w:t>
      </w:r>
      <w:r>
        <w:rPr>
          <w:rFonts w:ascii="Times New Roman" w:hAnsi="Times New Roman" w:eastAsia="Times New Roman" w:cs="Times New Roman"/>
          <w:b w:val="0"/>
          <w:i w:val="0"/>
          <w:color w:val="000000"/>
          <w:sz w:val="26"/>
        </w:rPr>
        <w:t>, Harvard Business School Press, Boston.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[59] Dahlman C., Mealy S., Wermelinger M. (2016), </w:t>
      </w:r>
      <w:r>
        <w:rPr>
          <w:rFonts w:ascii="Times New Roman" w:hAnsi="Times New Roman" w:eastAsia="Times New Roman" w:cs="Times New Roman"/>
          <w:b w:val="0"/>
          <w:i/>
          <w:color w:val="000000"/>
          <w:sz w:val="26"/>
        </w:rPr>
        <w:t>Harnessing the digital economy for developing countries</w:t>
      </w:r>
      <w:r>
        <w:rPr>
          <w:rFonts w:ascii="Times New Roman" w:hAnsi="Times New Roman" w:eastAsia="Times New Roman" w:cs="Times New Roman"/>
          <w:b w:val="0"/>
          <w:i w:val="0"/>
          <w:color w:val="000000"/>
          <w:sz w:val="26"/>
        </w:rPr>
        <w:t>, OECD Development Centre Working Papers No. 334,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[60] Dang Thanh Dat (2026), “Policies for the commercialization of university research: International experiences and implications for Vietnam”,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42(2), 54-75.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[61] Dang Thi Viet Duc (2022), “Digital economy model in Vietnam”,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38(2), 88-99.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[62] Ding T., Yang L. (2025), “Intellectual property protection and corporate digital transformation: An empirical analysis from the perspectives of intellectual property protection and digital governance”, </w:t>
      </w:r>
      <w:r>
        <w:rPr>
          <w:rFonts w:ascii="Times New Roman" w:hAnsi="Times New Roman" w:eastAsia="Times New Roman" w:cs="Times New Roman"/>
          <w:b w:val="0"/>
          <w:i/>
          <w:color w:val="000000"/>
          <w:sz w:val="26"/>
        </w:rPr>
        <w:t>International Review of Economics &amp; Finance</w:t>
      </w:r>
      <w:r>
        <w:rPr>
          <w:rFonts w:ascii="Times New Roman" w:hAnsi="Times New Roman" w:eastAsia="Times New Roman" w:cs="Times New Roman"/>
          <w:b w:val="0"/>
          <w:i w:val="0"/>
          <w:color w:val="000000"/>
          <w:sz w:val="26"/>
        </w:rPr>
        <w:t>, 100, 104125.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[63] Drahos P. (1996), </w:t>
      </w:r>
      <w:r>
        <w:rPr>
          <w:rFonts w:ascii="Times New Roman" w:hAnsi="Times New Roman" w:eastAsia="Times New Roman" w:cs="Times New Roman"/>
          <w:b w:val="0"/>
          <w:i/>
          <w:color w:val="000000"/>
          <w:sz w:val="26"/>
        </w:rPr>
        <w:t>A Philosophy of Intellectual Property</w:t>
      </w:r>
      <w:r>
        <w:rPr>
          <w:rFonts w:ascii="Times New Roman" w:hAnsi="Times New Roman" w:eastAsia="Times New Roman" w:cs="Times New Roman"/>
          <w:b w:val="0"/>
          <w:i w:val="0"/>
          <w:color w:val="000000"/>
          <w:sz w:val="26"/>
        </w:rPr>
        <w:t>, Dartmouth Publishing Company; bản điện tử ANU eText, Canberra, 2016.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[64] European Patent Office, European Union Intellectual Property Office (2021), </w:t>
      </w:r>
      <w:r>
        <w:rPr>
          <w:rFonts w:ascii="Times New Roman" w:hAnsi="Times New Roman" w:eastAsia="Times New Roman" w:cs="Times New Roman"/>
          <w:b w:val="0"/>
          <w:i/>
          <w:color w:val="000000"/>
          <w:sz w:val="26"/>
        </w:rPr>
        <w:t>Intellectual Property Rights and Firm Performance in the European Union: Firm-Level Analysis Report</w:t>
      </w:r>
      <w:r>
        <w:rPr>
          <w:rFonts w:ascii="Times New Roman" w:hAnsi="Times New Roman" w:eastAsia="Times New Roman" w:cs="Times New Roman"/>
          <w:b w:val="0"/>
          <w:i w:val="0"/>
          <w:color w:val="000000"/>
          <w:sz w:val="26"/>
        </w:rPr>
        <w:t>, EUIPO, Alicante.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[65] Fasi M.A. (2022), “An overview on patenting trends and technology commercialization practices in the university Technology Transfer Offices in USA and China”, </w:t>
      </w:r>
      <w:r>
        <w:rPr>
          <w:rFonts w:ascii="Times New Roman" w:hAnsi="Times New Roman" w:eastAsia="Times New Roman" w:cs="Times New Roman"/>
          <w:b w:val="0"/>
          <w:i/>
          <w:color w:val="000000"/>
          <w:sz w:val="26"/>
        </w:rPr>
        <w:t>World Patent Information</w:t>
      </w:r>
      <w:r>
        <w:rPr>
          <w:rFonts w:ascii="Times New Roman" w:hAnsi="Times New Roman" w:eastAsia="Times New Roman" w:cs="Times New Roman"/>
          <w:b w:val="0"/>
          <w:i w:val="0"/>
          <w:color w:val="000000"/>
          <w:sz w:val="26"/>
        </w:rPr>
        <w:t>, 68, 102097.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[66] Fink C., Maskus K.E. (eds.) (2005), </w:t>
      </w:r>
      <w:r>
        <w:rPr>
          <w:rFonts w:ascii="Times New Roman" w:hAnsi="Times New Roman" w:eastAsia="Times New Roman" w:cs="Times New Roman"/>
          <w:b w:val="0"/>
          <w:i/>
          <w:color w:val="000000"/>
          <w:sz w:val="26"/>
        </w:rPr>
        <w:t>Intellectual Property and Development: Lessons from Recent Economic Research</w:t>
      </w:r>
      <w:r>
        <w:rPr>
          <w:rFonts w:ascii="Times New Roman" w:hAnsi="Times New Roman" w:eastAsia="Times New Roman" w:cs="Times New Roman"/>
          <w:b w:val="0"/>
          <w:i w:val="0"/>
          <w:color w:val="000000"/>
          <w:sz w:val="26"/>
        </w:rPr>
        <w:t>, World Bank and Oxford University Press, Washington, DC.</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[67] Fink C., Maskus K.E., Qian Y. (2016), “The economic effects of counterfeiting and piracy: A review and implications for developing countries”, </w:t>
      </w:r>
      <w:r>
        <w:rPr>
          <w:rFonts w:ascii="Times New Roman" w:hAnsi="Times New Roman" w:eastAsia="Times New Roman" w:cs="Times New Roman"/>
          <w:b w:val="0"/>
          <w:i/>
          <w:color w:val="000000"/>
          <w:sz w:val="26"/>
        </w:rPr>
        <w:t>The World Bank Research Observer</w:t>
      </w:r>
      <w:r>
        <w:rPr>
          <w:rFonts w:ascii="Times New Roman" w:hAnsi="Times New Roman" w:eastAsia="Times New Roman" w:cs="Times New Roman"/>
          <w:b w:val="0"/>
          <w:i w:val="0"/>
          <w:color w:val="000000"/>
          <w:sz w:val="26"/>
        </w:rPr>
        <w:t>, 31(1), 1-28.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[68] Fisher W.W. (2001), “Theories of intellectual property”, in S.R. Munzer (ed.), </w:t>
      </w:r>
      <w:r>
        <w:rPr>
          <w:rFonts w:ascii="Times New Roman" w:hAnsi="Times New Roman" w:eastAsia="Times New Roman" w:cs="Times New Roman"/>
          <w:b w:val="0"/>
          <w:i/>
          <w:color w:val="000000"/>
          <w:sz w:val="26"/>
        </w:rPr>
        <w:t>New Essays in the Legal and Political Theory of Property</w:t>
      </w:r>
      <w:r>
        <w:rPr>
          <w:rFonts w:ascii="Times New Roman" w:hAnsi="Times New Roman" w:eastAsia="Times New Roman" w:cs="Times New Roman"/>
          <w:b w:val="0"/>
          <w:i w:val="0"/>
          <w:color w:val="000000"/>
          <w:sz w:val="26"/>
        </w:rPr>
        <w:t>, Cambridge University Press, Cambridge, 168-199.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[69] Foster C. (2024), “Intellectual property rights and control in the digital economy: Examining the expansion of M-Pesa”, </w:t>
      </w:r>
      <w:r>
        <w:rPr>
          <w:rFonts w:ascii="Times New Roman" w:hAnsi="Times New Roman" w:eastAsia="Times New Roman" w:cs="Times New Roman"/>
          <w:b w:val="0"/>
          <w:i/>
          <w:color w:val="000000"/>
          <w:sz w:val="26"/>
        </w:rPr>
        <w:t>The Information Society</w:t>
      </w:r>
      <w:r>
        <w:rPr>
          <w:rFonts w:ascii="Times New Roman" w:hAnsi="Times New Roman" w:eastAsia="Times New Roman" w:cs="Times New Roman"/>
          <w:b w:val="0"/>
          <w:i w:val="0"/>
          <w:color w:val="000000"/>
          <w:sz w:val="26"/>
        </w:rPr>
        <w:t>, 40(1), 1-17.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[70] Fu X., Zhang J., Ai C., Fu X.M. (2026), “Digitalisation of international trade in intellectual properties: An approach based on the utility theory of technology value”, </w:t>
      </w:r>
      <w:r>
        <w:rPr>
          <w:rFonts w:ascii="Times New Roman" w:hAnsi="Times New Roman" w:eastAsia="Times New Roman" w:cs="Times New Roman"/>
          <w:b w:val="0"/>
          <w:i/>
          <w:color w:val="000000"/>
          <w:sz w:val="26"/>
        </w:rPr>
        <w:t>The World Economy</w:t>
      </w:r>
      <w:r>
        <w:rPr>
          <w:rFonts w:ascii="Times New Roman" w:hAnsi="Times New Roman" w:eastAsia="Times New Roman" w:cs="Times New Roman"/>
          <w:b w:val="0"/>
          <w:i w:val="0"/>
          <w:color w:val="000000"/>
          <w:sz w:val="26"/>
        </w:rPr>
        <w:t>, 49, 852-866.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[71] Gans J.S., Stern S. (2003), “The product market and the market for ‘ideas’: Commercialization strategies for technology entrepreneurs”,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32(2), 333-350.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[72] Gans J.S., Hsu D.H., Stern S. (2008), “The impact of uncertain intellectual property rights on the market for ideas: Evidence from patent grant delays”, </w:t>
      </w:r>
      <w:r>
        <w:rPr>
          <w:rFonts w:ascii="Times New Roman" w:hAnsi="Times New Roman" w:eastAsia="Times New Roman" w:cs="Times New Roman"/>
          <w:b w:val="0"/>
          <w:i/>
          <w:color w:val="000000"/>
          <w:sz w:val="26"/>
        </w:rPr>
        <w:t>Management Science</w:t>
      </w:r>
      <w:r>
        <w:rPr>
          <w:rFonts w:ascii="Times New Roman" w:hAnsi="Times New Roman" w:eastAsia="Times New Roman" w:cs="Times New Roman"/>
          <w:b w:val="0"/>
          <w:i w:val="0"/>
          <w:color w:val="000000"/>
          <w:sz w:val="26"/>
        </w:rPr>
        <w:t>, 54(5), 982-997.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[73] Goldfarb B., Henrekson M. (2003), “Bottom-up versus top-down policies towards the commercialization of university intellectual property”,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 639-658.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[74] Goldfarb A., Tucker C. (2019), “Digital economics”, </w:t>
      </w:r>
      <w:r>
        <w:rPr>
          <w:rFonts w:ascii="Times New Roman" w:hAnsi="Times New Roman" w:eastAsia="Times New Roman" w:cs="Times New Roman"/>
          <w:b w:val="0"/>
          <w:i/>
          <w:color w:val="000000"/>
          <w:sz w:val="26"/>
        </w:rPr>
        <w:t>Journal of Economic Literature</w:t>
      </w:r>
      <w:r>
        <w:rPr>
          <w:rFonts w:ascii="Times New Roman" w:hAnsi="Times New Roman" w:eastAsia="Times New Roman" w:cs="Times New Roman"/>
          <w:b w:val="0"/>
          <w:i w:val="0"/>
          <w:color w:val="000000"/>
          <w:sz w:val="26"/>
        </w:rPr>
        <w:t>, 57(1), 3-43.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[75] Gould D.M., Gruben W.C. (1996), “The role of intellectual property rights in economic growth”, </w:t>
      </w:r>
      <w:r>
        <w:rPr>
          <w:rFonts w:ascii="Times New Roman" w:hAnsi="Times New Roman" w:eastAsia="Times New Roman" w:cs="Times New Roman"/>
          <w:b w:val="0"/>
          <w:i/>
          <w:color w:val="000000"/>
          <w:sz w:val="26"/>
        </w:rPr>
        <w:t>Journal of Development Economics</w:t>
      </w:r>
      <w:r>
        <w:rPr>
          <w:rFonts w:ascii="Times New Roman" w:hAnsi="Times New Roman" w:eastAsia="Times New Roman" w:cs="Times New Roman"/>
          <w:b w:val="0"/>
          <w:i w:val="0"/>
          <w:color w:val="000000"/>
          <w:sz w:val="26"/>
        </w:rPr>
        <w:t>, 48(2), 323-350.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[76] Haskel J., Westlake S. (2018),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Princeton University Press, Princeton.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[77] Helpman E. (1993), “Innovation, imitation, and intellectual property rights”, </w:t>
      </w:r>
      <w:r>
        <w:rPr>
          <w:rFonts w:ascii="Times New Roman" w:hAnsi="Times New Roman" w:eastAsia="Times New Roman" w:cs="Times New Roman"/>
          <w:b w:val="0"/>
          <w:i/>
          <w:color w:val="000000"/>
          <w:sz w:val="26"/>
        </w:rPr>
        <w:t>Econometrica</w:t>
      </w:r>
      <w:r>
        <w:rPr>
          <w:rFonts w:ascii="Times New Roman" w:hAnsi="Times New Roman" w:eastAsia="Times New Roman" w:cs="Times New Roman"/>
          <w:b w:val="0"/>
          <w:i w:val="0"/>
          <w:color w:val="000000"/>
          <w:sz w:val="26"/>
        </w:rPr>
        <w:t>, 61(6), 1247-1280.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[78] Hochberg Y.V., Serrano C.J., Ziedonis R.H. (2018), “Patent collateral, investor commitment, and the market for venture lending”, </w:t>
      </w:r>
      <w:r>
        <w:rPr>
          <w:rFonts w:ascii="Times New Roman" w:hAnsi="Times New Roman" w:eastAsia="Times New Roman" w:cs="Times New Roman"/>
          <w:b w:val="0"/>
          <w:i/>
          <w:color w:val="000000"/>
          <w:sz w:val="26"/>
        </w:rPr>
        <w:t>Journal of Financial Economics</w:t>
      </w:r>
      <w:r>
        <w:rPr>
          <w:rFonts w:ascii="Times New Roman" w:hAnsi="Times New Roman" w:eastAsia="Times New Roman" w:cs="Times New Roman"/>
          <w:b w:val="0"/>
          <w:i w:val="0"/>
          <w:color w:val="000000"/>
          <w:sz w:val="26"/>
        </w:rPr>
        <w:t>, 130(1), 74-94.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[79] Holgersson M., Aaboen L. (2019), “A literature review of intellectual property management in technology transfer offices: From appropriation to utilization”, </w:t>
      </w:r>
      <w:r>
        <w:rPr>
          <w:rFonts w:ascii="Times New Roman" w:hAnsi="Times New Roman" w:eastAsia="Times New Roman" w:cs="Times New Roman"/>
          <w:b w:val="0"/>
          <w:i/>
          <w:color w:val="000000"/>
          <w:sz w:val="26"/>
        </w:rPr>
        <w:t>Technology in Society</w:t>
      </w:r>
      <w:r>
        <w:rPr>
          <w:rFonts w:ascii="Times New Roman" w:hAnsi="Times New Roman" w:eastAsia="Times New Roman" w:cs="Times New Roman"/>
          <w:b w:val="0"/>
          <w:i w:val="0"/>
          <w:color w:val="000000"/>
          <w:sz w:val="26"/>
        </w:rPr>
        <w:t>, 59, 101132.</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[80] Hughes J. (1988), “The philosophy of intellectual property”, </w:t>
      </w:r>
      <w:r>
        <w:rPr>
          <w:rFonts w:ascii="Times New Roman" w:hAnsi="Times New Roman" w:eastAsia="Times New Roman" w:cs="Times New Roman"/>
          <w:b w:val="0"/>
          <w:i/>
          <w:color w:val="000000"/>
          <w:sz w:val="26"/>
        </w:rPr>
        <w:t>Georgetown Law Journal</w:t>
      </w:r>
      <w:r>
        <w:rPr>
          <w:rFonts w:ascii="Times New Roman" w:hAnsi="Times New Roman" w:eastAsia="Times New Roman" w:cs="Times New Roman"/>
          <w:b w:val="0"/>
          <w:i w:val="0"/>
          <w:color w:val="000000"/>
          <w:sz w:val="26"/>
        </w:rPr>
        <w:t>, 77(2), 287-366.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[81] International Monetary Fund (2018), </w:t>
      </w:r>
      <w:r>
        <w:rPr>
          <w:rFonts w:ascii="Times New Roman" w:hAnsi="Times New Roman" w:eastAsia="Times New Roman" w:cs="Times New Roman"/>
          <w:b w:val="0"/>
          <w:i/>
          <w:color w:val="000000"/>
          <w:sz w:val="26"/>
        </w:rPr>
        <w:t>Measuring the Digital Economy</w:t>
      </w:r>
      <w:r>
        <w:rPr>
          <w:rFonts w:ascii="Times New Roman" w:hAnsi="Times New Roman" w:eastAsia="Times New Roman" w:cs="Times New Roman"/>
          <w:b w:val="0"/>
          <w:i w:val="0"/>
          <w:color w:val="000000"/>
          <w:sz w:val="26"/>
        </w:rPr>
        <w:t>, IMF Policy Paper, IMF, Washington, DC.</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[82] Kamiyama S., Sheehan J., Martinez C. (2006),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OECD Science, Technology and Industry Working Papers 2006/05,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[83] Le H.T.T., Luong T.T.D. (2022), “Intellectual property management: Case studies of Vietnamese SMEs”, </w:t>
      </w:r>
      <w:r>
        <w:rPr>
          <w:rFonts w:ascii="Times New Roman" w:hAnsi="Times New Roman" w:eastAsia="Times New Roman" w:cs="Times New Roman"/>
          <w:b w:val="0"/>
          <w:i/>
          <w:color w:val="000000"/>
          <w:sz w:val="26"/>
        </w:rPr>
        <w:t>International Journal of Business Strategy and Social Sciences</w:t>
      </w:r>
      <w:r>
        <w:rPr>
          <w:rFonts w:ascii="Times New Roman" w:hAnsi="Times New Roman" w:eastAsia="Times New Roman" w:cs="Times New Roman"/>
          <w:b w:val="0"/>
          <w:i w:val="0"/>
          <w:color w:val="000000"/>
          <w:sz w:val="26"/>
        </w:rPr>
        <w:t>, 5(2), 70-87.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[84] Le Thi Thu Ha, Nguyen Nhu Ngoc, Luong Thi Dai Trang (2022), “The relation between intellectual property management and firm performance of Vietnamese firms in the information and communication technology industry (ICT)”,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38(1), 87-104.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[85] Lee T. (2026), “Governing digital innovation ecosystems under risk and uncertainty: IP circulation, platform dependency, and policy orchestration in Korean content industries”, </w:t>
      </w:r>
      <w:r>
        <w:rPr>
          <w:rFonts w:ascii="Times New Roman" w:hAnsi="Times New Roman" w:eastAsia="Times New Roman" w:cs="Times New Roman"/>
          <w:b w:val="0"/>
          <w:i/>
          <w:color w:val="000000"/>
          <w:sz w:val="26"/>
        </w:rPr>
        <w:t>Technology in Society</w:t>
      </w:r>
      <w:r>
        <w:rPr>
          <w:rFonts w:ascii="Times New Roman" w:hAnsi="Times New Roman" w:eastAsia="Times New Roman" w:cs="Times New Roman"/>
          <w:b w:val="0"/>
          <w:i w:val="0"/>
          <w:color w:val="000000"/>
          <w:sz w:val="26"/>
        </w:rPr>
        <w:t>, 88, 103495.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[86] Liu Haibo, Liu Liang (2016), “知识产权商用与创新驱动发展” [Thương mại hóa quyền sở hữu trí tuệ và phát triển dựa trên đổi mới sáng tạo], </w:t>
      </w:r>
      <w:r>
        <w:rPr>
          <w:rFonts w:ascii="Times New Roman" w:hAnsi="Times New Roman" w:eastAsia="Times New Roman" w:cs="Times New Roman"/>
          <w:b w:val="0"/>
          <w:i/>
          <w:color w:val="000000"/>
          <w:sz w:val="26"/>
        </w:rPr>
        <w:t>Bulletin of Chinese Academy of Sciences</w:t>
      </w:r>
      <w:r>
        <w:rPr>
          <w:rFonts w:ascii="Times New Roman" w:hAnsi="Times New Roman" w:eastAsia="Times New Roman" w:cs="Times New Roman"/>
          <w:b w:val="0"/>
          <w:i w:val="0"/>
          <w:color w:val="000000"/>
          <w:sz w:val="26"/>
        </w:rPr>
        <w:t>, 31(9), 1026-1035.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[87] Long Tran Viet, Hai Phan Thanh (2023), “Mediating impact of the protection and exploitation of intellectual property rights of local intellectual property on tourism development: An empirical study in Central Vietnam”, </w:t>
      </w:r>
      <w:r>
        <w:rPr>
          <w:rFonts w:ascii="Times New Roman" w:hAnsi="Times New Roman" w:eastAsia="Times New Roman" w:cs="Times New Roman"/>
          <w:b w:val="0"/>
          <w:i/>
          <w:color w:val="000000"/>
          <w:sz w:val="26"/>
        </w:rPr>
        <w:t>Problems and Perspectives in Management</w:t>
      </w:r>
      <w:r>
        <w:rPr>
          <w:rFonts w:ascii="Times New Roman" w:hAnsi="Times New Roman" w:eastAsia="Times New Roman" w:cs="Times New Roman"/>
          <w:b w:val="0"/>
          <w:i w:val="0"/>
          <w:color w:val="000000"/>
          <w:sz w:val="26"/>
        </w:rPr>
        <w:t>, 21(2), 767-780.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[88] Lundvall B.-Å. (ed.) (1992), </w:t>
      </w:r>
      <w:r>
        <w:rPr>
          <w:rFonts w:ascii="Times New Roman" w:hAnsi="Times New Roman" w:eastAsia="Times New Roman" w:cs="Times New Roman"/>
          <w:b w:val="0"/>
          <w:i/>
          <w:color w:val="000000"/>
          <w:sz w:val="26"/>
        </w:rPr>
        <w:t>National Systems of Innovation: Towards a Theory of Innovation and Interactive Learning</w:t>
      </w:r>
      <w:r>
        <w:rPr>
          <w:rFonts w:ascii="Times New Roman" w:hAnsi="Times New Roman" w:eastAsia="Times New Roman" w:cs="Times New Roman"/>
          <w:b w:val="0"/>
          <w:i w:val="0"/>
          <w:color w:val="000000"/>
          <w:sz w:val="26"/>
        </w:rPr>
        <w:t>, Pinter, London.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[89] Luu Hoang Long (2025a), “Establishing technology park to support the commercialization of intellectual property in higher education institutions”,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41(2), 43-53.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[90] Luu Hoang Long (2025b), “Building an innovation ecosystem to support the commercialization of intellectual property at Vietnam National University, Hanoi”,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41(4), 63-73.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[91] Mann W. (2018), “Creditor rights and innovation: Evidence from patent collateral”, </w:t>
      </w:r>
      <w:r>
        <w:rPr>
          <w:rFonts w:ascii="Times New Roman" w:hAnsi="Times New Roman" w:eastAsia="Times New Roman" w:cs="Times New Roman"/>
          <w:b w:val="0"/>
          <w:i/>
          <w:color w:val="000000"/>
          <w:sz w:val="26"/>
        </w:rPr>
        <w:t>Journal of Financial Economics</w:t>
      </w:r>
      <w:r>
        <w:rPr>
          <w:rFonts w:ascii="Times New Roman" w:hAnsi="Times New Roman" w:eastAsia="Times New Roman" w:cs="Times New Roman"/>
          <w:b w:val="0"/>
          <w:i w:val="0"/>
          <w:color w:val="000000"/>
          <w:sz w:val="26"/>
        </w:rPr>
        <w:t>, 130(1), 25-47.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[92] Mansfield E. (1994), </w:t>
      </w:r>
      <w:r>
        <w:rPr>
          <w:rFonts w:ascii="Times New Roman" w:hAnsi="Times New Roman" w:eastAsia="Times New Roman" w:cs="Times New Roman"/>
          <w:b w:val="0"/>
          <w:i/>
          <w:color w:val="000000"/>
          <w:sz w:val="26"/>
        </w:rPr>
        <w:t>Intellectual Property Protection, Foreign Direct Investment, and Technology Transfer</w:t>
      </w:r>
      <w:r>
        <w:rPr>
          <w:rFonts w:ascii="Times New Roman" w:hAnsi="Times New Roman" w:eastAsia="Times New Roman" w:cs="Times New Roman"/>
          <w:b w:val="0"/>
          <w:i w:val="0"/>
          <w:color w:val="000000"/>
          <w:sz w:val="26"/>
        </w:rPr>
        <w:t>, IFC Discussion Paper No. 19, International Finance Corporation, Washington, DC.</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[93] Maskus K.E. (2000), </w:t>
      </w:r>
      <w:r>
        <w:rPr>
          <w:rFonts w:ascii="Times New Roman" w:hAnsi="Times New Roman" w:eastAsia="Times New Roman" w:cs="Times New Roman"/>
          <w:b w:val="0"/>
          <w:i/>
          <w:color w:val="000000"/>
          <w:sz w:val="26"/>
        </w:rPr>
        <w:t>Intellectual Property Rights in the Global Economy</w:t>
      </w:r>
      <w:r>
        <w:rPr>
          <w:rFonts w:ascii="Times New Roman" w:hAnsi="Times New Roman" w:eastAsia="Times New Roman" w:cs="Times New Roman"/>
          <w:b w:val="0"/>
          <w:i w:val="0"/>
          <w:color w:val="000000"/>
          <w:sz w:val="26"/>
        </w:rPr>
        <w:t>, Institute for International Economics, Washington, DC.</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[94] Mazzucato M. (2013), </w:t>
      </w:r>
      <w:r>
        <w:rPr>
          <w:rFonts w:ascii="Times New Roman" w:hAnsi="Times New Roman" w:eastAsia="Times New Roman" w:cs="Times New Roman"/>
          <w:b w:val="0"/>
          <w:i/>
          <w:color w:val="000000"/>
          <w:sz w:val="26"/>
        </w:rPr>
        <w:t>The Entrepreneurial State: Debunking Public vs. Private Sector Myths</w:t>
      </w:r>
      <w:r>
        <w:rPr>
          <w:rFonts w:ascii="Times New Roman" w:hAnsi="Times New Roman" w:eastAsia="Times New Roman" w:cs="Times New Roman"/>
          <w:b w:val="0"/>
          <w:i w:val="0"/>
          <w:color w:val="000000"/>
          <w:sz w:val="26"/>
        </w:rPr>
        <w:t>, Anthem Press, London.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[95] Merges R.P. (2011), </w:t>
      </w:r>
      <w:r>
        <w:rPr>
          <w:rFonts w:ascii="Times New Roman" w:hAnsi="Times New Roman" w:eastAsia="Times New Roman" w:cs="Times New Roman"/>
          <w:b w:val="0"/>
          <w:i/>
          <w:color w:val="000000"/>
          <w:sz w:val="26"/>
        </w:rPr>
        <w:t>Justifying Intellectual Property</w:t>
      </w:r>
      <w:r>
        <w:rPr>
          <w:rFonts w:ascii="Times New Roman" w:hAnsi="Times New Roman" w:eastAsia="Times New Roman" w:cs="Times New Roman"/>
          <w:b w:val="0"/>
          <w:i w:val="0"/>
          <w:color w:val="000000"/>
          <w:sz w:val="26"/>
        </w:rPr>
        <w:t>, Harvard University Press, Cambridge, MA.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[96] Mowery D.C., Nelson R.R., Sampat B.N., Ziedonis A.A. (2001), “The growth of patenting and licensing by U.S. universities: An assessment of the effects of the Bayh-Dole Act of 1980”,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30(1), 99-119.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[97] Negroponte N. (1995), </w:t>
      </w:r>
      <w:r>
        <w:rPr>
          <w:rFonts w:ascii="Times New Roman" w:hAnsi="Times New Roman" w:eastAsia="Times New Roman" w:cs="Times New Roman"/>
          <w:b w:val="0"/>
          <w:i/>
          <w:color w:val="000000"/>
          <w:sz w:val="26"/>
        </w:rPr>
        <w:t>Being Digital</w:t>
      </w:r>
      <w:r>
        <w:rPr>
          <w:rFonts w:ascii="Times New Roman" w:hAnsi="Times New Roman" w:eastAsia="Times New Roman" w:cs="Times New Roman"/>
          <w:b w:val="0"/>
          <w:i w:val="0"/>
          <w:color w:val="000000"/>
          <w:sz w:val="26"/>
        </w:rPr>
        <w:t>, Alfred A. Knopf,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[98] Nelson R.R. (ed.) (1993), </w:t>
      </w:r>
      <w:r>
        <w:rPr>
          <w:rFonts w:ascii="Times New Roman" w:hAnsi="Times New Roman" w:eastAsia="Times New Roman" w:cs="Times New Roman"/>
          <w:b w:val="0"/>
          <w:i/>
          <w:color w:val="000000"/>
          <w:sz w:val="26"/>
        </w:rPr>
        <w:t>National Innovation Systems: A Comparative Analysis</w:t>
      </w:r>
      <w:r>
        <w:rPr>
          <w:rFonts w:ascii="Times New Roman" w:hAnsi="Times New Roman" w:eastAsia="Times New Roman" w:cs="Times New Roman"/>
          <w:b w:val="0"/>
          <w:i w:val="0"/>
          <w:color w:val="000000"/>
          <w:sz w:val="26"/>
        </w:rPr>
        <w:t>, Oxford University Press,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[99] Neves P.C., Afonso O., Silva D., Sochirca E. (2021), “The link between intellectual property rights, innovation, and growth: A meta-analysis”, </w:t>
      </w:r>
      <w:r>
        <w:rPr>
          <w:rFonts w:ascii="Times New Roman" w:hAnsi="Times New Roman" w:eastAsia="Times New Roman" w:cs="Times New Roman"/>
          <w:b w:val="0"/>
          <w:i/>
          <w:color w:val="000000"/>
          <w:sz w:val="26"/>
        </w:rPr>
        <w:t>Economic Modelling</w:t>
      </w:r>
      <w:r>
        <w:rPr>
          <w:rFonts w:ascii="Times New Roman" w:hAnsi="Times New Roman" w:eastAsia="Times New Roman" w:cs="Times New Roman"/>
          <w:b w:val="0"/>
          <w:i w:val="0"/>
          <w:color w:val="000000"/>
          <w:sz w:val="26"/>
        </w:rPr>
        <w:t>, 97, 196-209.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[100] Nguyen Huu Xuyen (2024), “Intellectual property management to serve the innovation activities of Vietnam's enterprise”, </w:t>
      </w:r>
      <w:r>
        <w:rPr>
          <w:rFonts w:ascii="Times New Roman" w:hAnsi="Times New Roman" w:eastAsia="Times New Roman" w:cs="Times New Roman"/>
          <w:b w:val="0"/>
          <w:i/>
          <w:color w:val="000000"/>
          <w:sz w:val="26"/>
        </w:rPr>
        <w:t>European Science Review</w:t>
      </w:r>
      <w:r>
        <w:rPr>
          <w:rFonts w:ascii="Times New Roman" w:hAnsi="Times New Roman" w:eastAsia="Times New Roman" w:cs="Times New Roman"/>
          <w:b w:val="0"/>
          <w:i w:val="0"/>
          <w:color w:val="000000"/>
          <w:sz w:val="26"/>
        </w:rPr>
        <w:t>, (5-6), 18-23.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[101] Nguyen V.H., Nguyen D.A. (2024), “Managing the digital economy: The case of Vietnam”, </w:t>
      </w:r>
      <w:r>
        <w:rPr>
          <w:rFonts w:ascii="Times New Roman" w:hAnsi="Times New Roman" w:eastAsia="Times New Roman" w:cs="Times New Roman"/>
          <w:b w:val="0"/>
          <w:i/>
          <w:color w:val="000000"/>
          <w:sz w:val="26"/>
        </w:rPr>
        <w:t>Forum for Economic and Financial Studies</w:t>
      </w:r>
      <w:r>
        <w:rPr>
          <w:rFonts w:ascii="Times New Roman" w:hAnsi="Times New Roman" w:eastAsia="Times New Roman" w:cs="Times New Roman"/>
          <w:b w:val="0"/>
          <w:i w:val="0"/>
          <w:color w:val="000000"/>
          <w:sz w:val="26"/>
        </w:rPr>
        <w:t>, 2(4), 2132.</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[102] OECD, World Bank (2014), </w:t>
      </w:r>
      <w:r>
        <w:rPr>
          <w:rFonts w:ascii="Times New Roman" w:hAnsi="Times New Roman" w:eastAsia="Times New Roman" w:cs="Times New Roman"/>
          <w:b w:val="0"/>
          <w:i/>
          <w:color w:val="000000"/>
          <w:sz w:val="26"/>
        </w:rPr>
        <w:t>Science, Technology and Innovation in Viet Nam</w:t>
      </w:r>
      <w:r>
        <w:rPr>
          <w:rFonts w:ascii="Times New Roman" w:hAnsi="Times New Roman" w:eastAsia="Times New Roman" w:cs="Times New Roman"/>
          <w:b w:val="0"/>
          <w:i w:val="0"/>
          <w:color w:val="000000"/>
          <w:sz w:val="26"/>
        </w:rPr>
        <w:t>, OECD Reviews of Innovation Policy,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[103] OECD (2014), </w:t>
      </w:r>
      <w:r>
        <w:rPr>
          <w:rFonts w:ascii="Times New Roman" w:hAnsi="Times New Roman" w:eastAsia="Times New Roman" w:cs="Times New Roman"/>
          <w:b w:val="0"/>
          <w:i/>
          <w:color w:val="000000"/>
          <w:sz w:val="26"/>
        </w:rPr>
        <w:t>Measuring the Digital Economy: A New Perspective</w:t>
      </w:r>
      <w:r>
        <w:rPr>
          <w:rFonts w:ascii="Times New Roman" w:hAnsi="Times New Roman" w:eastAsia="Times New Roman" w:cs="Times New Roman"/>
          <w:b w:val="0"/>
          <w:i w:val="0"/>
          <w:color w:val="000000"/>
          <w:sz w:val="26"/>
        </w:rPr>
        <w:t>,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[104] OECD (2020), </w:t>
      </w:r>
      <w:r>
        <w:rPr>
          <w:rFonts w:ascii="Times New Roman" w:hAnsi="Times New Roman" w:eastAsia="Times New Roman" w:cs="Times New Roman"/>
          <w:b w:val="0"/>
          <w:i/>
          <w:color w:val="000000"/>
          <w:sz w:val="26"/>
        </w:rPr>
        <w:t>A Roadmap toward a Common Framework for Measuring the Digital Economy</w:t>
      </w:r>
      <w:r>
        <w:rPr>
          <w:rFonts w:ascii="Times New Roman" w:hAnsi="Times New Roman" w:eastAsia="Times New Roman" w:cs="Times New Roman"/>
          <w:b w:val="0"/>
          <w:i w:val="0"/>
          <w:color w:val="000000"/>
          <w:sz w:val="26"/>
        </w:rPr>
        <w:t>, Report for the G20 Digital Economy Task Force, OECD,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[105] Pan W., Xie T., Wang Z., Ma L. (2022), “Digital economy: An innovation driver for total factor productivity”, </w:t>
      </w:r>
      <w:r>
        <w:rPr>
          <w:rFonts w:ascii="Times New Roman" w:hAnsi="Times New Roman" w:eastAsia="Times New Roman" w:cs="Times New Roman"/>
          <w:b w:val="0"/>
          <w:i/>
          <w:color w:val="000000"/>
          <w:sz w:val="26"/>
        </w:rPr>
        <w:t>Journal of Business Research</w:t>
      </w:r>
      <w:r>
        <w:rPr>
          <w:rFonts w:ascii="Times New Roman" w:hAnsi="Times New Roman" w:eastAsia="Times New Roman" w:cs="Times New Roman"/>
          <w:b w:val="0"/>
          <w:i w:val="0"/>
          <w:color w:val="000000"/>
          <w:sz w:val="26"/>
        </w:rPr>
        <w:t>, 139, 303-311.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[106] Park W.G. (2008), “International patent protection: 1960-2005”,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37(4), 761-766.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[107] Shane S. (2004), “Encouraging university entrepreneurship? The effect of the Bayh-Dole Act on university patenting in the United States”, </w:t>
      </w:r>
      <w:r>
        <w:rPr>
          <w:rFonts w:ascii="Times New Roman" w:hAnsi="Times New Roman" w:eastAsia="Times New Roman" w:cs="Times New Roman"/>
          <w:b w:val="0"/>
          <w:i/>
          <w:color w:val="000000"/>
          <w:sz w:val="26"/>
        </w:rPr>
        <w:t>Journal of Business Venturing</w:t>
      </w:r>
      <w:r>
        <w:rPr>
          <w:rFonts w:ascii="Times New Roman" w:hAnsi="Times New Roman" w:eastAsia="Times New Roman" w:cs="Times New Roman"/>
          <w:b w:val="0"/>
          <w:i w:val="0"/>
          <w:color w:val="000000"/>
          <w:sz w:val="26"/>
        </w:rPr>
        <w:t>, 19, 127-151.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[108] Shapiro C., Varian H.R. (1999), </w:t>
      </w:r>
      <w:r>
        <w:rPr>
          <w:rFonts w:ascii="Times New Roman" w:hAnsi="Times New Roman" w:eastAsia="Times New Roman" w:cs="Times New Roman"/>
          <w:b w:val="0"/>
          <w:i/>
          <w:color w:val="000000"/>
          <w:sz w:val="26"/>
        </w:rPr>
        <w:t>Information Rules: A Strategic Guide to the Network Economy</w:t>
      </w:r>
      <w:r>
        <w:rPr>
          <w:rFonts w:ascii="Times New Roman" w:hAnsi="Times New Roman" w:eastAsia="Times New Roman" w:cs="Times New Roman"/>
          <w:b w:val="0"/>
          <w:i w:val="0"/>
          <w:color w:val="000000"/>
          <w:sz w:val="26"/>
        </w:rPr>
        <w:t>, Harvard Business School Press, Boston.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[109] Siegel D.S., Waldman D., Link A. (2003), “Assessing the impact of organizational practices on the relative productivity of university technology transfer offices: An exploratory study”,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32(1), 27-48.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[110] Siegel D.S., Veugelers R., Wright M. (2007), “Technology transfer offices and commercialization of university intellectual property: Performance and policy implications”, </w:t>
      </w:r>
      <w:r>
        <w:rPr>
          <w:rFonts w:ascii="Times New Roman" w:hAnsi="Times New Roman" w:eastAsia="Times New Roman" w:cs="Times New Roman"/>
          <w:b w:val="0"/>
          <w:i/>
          <w:color w:val="000000"/>
          <w:sz w:val="26"/>
        </w:rPr>
        <w:t>Oxford Review of Economic Policy</w:t>
      </w:r>
      <w:r>
        <w:rPr>
          <w:rFonts w:ascii="Times New Roman" w:hAnsi="Times New Roman" w:eastAsia="Times New Roman" w:cs="Times New Roman"/>
          <w:b w:val="0"/>
          <w:i w:val="0"/>
          <w:color w:val="000000"/>
          <w:sz w:val="26"/>
        </w:rPr>
        <w:t>, 23(4), 640-660.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[111] Sinnreich A. (2019), </w:t>
      </w:r>
      <w:r>
        <w:rPr>
          <w:rFonts w:ascii="Times New Roman" w:hAnsi="Times New Roman" w:eastAsia="Times New Roman" w:cs="Times New Roman"/>
          <w:b w:val="0"/>
          <w:i/>
          <w:color w:val="000000"/>
          <w:sz w:val="26"/>
        </w:rPr>
        <w:t>The Essential Guide to Intellectual Property</w:t>
      </w:r>
      <w:r>
        <w:rPr>
          <w:rFonts w:ascii="Times New Roman" w:hAnsi="Times New Roman" w:eastAsia="Times New Roman" w:cs="Times New Roman"/>
          <w:b w:val="0"/>
          <w:i w:val="0"/>
          <w:color w:val="000000"/>
          <w:sz w:val="26"/>
        </w:rPr>
        <w:t>, Yale University Press, New Haven.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[112] Tapscott D. (1996),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McGraw-Hill,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[113] Teece D.J. (1986), “Profiting from technological innovation: Implications for integration, collaboration, licensing and public policy”,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15(6), 285-305.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[114] Thompson M.A., Rushing F.W. (1996), “An empirical analysis of the impact of patent protection on economic growth”, </w:t>
      </w:r>
      <w:r>
        <w:rPr>
          <w:rFonts w:ascii="Times New Roman" w:hAnsi="Times New Roman" w:eastAsia="Times New Roman" w:cs="Times New Roman"/>
          <w:b w:val="0"/>
          <w:i/>
          <w:color w:val="000000"/>
          <w:sz w:val="26"/>
        </w:rPr>
        <w:t>Journal of Economic Development</w:t>
      </w:r>
      <w:r>
        <w:rPr>
          <w:rFonts w:ascii="Times New Roman" w:hAnsi="Times New Roman" w:eastAsia="Times New Roman" w:cs="Times New Roman"/>
          <w:b w:val="0"/>
          <w:i w:val="0"/>
          <w:color w:val="000000"/>
          <w:sz w:val="26"/>
        </w:rPr>
        <w:t>, 21(2), 61-79.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[115] Thursby J.G., Kemp S. (2002), “Growth and productive efficiency of university intellectual property licensing”,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31, 109-124.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[116] Tran Van Hai (2022), “Applying digital competence framework in exploiting information for commercialisation of intellectual property rights purposes”,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38(3), 41-50.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[117] Truong Nam Trung (2020), “Institutional improvements for the development of digital economy in Vietnam”, </w:t>
      </w:r>
      <w:r>
        <w:rPr>
          <w:rFonts w:ascii="Times New Roman" w:hAnsi="Times New Roman" w:eastAsia="Times New Roman" w:cs="Times New Roman"/>
          <w:b w:val="0"/>
          <w:i/>
          <w:color w:val="000000"/>
          <w:sz w:val="26"/>
        </w:rPr>
        <w:t>Tạp chí Công Thương</w:t>
      </w:r>
      <w:r>
        <w:rPr>
          <w:rFonts w:ascii="Times New Roman" w:hAnsi="Times New Roman" w:eastAsia="Times New Roman" w:cs="Times New Roman"/>
          <w:b w:val="0"/>
          <w:i w:val="0"/>
          <w:color w:val="000000"/>
          <w:sz w:val="26"/>
        </w:rPr>
        <w:t>, (25), 99-104.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[118] UNCTAD (2017), </w:t>
      </w:r>
      <w:r>
        <w:rPr>
          <w:rFonts w:ascii="Times New Roman" w:hAnsi="Times New Roman" w:eastAsia="Times New Roman" w:cs="Times New Roman"/>
          <w:b w:val="0"/>
          <w:i/>
          <w:color w:val="000000"/>
          <w:sz w:val="26"/>
        </w:rPr>
        <w:t>The 'New' Digital Economy and Development</w:t>
      </w:r>
      <w:r>
        <w:rPr>
          <w:rFonts w:ascii="Times New Roman" w:hAnsi="Times New Roman" w:eastAsia="Times New Roman" w:cs="Times New Roman"/>
          <w:b w:val="0"/>
          <w:i w:val="0"/>
          <w:color w:val="000000"/>
          <w:sz w:val="26"/>
        </w:rPr>
        <w:t>, UNCTAD Technical Notes on ICT for Development No. 8, UNCTAD.</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[119] UNCTAD (2019), </w:t>
      </w:r>
      <w:r>
        <w:rPr>
          <w:rFonts w:ascii="Times New Roman" w:hAnsi="Times New Roman" w:eastAsia="Times New Roman" w:cs="Times New Roman"/>
          <w:b w:val="0"/>
          <w:i/>
          <w:color w:val="000000"/>
          <w:sz w:val="26"/>
        </w:rPr>
        <w:t>Digital Economy Report 2019: Value Creation and Capture: Implications for Developing Countries</w:t>
      </w:r>
      <w:r>
        <w:rPr>
          <w:rFonts w:ascii="Times New Roman" w:hAnsi="Times New Roman" w:eastAsia="Times New Roman" w:cs="Times New Roman"/>
          <w:b w:val="0"/>
          <w:i w:val="0"/>
          <w:color w:val="000000"/>
          <w:sz w:val="26"/>
        </w:rPr>
        <w:t>, United Nations, New York and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[120] UNCTAD (2024), </w:t>
      </w:r>
      <w:r>
        <w:rPr>
          <w:rFonts w:ascii="Times New Roman" w:hAnsi="Times New Roman" w:eastAsia="Times New Roman" w:cs="Times New Roman"/>
          <w:b w:val="0"/>
          <w:i/>
          <w:color w:val="000000"/>
          <w:sz w:val="26"/>
        </w:rPr>
        <w:t>K-Content Goes Global: How Government Support and Copyright Policy Fuelled the Republic of Korea's Creative Economy</w:t>
      </w:r>
      <w:r>
        <w:rPr>
          <w:rFonts w:ascii="Times New Roman" w:hAnsi="Times New Roman" w:eastAsia="Times New Roman" w:cs="Times New Roman"/>
          <w:b w:val="0"/>
          <w:i w:val="0"/>
          <w:color w:val="000000"/>
          <w:sz w:val="26"/>
        </w:rPr>
        <w:t>, United Nations,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[121] United Nations Economic Commission for Europe (2011), </w:t>
      </w:r>
      <w:r>
        <w:rPr>
          <w:rFonts w:ascii="Times New Roman" w:hAnsi="Times New Roman" w:eastAsia="Times New Roman" w:cs="Times New Roman"/>
          <w:b w:val="0"/>
          <w:i/>
          <w:color w:val="000000"/>
          <w:sz w:val="26"/>
        </w:rPr>
        <w:t>Intellectual Property Commercialization: Policy Options and Practical Instruments</w:t>
      </w:r>
      <w:r>
        <w:rPr>
          <w:rFonts w:ascii="Times New Roman" w:hAnsi="Times New Roman" w:eastAsia="Times New Roman" w:cs="Times New Roman"/>
          <w:b w:val="0"/>
          <w:i w:val="0"/>
          <w:color w:val="000000"/>
          <w:sz w:val="26"/>
        </w:rPr>
        <w:t>, United Nations, New York and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[122] Williams H.L. (2013), “Intellectual property rights and innovation: Evidence from the human genome”, </w:t>
      </w:r>
      <w:r>
        <w:rPr>
          <w:rFonts w:ascii="Times New Roman" w:hAnsi="Times New Roman" w:eastAsia="Times New Roman" w:cs="Times New Roman"/>
          <w:b w:val="0"/>
          <w:i/>
          <w:color w:val="000000"/>
          <w:sz w:val="26"/>
        </w:rPr>
        <w:t>Journal of Political Economy</w:t>
      </w:r>
      <w:r>
        <w:rPr>
          <w:rFonts w:ascii="Times New Roman" w:hAnsi="Times New Roman" w:eastAsia="Times New Roman" w:cs="Times New Roman"/>
          <w:b w:val="0"/>
          <w:i w:val="0"/>
          <w:color w:val="000000"/>
          <w:sz w:val="26"/>
        </w:rPr>
        <w:t>, 121(1), 1-27.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[123] World Intellectual Property Organization (2024), </w:t>
      </w:r>
      <w:r>
        <w:rPr>
          <w:rFonts w:ascii="Times New Roman" w:hAnsi="Times New Roman" w:eastAsia="Times New Roman" w:cs="Times New Roman"/>
          <w:b w:val="0"/>
          <w:i/>
          <w:color w:val="000000"/>
          <w:sz w:val="26"/>
        </w:rPr>
        <w:t>World Intellectual Property Report 2024: Making Innovation Policy Work for Development</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[124] World Intellectual Property Organization, Luiss Business School (2024),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[125] World Intellectual Property Organization (2024), </w:t>
      </w:r>
      <w:r>
        <w:rPr>
          <w:rFonts w:ascii="Times New Roman" w:hAnsi="Times New Roman" w:eastAsia="Times New Roman" w:cs="Times New Roman"/>
          <w:b w:val="0"/>
          <w:i/>
          <w:color w:val="000000"/>
          <w:sz w:val="26"/>
        </w:rPr>
        <w:t>Models of Intellectual Property Governance and Administration</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[126] World Intellectual Property Organization (2026),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[127] Yang G., Maskus K.E. (2001), “Intellectual property rights and licensing: An econometric investigation”, </w:t>
      </w:r>
      <w:r>
        <w:rPr>
          <w:rFonts w:ascii="Times New Roman" w:hAnsi="Times New Roman" w:eastAsia="Times New Roman" w:cs="Times New Roman"/>
          <w:b w:val="0"/>
          <w:i/>
          <w:color w:val="000000"/>
          <w:sz w:val="26"/>
        </w:rPr>
        <w:t>Weltwirtschaftliches Archiv</w:t>
      </w:r>
      <w:r>
        <w:rPr>
          <w:rFonts w:ascii="Times New Roman" w:hAnsi="Times New Roman" w:eastAsia="Times New Roman" w:cs="Times New Roman"/>
          <w:b w:val="0"/>
          <w:i w:val="0"/>
          <w:color w:val="000000"/>
          <w:sz w:val="26"/>
        </w:rPr>
        <w:t>, 137(1), 58-79.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[128] Yuan B., Li W. (2025), “Legal infrastructures for firm innovation: Effects of intellectual property protection in the era of digital economy”, </w:t>
      </w:r>
      <w:r>
        <w:rPr>
          <w:rFonts w:ascii="Times New Roman" w:hAnsi="Times New Roman" w:eastAsia="Times New Roman" w:cs="Times New Roman"/>
          <w:b w:val="0"/>
          <w:i/>
          <w:color w:val="000000"/>
          <w:sz w:val="26"/>
        </w:rPr>
        <w:t>Finance Research Letters</w:t>
      </w:r>
      <w:r>
        <w:rPr>
          <w:rFonts w:ascii="Times New Roman" w:hAnsi="Times New Roman" w:eastAsia="Times New Roman" w:cs="Times New Roman"/>
          <w:b w:val="0"/>
          <w:i w:val="0"/>
          <w:color w:val="000000"/>
          <w:sz w:val="26"/>
        </w:rPr>
        <w:t>, 71, 106343.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[129] Zheng P., Li Z., Zhuang Z. (2023), “The impact of judicial protection of intellectual property on digital innovation: Evidence from China”, </w:t>
      </w:r>
      <w:r>
        <w:rPr>
          <w:rFonts w:ascii="Times New Roman" w:hAnsi="Times New Roman" w:eastAsia="Times New Roman" w:cs="Times New Roman"/>
          <w:b w:val="0"/>
          <w:i/>
          <w:color w:val="000000"/>
          <w:sz w:val="26"/>
        </w:rPr>
        <w:t>Finance Research Letters</w:t>
      </w:r>
      <w:r>
        <w:rPr>
          <w:rFonts w:ascii="Times New Roman" w:hAnsi="Times New Roman" w:eastAsia="Times New Roman" w:cs="Times New Roman"/>
          <w:b w:val="0"/>
          <w:i w:val="0"/>
          <w:color w:val="000000"/>
          <w:sz w:val="26"/>
        </w:rPr>
        <w:t>, 58, 104257.</w:t>
      </w:r>
    </w:p>
    <w:sectPr w:rsidR="00FC693F" w:rsidRPr="0006063C" w:rsidSect="00034616">
      <w:headerReference w:type="default" r:id="rId11"/>
      <w:pgSz w:w="11906" w:h="16838"/>
      <w:pgMar w:top="1984" w:right="1134" w:bottom="1701" w:left="1984" w:header="720" w:footer="720"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26"/>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26"/>
      </w:rPr>
      <w:fldChar w:fldCharType="begin"/>
      <w:instrText xml:space="preserve">PAGE</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both"/>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both"/>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ind w:firstLine="0"/>
      <w:jc w:val="both"/>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bang">
    <w:name w:val="Chu thich hinh bang"/>
    <w:basedOn w:val="Normal"/>
    <w:pPr>
      <w:jc w:val="center"/>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