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Coming into Spring 2025, we have this model: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located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information about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dataset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CFDB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Goals: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Hypothesis: How to improve wildfire frameworks?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shd w:fill="9ce1ff" w:val="clear"/>
          <w:rtl w:val="0"/>
        </w:rPr>
        <w:t xml:space="preserve">Mar 13,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Navigate our purpose with research questions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Use APIs to extract descriptors such as colors to compare with ground truth/ human annotation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Gemini, etc.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Possibility to use non-corsican dataset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Expanding dataset variability,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Temporal fire analysis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Shape what contribution the work can provide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Look at some relevant papers on the topic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Not necessarily wildfire paper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Autonomous vehicle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Image quantification data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What are the hypotheses for the enable outcome (in Future Directions)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Outcomes for each direction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Explore 1-2 papers related to the topic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What does it mean to have insights in these topics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What methods are in these directions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kV79pwxz4n8LRhD3bvmDYR3zu6DyPpW6?usp=drive_link" TargetMode="External"/><Relationship Id="rId8" Type="http://schemas.openxmlformats.org/officeDocument/2006/relationships/hyperlink" Target="https://cfdb.univ-corse.fr/catalog_repository/uploads/7/Donnees_image__Corsican_Fire_Database_en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