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SERVICES AND SUPPLY AGREEMENT</w:t>
      </w:r>
    </w:p>
    <w:p>
      <w:r>
        <w:t xml:space="preserve">Agreement reference: SAS-2402</w:t>
      </w:r>
    </w:p>
    <w:p>
      <w:r>
        <w:t xml:space="preserve">Supplier: Vaalkop Industrial Services</w:t>
      </w:r>
    </w:p>
    <w:p>
      <w:r>
        <w:t xml:space="preserve">Category: Scaffolding and Insulation</w:t>
      </w:r>
    </w:p>
    <w:p>
      <w:r>
        <w:t xml:space="preserve">Delivery site: Secunda</w:t>
      </w:r>
    </w:p>
    <w:p>
      <w:r>
        <w:t xml:space="preserve">Commencement date: 1 November 2023</w:t>
      </w:r>
    </w:p>
    <w:p/>
    <w:p>
      <w:pPr>
        <w:pStyle w:val="Heading1"/>
      </w:pPr>
      <w:r>
        <w:t xml:space="preserve">1. SCOPE</w:t>
      </w:r>
    </w:p>
    <w:p>
      <w:r>
        <w:t xml:space="preserve">1.1 The Supplier shall provide scaffolding and insulation to the Purchaser at the Secunda site, on the terms set out in this Agreement and in any Annexure to it.</w:t>
      </w:r>
    </w:p>
    <w:p>
      <w:pPr>
        <w:pStyle w:val="Heading1"/>
      </w:pPr>
      <w:r>
        <w:t xml:space="preserve">2. PRICING AND INVOICING</w:t>
      </w:r>
    </w:p>
    <w:p>
      <w:r>
        <w:t xml:space="preserve">2.1 Pricing is as set out in the rate schedule agreed between the parties and is exclusive of value added tax.</w:t>
      </w:r>
    </w:p>
    <w:p>
      <w:r>
        <w:t xml:space="preserve">2.2 The Supplier shall invoice the Purchaser for goods delivered or services rendered, quoting the Purchaser's order number on each tax invoice.</w:t>
      </w:r>
    </w:p>
    <w:p>
      <w:r>
        <w:t xml:space="preserve">2.3 The rates in the schedule shall be adjusted annually on the anniversary of the Commencement Date by the change in the Consumer Price Index for the preceding twelve months. No adjustment shall take effect unless the Supplier has given the Purchaser thirty days written notice of the adjusted rates.</w:t>
      </w:r>
    </w:p>
    <w:p>
      <w:pPr>
        <w:pStyle w:val="Heading1"/>
      </w:pPr>
      <w:r>
        <w:t xml:space="preserve">3. PAYMENT</w:t>
      </w:r>
    </w:p>
    <w:p>
      <w:r>
        <w:t xml:space="preserve">3.1 Payment shall be made by the Purchaser within 60 (sixty) days of receipt of a valid tax invoice, provided that the goods or services have been accepted in accordance with clause 7.</w:t>
      </w:r>
    </w:p>
    <w:p>
      <w:r>
        <w:t xml:space="preserve">3.2 Should the Purchaser settle a valid invoice within 10 (ten) days of receipt, the Purchaser shall be entitled to deduct a settlement discount of 2.0 per cent of the invoice value excluding value added tax.</w:t>
      </w:r>
    </w:p>
    <w:p>
      <w:r>
        <w:t xml:space="preserve">3.3 No payment shall be withheld other than in respect of a bona fide dispute raised in writing within ten days of receipt of the invoice.</w:t>
      </w:r>
    </w:p>
    <w:p>
      <w:pPr>
        <w:pStyle w:val="Heading1"/>
      </w:pPr>
      <w:r>
        <w:t xml:space="preserve">4. DURATION AND NOTICE</w:t>
      </w:r>
    </w:p>
    <w:p>
      <w:r>
        <w:t xml:space="preserve">4.1 This Agreement endures for thirty six months from the Commencement Date and renews automatically for successive twelve month periods unless either party gives ninety days written notice of termination before the end of the then current period.</w:t>
      </w:r>
    </w:p>
    <w:p>
      <w:pPr>
        <w:pStyle w:val="Heading1"/>
      </w:pPr>
      <w:r>
        <w:t xml:space="preserve">5. GENERAL</w:t>
      </w:r>
    </w:p>
    <w:p>
      <w:r>
        <w:t xml:space="preserve">5.1 This Agreement, together with its Annexures, constitutes the whole agreement between the parties. Where an Annexure conflicts with the body of this Agreement, the Annexure prevails.</w:t>
      </w:r>
    </w:p>
    <w:p>
      <w:r>
        <w:t xml:space="preserve">5.2 No amendment of this Agreement has any effect unless it is in writing and signed by both parties.</w:t>
      </w:r>
    </w:p>
    <w:p>
      <w:pPr>
        <w:pStyle w:val="Heading1"/>
      </w:pPr>
      <w:r>
        <w:t xml:space="preserve">6. DISPUTES</w:t>
      </w:r>
    </w:p>
    <w:p>
      <w:r>
        <w:t xml:space="preserve">6.1 A dispute about an invoice is raised in writing with the Purchaser's accounts payable team, which responds within ten business days.</w:t>
      </w:r>
    </w:p>
    <w:p>
      <w:pPr>
        <w:pStyle w:val="Heading1"/>
      </w:pPr>
      <w:r>
        <w:t xml:space="preserve">7. ACCEPTANCE</w:t>
      </w:r>
    </w:p>
    <w:p>
      <w:r>
        <w:t xml:space="preserve">7.1 Goods or services are accepted when the Purchaser confirms in writing that they conform to the order, or fourteen days after delivery if no written rejection has been given.</w:t>
      </w:r>
    </w:p>
    <w:p>
      <w:pPr>
        <w:pStyle w:val="Heading1"/>
      </w:pPr>
      <w:r>
        <w:t xml:space="preserve">8. SIGNATURE</w:t>
      </w:r>
    </w:p>
    <w:p>
      <w:r>
        <w:t xml:space="preserve">Signed for the Supplier by its Managing Director on 25 October 2023.</w:t>
      </w:r>
    </w:p>
    <w:p>
      <w:r>
        <w:t xml:space="preserve">Signed for the Purchaser by its Category Manager on 28 October 2023.</w:t>
      </w:r>
    </w:p>
    <w:p>
      <w:r>
        <w:br w:type="page"/>
      </w:r>
    </w:p>
    <w:p>
      <w:pPr>
        <w:pStyle w:val="Heading1"/>
      </w:pPr>
      <w:r>
        <w:t xml:space="preserve">SIDE LETTER: SETTLEMENT DISCOUNT</w:t>
      </w:r>
    </w:p>
    <w:p>
      <w:r>
        <w:t xml:space="preserve">Dated 20 June 2025, from the Supplier to the Purchaser.</w:t>
      </w:r>
    </w:p>
    <w:p>
      <w:r>
        <w:t xml:space="preserve">Further to clause 3.2 of the Agreement, the Supplier confirms that, with effect from 1 July 2025, the Purchaser may deduct the settlement discount of 2.0 per cent where it settles a valid invoice within 15 (fifteen) days of receipt.</w:t>
      </w:r>
    </w:p>
    <w:p>
      <w:r>
        <w:t xml:space="preserve">Signed for the Supplier by its Financial Director on 20 June 2025.</w:t>
      </w:r>
    </w:p>
    <w:p>
      <w:r>
        <w:t xml:space="preserve">Acknowledged for the Purchaser by its Category Manager on 24 June 2025.</w:t>
      </w:r>
    </w:p>
    <w:sectPr>
      <w:pgSz w:w="11906" w:h="16838"/>
      <w:pgMar w:top="1300" w:right="1300" w:bottom="1300" w:left="1300" w:header="600" w:footer="600" w:gutter="0"/>
    </w:sectPr>
  </w:body>
</w:document>
</file>

<file path=word/styles.xml><?xml version="1.0" encoding="utf-8"?>
<w:styles xmlns:w="http://schemas.openxmlformats.org/wordprocessingml/2006/main">
  <w:docDefaults>
    <w:rPrDefault>
      <w:rPr>
        <w:rFonts w:ascii="Arial" w:hAnsi="Arial" w:cs="Arial"/>
        <w:sz w:val="21"/>
      </w:rPr>
    </w:rPrDefault>
    <w:pPrDefault>
      <w:pPr>
        <w:spacing w:after="120" w:line="276" w:lineRule="auto"/>
      </w:pPr>
    </w:pPrDefault>
  </w:docDefaults>
  <w:style w:type="paragraph" w:default="1" w:styleId="Normal">
    <w:name w:val="Normal"/>
  </w:style>
  <w:style w:type="paragraph" w:styleId="Title">
    <w:name w:val="Title"/>
    <w:basedOn w:val="Normal"/>
    <w:pPr>
      <w:spacing w:after="200"/>
    </w:pPr>
    <w:rPr>
      <w:b/>
      <w:color w:val="003862"/>
      <w:sz w:val="36"/>
    </w:rPr>
  </w:style>
  <w:style w:type="paragraph" w:styleId="Heading1">
    <w:name w:val="heading 1"/>
    <w:basedOn w:val="Normal"/>
    <w:pPr>
      <w:spacing w:before="240" w:after="120"/>
      <w:outlineLvl w:val="0"/>
    </w:pPr>
    <w:rPr>
      <w:b/>
      <w:color w:val="003862"/>
      <w:sz w:val="26"/>
    </w:rPr>
  </w:style>
  <w:style w:type="paragraph" w:styleId="Heading2">
    <w:name w:val="heading 2"/>
    <w:basedOn w:val="Normal"/>
    <w:pPr>
      <w:spacing w:before="200" w:after="80"/>
      <w:outlineLvl w:val="1"/>
    </w:pPr>
    <w:rPr>
      <w:b/>
      <w:color w:val="007DB6"/>
      <w:sz w:val="22"/>
    </w:rPr>
  </w:style>
  <w:style w:type="paragraph" w:styleId="Small">
    <w:name w:val="Small"/>
    <w:basedOn w:val="Normal"/>
    <w:rPr>
      <w:color w:val="5A6B78"/>
      <w:sz w:val="17"/>
    </w:rPr>
  </w:style>
  <w:style w:type="table" w:styleId="Grid">
    <w:name w:val="Grid"/>
    <w:tblPr>
      <w:tblBorders>
        <w:top w:val="single" w:sz="4" w:color="C9D3DC"/>
        <w:bottom w:val="single" w:sz="4" w:color="C9D3DC"/>
        <w:insideH w:val="single" w:sz="4" w:color="C9D3DC"/>
      </w:tblBorders>
      <w:tblCellMar>
        <w:left w:w="8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