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SAS-2404</w:t>
      </w:r>
    </w:p>
    <w:p>
      <w:r>
        <w:t xml:space="preserve">Supplier: Komati Conveyor Maintenance</w:t>
      </w:r>
    </w:p>
    <w:p>
      <w:r>
        <w:t xml:space="preserve">Category: Conveyor Maintenance</w:t>
      </w:r>
    </w:p>
    <w:p>
      <w:r>
        <w:t xml:space="preserve">Delivery site: Secunda</w:t>
      </w:r>
    </w:p>
    <w:p>
      <w:r>
        <w:t xml:space="preserve">Commencement date: 1 September 2023</w:t>
      </w:r>
    </w:p>
    <w:p/>
    <w:p>
      <w:pPr>
        <w:pStyle w:val="Heading1"/>
      </w:pPr>
      <w:r>
        <w:t xml:space="preserve">1. SCOPE</w:t>
      </w:r>
    </w:p>
    <w:p>
      <w:r>
        <w:t xml:space="preserve">1.1 The Supplier shall provide conveyor maintenance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90 (ninety)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25 August 2023.</w:t>
      </w:r>
    </w:p>
    <w:p>
      <w:r>
        <w:t xml:space="preserve">Signed for the Purchaser by its Category Manager on 28 August 2023.</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