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SAS-2405</w:t>
      </w:r>
    </w:p>
    <w:p>
      <w:r>
        <w:t xml:space="preserve">Supplier: Sandspruit Analytical Labs</w:t>
      </w:r>
    </w:p>
    <w:p>
      <w:r>
        <w:t xml:space="preserve">Category: Analytical Services</w:t>
      </w:r>
    </w:p>
    <w:p>
      <w:r>
        <w:t xml:space="preserve">Delivery site: Sasolburg</w:t>
      </w:r>
    </w:p>
    <w:p>
      <w:r>
        <w:t xml:space="preserve">Commencement date: 3 March 2025</w:t>
      </w:r>
    </w:p>
    <w:p/>
    <w:p>
      <w:pPr>
        <w:pStyle w:val="Heading1"/>
      </w:pPr>
      <w:r>
        <w:t xml:space="preserve">1. SCOPE</w:t>
      </w:r>
    </w:p>
    <w:p>
      <w:r>
        <w:t xml:space="preserve">1.1 The Supplier shall provide analytical services to the Purchaser at the Sasolburg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r>
        <w:t xml:space="preserve">3.4 The Supplier is a qualifying small enterprise under the Broad-Based Black Economic Empowerment Codes of Good Practice. As part of its enterprise and supplier development programme, the Purchaser aims to pay the Supplier's valid tax invoices within 15 (fifteen) days of receipt, for as long as the Supplier holds a valid B-BBEE verification certificate as a qualifying small enterprise.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24 February 2025.</w:t>
      </w:r>
    </w:p>
    <w:p>
      <w:r>
        <w:t xml:space="preserve">Signed for the Purchaser by its Category Manager on 27 February 2025.</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