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SAS-2409</w:t>
      </w:r>
    </w:p>
    <w:p>
      <w:r>
        <w:t xml:space="preserve">Supplier: Witbank Refractory Services</w:t>
      </w:r>
    </w:p>
    <w:p>
      <w:r>
        <w:t xml:space="preserve">Category: Refractory and Linings</w:t>
      </w:r>
    </w:p>
    <w:p>
      <w:r>
        <w:t xml:space="preserve">Delivery site: Secunda</w:t>
      </w:r>
    </w:p>
    <w:p>
      <w:r>
        <w:t xml:space="preserve">Commencement date: 4 November 2024</w:t>
      </w:r>
    </w:p>
    <w:p/>
    <w:p>
      <w:pPr>
        <w:pStyle w:val="Heading1"/>
      </w:pPr>
      <w:r>
        <w:t xml:space="preserve">1. SCOPE</w:t>
      </w:r>
    </w:p>
    <w:p>
      <w:r>
        <w:t xml:space="preserve">1.1 The Supplier shall provide refractory and linings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45 (forty five)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28 October 2024.</w:t>
      </w:r>
    </w:p>
    <w:p>
      <w:r>
        <w:t xml:space="preserve">Signed for the Purchaser by its Category Manager on 31 October 2024.</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