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SAS-2411</w:t>
      </w:r>
    </w:p>
    <w:p>
      <w:r>
        <w:t xml:space="preserve">Supplier: Steelpoort Fabrication Works</w:t>
      </w:r>
    </w:p>
    <w:p>
      <w:r>
        <w:t xml:space="preserve">Category: Fabrication</w:t>
      </w:r>
    </w:p>
    <w:p>
      <w:r>
        <w:t xml:space="preserve">Delivery site: Secunda</w:t>
      </w:r>
    </w:p>
    <w:p>
      <w:r>
        <w:t xml:space="preserve">Commencement date: 6 May 2024</w:t>
      </w:r>
    </w:p>
    <w:p/>
    <w:p>
      <w:pPr>
        <w:pStyle w:val="Heading1"/>
      </w:pPr>
      <w:r>
        <w:t xml:space="preserve">1. SCOPE</w:t>
      </w:r>
    </w:p>
    <w:p>
      <w:r>
        <w:t xml:space="preserve">1.1 The Supplier shall provide fabrication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submit a statement of account at the end of each month, listing the tax invoices issued in that month.</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60 (sixty) days from statement, provided that the goods or services have been accepted in accordance with clause 7.</w:t>
      </w:r>
    </w:p>
    <w:p>
      <w:r>
        <w:t xml:space="preserve">3.3 No payment shall be withheld other than in respect of a bona fide dispute raised in writing within ten days of receipt of the invoice.</w:t>
      </w:r>
    </w:p>
    <w:p>
      <w:r>
        <w:t xml:space="preserve">3.4 Periods for payment in this Agreement run from the date of receipt of a valid tax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29 April 2024.</w:t>
      </w:r>
    </w:p>
    <w:p>
      <w:r>
        <w:t xml:space="preserve">Signed for the Purchaser by its Category Manager on 2 May 2024.</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