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SAS-2500</w:t>
      </w:r>
    </w:p>
    <w:p>
      <w:r>
        <w:t xml:space="preserve">Panel: the approved suppliers for analytical services named in Schedule 1</w:t>
      </w:r>
    </w:p>
    <w:p>
      <w:r>
        <w:t xml:space="preserve">Category: Analytical Services</w:t>
      </w:r>
    </w:p>
    <w:p>
      <w:r>
        <w:t xml:space="preserve">Delivery site: Secunda and Sasolburg</w:t>
      </w:r>
    </w:p>
    <w:p>
      <w:r>
        <w:t xml:space="preserve">Commencement date: 10 November 2022</w:t>
      </w:r>
    </w:p>
    <w:p/>
    <w:p>
      <w:pPr>
        <w:pStyle w:val="Heading1"/>
      </w:pPr>
      <w:r>
        <w:t xml:space="preserve">1. SCOPE</w:t>
      </w:r>
    </w:p>
    <w:p>
      <w:r>
        <w:t xml:space="preserve">1.1 Each panel supplier shall provide analytical services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