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SAS-2501</w:t>
      </w:r>
    </w:p>
    <w:p>
      <w:r>
        <w:t xml:space="preserve">Panel: the approved suppliers for bearings and drives named in Schedule 1</w:t>
      </w:r>
    </w:p>
    <w:p>
      <w:r>
        <w:t xml:space="preserve">Category: Bearings and Drives</w:t>
      </w:r>
    </w:p>
    <w:p>
      <w:r>
        <w:t xml:space="preserve">Delivery site: Secunda and Sasolburg</w:t>
      </w:r>
    </w:p>
    <w:p>
      <w:r>
        <w:t xml:space="preserve">Commencement date: 07 December 2023</w:t>
      </w:r>
    </w:p>
    <w:p/>
    <w:p>
      <w:pPr>
        <w:pStyle w:val="Heading1"/>
      </w:pPr>
      <w:r>
        <w:t xml:space="preserve">1. SCOPE</w:t>
      </w:r>
    </w:p>
    <w:p>
      <w:r>
        <w:t xml:space="preserve">1.1 Each panel supplier shall provide bearings and drives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2.3 The rates in the schedule may be adjusted once a year, with effect from the anniversary of the Commencement Date, by no more than the annual change in headline CPI published by Statistics South Africa for the second month before the month in which notice of the adjusted rates is given. No adjustment shall take effect unless the panel supplier concerned has given the Purchaser thirty days written notice of the adjusted rates in terms of clause 8.1.</w:t>
      </w:r>
    </w:p>
    <w:p>
      <w:pPr>
        <w:pStyle w:val="Heading1"/>
      </w:pPr>
      <w:r>
        <w:t xml:space="preserve">3. PAYMENT</w:t>
      </w:r>
    </w:p>
    <w:p>
      <w:r>
        <w:t xml:space="preserve">3.1 Payment shall be made by the Purchaser within 60 (sixty)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