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SAS-2504</w:t>
      </w:r>
    </w:p>
    <w:p>
      <w:r>
        <w:t xml:space="preserve">Panel: the approved suppliers for calibration named in Schedule 1</w:t>
      </w:r>
    </w:p>
    <w:p>
      <w:r>
        <w:t xml:space="preserve">Category: Calibration</w:t>
      </w:r>
    </w:p>
    <w:p>
      <w:r>
        <w:t xml:space="preserve">Delivery site: Secunda and Sasolburg</w:t>
      </w:r>
    </w:p>
    <w:p>
      <w:r>
        <w:t xml:space="preserve">Commencement date: 18 February 2024</w:t>
      </w:r>
    </w:p>
    <w:p/>
    <w:p>
      <w:pPr>
        <w:pStyle w:val="Heading1"/>
      </w:pPr>
      <w:r>
        <w:t xml:space="preserve">1. SCOPE</w:t>
      </w:r>
    </w:p>
    <w:p>
      <w:r>
        <w:t xml:space="preserve">1.1 Each panel supplier shall provide calibration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2.3 The rates in the schedule may be adjusted once a year, with effect from the anniversary of the Commencement Date, by no more than the annual change in headline CPI published by Statistics South Africa for the second month before the month in which notice of the adjusted rates is given. No adjustment shall take effect unless the panel supplier concerned has given the Purchaser thirty days written notice of the adjusted rates in terms of clause 8.1.</w:t>
      </w:r>
    </w:p>
    <w:p>
      <w:pPr>
        <w:pStyle w:val="Heading1"/>
      </w:pPr>
      <w:r>
        <w:t xml:space="preserve">3. PAYMENT</w:t>
      </w:r>
    </w:p>
    <w:p>
      <w:r>
        <w:t xml:space="preserve">3.1 Payment shall be made by the Purchaser within 45 (forty five)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twenty four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