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PANEL AGREEMENT</w:t>
      </w:r>
    </w:p>
    <w:p>
      <w:r>
        <w:t xml:space="preserve">Agreement reference: SAS-2505</w:t>
      </w:r>
    </w:p>
    <w:p>
      <w:r>
        <w:t xml:space="preserve">Panel: the approved suppliers for conveyor maintenance named in Schedule 1</w:t>
      </w:r>
    </w:p>
    <w:p>
      <w:r>
        <w:t xml:space="preserve">Category: Conveyor Maintenance</w:t>
      </w:r>
    </w:p>
    <w:p>
      <w:r>
        <w:t xml:space="preserve">Delivery site: Secunda and Sasolburg</w:t>
      </w:r>
    </w:p>
    <w:p>
      <w:r>
        <w:t xml:space="preserve">Commencement date: 24 July 2022</w:t>
      </w:r>
    </w:p>
    <w:p/>
    <w:p>
      <w:pPr>
        <w:pStyle w:val="Heading1"/>
      </w:pPr>
      <w:r>
        <w:t xml:space="preserve">1. SCOPE</w:t>
      </w:r>
    </w:p>
    <w:p>
      <w:r>
        <w:t xml:space="preserve">1.1 Each panel supplier shall provide conveyor maintenance to the Purchaser at the Secunda and Sasolburg sites, on the terms set out in this Agreement and in any Annexure to it.</w:t>
      </w:r>
    </w:p>
    <w:p>
      <w:pPr>
        <w:pStyle w:val="Heading1"/>
      </w:pPr>
      <w:r>
        <w:t xml:space="preserve">2. PRICING</w:t>
      </w:r>
    </w:p>
    <w:p>
      <w:r>
        <w:t xml:space="preserve">2.1 Pricing is as set out in the rate schedule agreed between the parties and is exclusive of value added tax.</w:t>
      </w:r>
    </w:p>
    <w:p>
      <w:r>
        <w:t xml:space="preserve">2.2 The rates in the schedule are fixed for the duration of this Agreement, including any renewal period.</w:t>
      </w:r>
    </w:p>
    <w:p>
      <w:pPr>
        <w:pStyle w:val="Heading1"/>
      </w:pPr>
      <w:r>
        <w:t xml:space="preserve">3. PAYMENT</w:t>
      </w:r>
    </w:p>
    <w:p>
      <w:r>
        <w:t xml:space="preserve">3.1 Payment shall be made by the Purchaser within 30 (thirty) days of receipt of a valid tax invoice, provided that the goods or services have been accepted in accordance with clause 7.</w:t>
      </w:r>
    </w:p>
    <w:p>
      <w:r>
        <w:t xml:space="preserve">3.3 No payment shall be withheld other than in respect of a bona fide dispute raised in writing within ten days of receipt of the invoice.</w:t>
      </w:r>
    </w:p>
    <w:p>
      <w:pPr>
        <w:pStyle w:val="Heading1"/>
      </w:pPr>
      <w:r>
        <w:t xml:space="preserve">4. DURATION AND NOTICE</w:t>
      </w:r>
    </w:p>
    <w:p>
      <w:r>
        <w:t xml:space="preserve">4.1 This Agreement endures for sixty months from the Commencement Date and renews automatically for successive twenty four month periods unless either party gives one hundred and eighty days written notice of termination before the end of the then current period.</w:t>
      </w:r>
    </w:p>
    <w:p>
      <w:pPr>
        <w:pStyle w:val="Heading1"/>
      </w:pPr>
      <w:r>
        <w:t xml:space="preserve">5. GENERAL</w:t>
      </w:r>
    </w:p>
    <w:p>
      <w:r>
        <w:t xml:space="preserve">5.1 This Agreement, together with its Annexures, constitutes the whole agreement between the parties. Where an Annexure conflicts with the body of this Agreement, the Annexure prevails.</w:t>
      </w:r>
    </w:p>
    <w:p>
      <w:pPr>
        <w:pStyle w:val="Heading1"/>
      </w:pPr>
      <w:r>
        <w:t xml:space="preserve">6. DISPUTES</w:t>
      </w:r>
    </w:p>
    <w:p>
      <w:r>
        <w:t xml:space="preserve">6.1 A dispute about an invoice is raised in writing with the Purchaser's accounts payable team, which responds within ten business days.</w:t>
      </w:r>
    </w:p>
    <w:p>
      <w:pPr>
        <w:pStyle w:val="Heading1"/>
      </w:pPr>
      <w:r>
        <w:t xml:space="preserve">7. ACCEPTANCE</w:t>
      </w:r>
    </w:p>
    <w:p>
      <w:r>
        <w:t xml:space="preserve">7.1 Goods or services are accepted when the Purchaser confirms in writing that they conform to the order, or fourteen days after delivery if no written rejection has been given.</w:t>
      </w:r>
    </w:p>
    <w:p>
      <w:pPr>
        <w:pStyle w:val="Heading1"/>
      </w:pPr>
      <w:r>
        <w:t xml:space="preserve">8. NOTICES</w:t>
      </w:r>
    </w:p>
    <w:p>
      <w:r>
        <w:t xml:space="preserve">8.1 Any notice under this Agreement must be in writing and delivered to the Purchaser's contracts office, by hand, by registered post or through the Purchaser's supplier portal. A notice sent to any other person or address is not a valid notice.</w:t>
      </w:r>
    </w:p>
    <w:sectPr>
      <w:pgSz w:w="11906" w:h="16838"/>
      <w:pgMar w:top="1300" w:right="1300" w:bottom="1300" w:left="1300" w:header="600" w:footer="600" w:gutter="0"/>
    </w:sectPr>
  </w:body>
</w:document>
</file>

<file path=word/styles.xml><?xml version="1.0" encoding="utf-8"?>
<w:styles xmlns:w="http://schemas.openxmlformats.org/wordprocessingml/2006/main">
  <w:docDefaults>
    <w:rPrDefault>
      <w:rPr>
        <w:rFonts w:ascii="Arial" w:hAnsi="Arial" w:cs="Arial"/>
        <w:sz w:val="21"/>
      </w:rPr>
    </w:rPrDefault>
    <w:pPrDefault>
      <w:pPr>
        <w:spacing w:after="120" w:line="276" w:lineRule="auto"/>
      </w:pPr>
    </w:pPrDefault>
  </w:docDefaults>
  <w:style w:type="paragraph" w:default="1" w:styleId="Normal">
    <w:name w:val="Normal"/>
  </w:style>
  <w:style w:type="paragraph" w:styleId="Title">
    <w:name w:val="Title"/>
    <w:basedOn w:val="Normal"/>
    <w:pPr>
      <w:spacing w:after="200"/>
    </w:pPr>
    <w:rPr>
      <w:b/>
      <w:color w:val="003862"/>
      <w:sz w:val="36"/>
    </w:rPr>
  </w:style>
  <w:style w:type="paragraph" w:styleId="Heading1">
    <w:name w:val="heading 1"/>
    <w:basedOn w:val="Normal"/>
    <w:pPr>
      <w:spacing w:before="240" w:after="120"/>
      <w:outlineLvl w:val="0"/>
    </w:pPr>
    <w:rPr>
      <w:b/>
      <w:color w:val="003862"/>
      <w:sz w:val="26"/>
    </w:rPr>
  </w:style>
  <w:style w:type="paragraph" w:styleId="Heading2">
    <w:name w:val="heading 2"/>
    <w:basedOn w:val="Normal"/>
    <w:pPr>
      <w:spacing w:before="200" w:after="80"/>
      <w:outlineLvl w:val="1"/>
    </w:pPr>
    <w:rPr>
      <w:b/>
      <w:color w:val="007DB6"/>
      <w:sz w:val="22"/>
    </w:rPr>
  </w:style>
  <w:style w:type="paragraph" w:styleId="Small">
    <w:name w:val="Small"/>
    <w:basedOn w:val="Normal"/>
    <w:rPr>
      <w:color w:val="5A6B78"/>
      <w:sz w:val="17"/>
    </w:rPr>
  </w:style>
  <w:style w:type="table" w:styleId="Grid">
    <w:name w:val="Grid"/>
    <w:tblPr>
      <w:tblBorders>
        <w:top w:val="single" w:sz="4" w:color="C9D3DC"/>
        <w:bottom w:val="single" w:sz="4" w:color="C9D3DC"/>
        <w:insideH w:val="single" w:sz="4" w:color="C9D3DC"/>
      </w:tblBorders>
      <w:tblCellMar>
        <w:left w:w="8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